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lang w:val="en-US" w:eastAsia="zh-CN"/>
        </w:rPr>
        <w:t>浉河区食品药品监督管理</w:t>
      </w:r>
      <w:r>
        <w:rPr>
          <w:rFonts w:hint="eastAsia" w:ascii="隶书" w:hAnsi="隶书" w:eastAsia="隶书" w:cs="隶书"/>
          <w:sz w:val="52"/>
          <w:szCs w:val="52"/>
        </w:rPr>
        <w:t>局</w:t>
      </w:r>
    </w:p>
    <w:p>
      <w:pPr>
        <w:ind w:firstLine="2080" w:firstLineChars="400"/>
        <w:jc w:val="both"/>
        <w:rPr>
          <w:rFonts w:ascii="隶书" w:hAnsi="隶书" w:eastAsia="隶书" w:cs="隶书"/>
          <w:sz w:val="52"/>
          <w:szCs w:val="52"/>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52"/>
          <w:szCs w:val="52"/>
        </w:rPr>
        <w:t>201</w:t>
      </w:r>
      <w:r>
        <w:rPr>
          <w:rFonts w:hint="eastAsia" w:ascii="隶书" w:hAnsi="隶书" w:eastAsia="隶书" w:cs="隶书"/>
          <w:sz w:val="52"/>
          <w:szCs w:val="52"/>
          <w:lang w:val="en-US" w:eastAsia="zh-CN"/>
        </w:rPr>
        <w:t>7</w:t>
      </w:r>
      <w:r>
        <w:rPr>
          <w:rFonts w:hint="eastAsia" w:ascii="隶书" w:hAnsi="隶书" w:eastAsia="隶书" w:cs="隶书"/>
          <w:sz w:val="52"/>
          <w:szCs w:val="52"/>
        </w:rPr>
        <w:t>年度部门决算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lang w:val="en-US" w:eastAsia="zh-CN"/>
        </w:rPr>
        <w:t xml:space="preserve">  食品药品监督管理</w:t>
      </w:r>
      <w:r>
        <w:rPr>
          <w:rFonts w:hint="eastAsia" w:ascii="黑体" w:hAnsi="黑体" w:eastAsia="黑体" w:cs="黑体"/>
          <w:sz w:val="32"/>
          <w:szCs w:val="32"/>
        </w:rPr>
        <w:t>局概况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numPr>
          <w:ilvl w:val="0"/>
          <w:numId w:val="2"/>
        </w:numPr>
        <w:jc w:val="left"/>
        <w:rPr>
          <w:rFonts w:hint="eastAsia" w:ascii="黑体" w:hAnsi="黑体" w:eastAsia="黑体" w:cs="黑体"/>
          <w:sz w:val="32"/>
          <w:szCs w:val="32"/>
        </w:rPr>
      </w:pPr>
      <w:r>
        <w:rPr>
          <w:rFonts w:hint="eastAsia" w:ascii="黑体" w:hAnsi="黑体" w:eastAsia="黑体" w:cs="黑体"/>
          <w:sz w:val="32"/>
          <w:szCs w:val="32"/>
          <w:lang w:val="en-US" w:eastAsia="zh-CN"/>
        </w:rPr>
        <w:t>食品药品监督管理局2017年度部门决算情况说明</w:t>
      </w:r>
    </w:p>
    <w:p>
      <w:pPr>
        <w:jc w:val="left"/>
        <w:rPr>
          <w:rFonts w:hint="eastAsia" w:ascii="宋体" w:hAnsi="宋体" w:eastAsia="宋体" w:cs="宋体"/>
          <w:sz w:val="32"/>
          <w:szCs w:val="32"/>
          <w:lang w:val="en-US" w:eastAsia="zh-CN"/>
        </w:rPr>
      </w:pPr>
      <w:r>
        <w:rPr>
          <w:rFonts w:hint="eastAsia" w:ascii="宋体" w:hAnsi="宋体" w:eastAsia="宋体" w:cs="宋体"/>
          <w:sz w:val="32"/>
          <w:szCs w:val="32"/>
        </w:rPr>
        <w:t>一、</w:t>
      </w:r>
      <w:r>
        <w:rPr>
          <w:rFonts w:hint="eastAsia" w:ascii="宋体" w:hAnsi="宋体" w:eastAsia="宋体" w:cs="宋体"/>
          <w:sz w:val="32"/>
          <w:szCs w:val="32"/>
          <w:lang w:val="en-US" w:eastAsia="zh-CN"/>
        </w:rPr>
        <w:t>关于</w:t>
      </w:r>
      <w:r>
        <w:rPr>
          <w:rFonts w:hint="eastAsia" w:ascii="宋体" w:hAnsi="宋体" w:eastAsia="宋体" w:cs="宋体"/>
          <w:sz w:val="32"/>
          <w:szCs w:val="32"/>
        </w:rPr>
        <w:t>收入支出决算总</w:t>
      </w:r>
      <w:r>
        <w:rPr>
          <w:rFonts w:hint="eastAsia" w:ascii="宋体" w:hAnsi="宋体" w:eastAsia="宋体" w:cs="宋体"/>
          <w:sz w:val="32"/>
          <w:szCs w:val="32"/>
          <w:lang w:val="en-US" w:eastAsia="zh-CN"/>
        </w:rPr>
        <w:t>体情况说明</w:t>
      </w:r>
    </w:p>
    <w:p>
      <w:pPr>
        <w:jc w:val="left"/>
        <w:rPr>
          <w:rFonts w:hint="eastAsia" w:ascii="宋体" w:hAnsi="宋体" w:eastAsia="宋体" w:cs="宋体"/>
          <w:sz w:val="32"/>
          <w:szCs w:val="32"/>
          <w:lang w:val="en-US" w:eastAsia="zh-CN"/>
        </w:rPr>
      </w:pPr>
      <w:r>
        <w:rPr>
          <w:rFonts w:hint="eastAsia" w:ascii="宋体" w:hAnsi="宋体" w:eastAsia="宋体" w:cs="宋体"/>
          <w:sz w:val="32"/>
          <w:szCs w:val="32"/>
        </w:rPr>
        <w:t>二、</w:t>
      </w:r>
      <w:r>
        <w:rPr>
          <w:rFonts w:hint="eastAsia" w:ascii="宋体" w:hAnsi="宋体" w:eastAsia="宋体" w:cs="宋体"/>
          <w:sz w:val="32"/>
          <w:szCs w:val="32"/>
          <w:lang w:val="en-US" w:eastAsia="zh-CN"/>
        </w:rPr>
        <w:t>关于</w:t>
      </w:r>
      <w:r>
        <w:rPr>
          <w:rFonts w:hint="eastAsia" w:ascii="宋体" w:hAnsi="宋体" w:eastAsia="宋体" w:cs="宋体"/>
          <w:sz w:val="32"/>
          <w:szCs w:val="32"/>
        </w:rPr>
        <w:t>收入决算表</w:t>
      </w:r>
      <w:r>
        <w:rPr>
          <w:rFonts w:hint="eastAsia" w:ascii="宋体" w:hAnsi="宋体" w:eastAsia="宋体" w:cs="宋体"/>
          <w:sz w:val="32"/>
          <w:szCs w:val="32"/>
          <w:lang w:val="en-US" w:eastAsia="zh-CN"/>
        </w:rPr>
        <w:t>情况说明</w:t>
      </w:r>
    </w:p>
    <w:p>
      <w:pPr>
        <w:jc w:val="left"/>
        <w:rPr>
          <w:rFonts w:hint="eastAsia" w:ascii="宋体" w:hAnsi="宋体" w:eastAsia="宋体" w:cs="宋体"/>
          <w:sz w:val="32"/>
          <w:szCs w:val="32"/>
          <w:lang w:val="en-US" w:eastAsia="zh-CN"/>
        </w:rPr>
      </w:pPr>
      <w:r>
        <w:rPr>
          <w:rFonts w:hint="eastAsia" w:ascii="宋体" w:hAnsi="宋体" w:eastAsia="宋体" w:cs="宋体"/>
          <w:sz w:val="32"/>
          <w:szCs w:val="32"/>
        </w:rPr>
        <w:t>三、</w:t>
      </w:r>
      <w:r>
        <w:rPr>
          <w:rFonts w:hint="eastAsia" w:ascii="宋体" w:hAnsi="宋体" w:eastAsia="宋体" w:cs="宋体"/>
          <w:sz w:val="32"/>
          <w:szCs w:val="32"/>
          <w:lang w:val="en-US" w:eastAsia="zh-CN"/>
        </w:rPr>
        <w:t>关于</w:t>
      </w:r>
      <w:r>
        <w:rPr>
          <w:rFonts w:hint="eastAsia" w:ascii="宋体" w:hAnsi="宋体" w:eastAsia="宋体" w:cs="宋体"/>
          <w:sz w:val="32"/>
          <w:szCs w:val="32"/>
        </w:rPr>
        <w:t>支出决算表</w:t>
      </w:r>
      <w:r>
        <w:rPr>
          <w:rFonts w:hint="eastAsia" w:ascii="宋体" w:hAnsi="宋体" w:eastAsia="宋体" w:cs="宋体"/>
          <w:sz w:val="32"/>
          <w:szCs w:val="32"/>
          <w:lang w:val="en-US" w:eastAsia="zh-CN"/>
        </w:rPr>
        <w:t>情况说明</w:t>
      </w:r>
    </w:p>
    <w:p>
      <w:pPr>
        <w:jc w:val="left"/>
        <w:rPr>
          <w:rFonts w:hint="eastAsia" w:ascii="宋体" w:hAnsi="宋体" w:eastAsia="宋体" w:cs="宋体"/>
          <w:sz w:val="32"/>
          <w:szCs w:val="32"/>
          <w:lang w:val="en-US" w:eastAsia="zh-CN"/>
        </w:rPr>
      </w:pPr>
      <w:r>
        <w:rPr>
          <w:rFonts w:hint="eastAsia" w:ascii="宋体" w:hAnsi="宋体" w:eastAsia="宋体" w:cs="宋体"/>
          <w:sz w:val="32"/>
          <w:szCs w:val="32"/>
        </w:rPr>
        <w:t>四、</w:t>
      </w:r>
      <w:r>
        <w:rPr>
          <w:rFonts w:hint="eastAsia" w:ascii="宋体" w:hAnsi="宋体" w:eastAsia="宋体" w:cs="宋体"/>
          <w:sz w:val="32"/>
          <w:szCs w:val="32"/>
          <w:lang w:val="en-US" w:eastAsia="zh-CN"/>
        </w:rPr>
        <w:t>关于</w:t>
      </w:r>
      <w:r>
        <w:rPr>
          <w:rFonts w:hint="eastAsia" w:ascii="宋体" w:hAnsi="宋体" w:eastAsia="宋体" w:cs="宋体"/>
          <w:sz w:val="32"/>
          <w:szCs w:val="32"/>
        </w:rPr>
        <w:t>财政拨款收入支出决算</w:t>
      </w:r>
      <w:r>
        <w:rPr>
          <w:rFonts w:hint="eastAsia" w:ascii="宋体" w:hAnsi="宋体" w:eastAsia="宋体" w:cs="宋体"/>
          <w:sz w:val="32"/>
          <w:szCs w:val="32"/>
          <w:lang w:val="en-US" w:eastAsia="zh-CN"/>
        </w:rPr>
        <w:t>总体情况说明</w:t>
      </w:r>
    </w:p>
    <w:p>
      <w:pPr>
        <w:jc w:val="left"/>
        <w:rPr>
          <w:rFonts w:ascii="宋体" w:hAnsi="宋体" w:eastAsia="宋体" w:cs="宋体"/>
          <w:sz w:val="32"/>
          <w:szCs w:val="32"/>
        </w:rPr>
      </w:pPr>
      <w:r>
        <w:rPr>
          <w:rFonts w:hint="eastAsia" w:ascii="宋体" w:hAnsi="宋体" w:eastAsia="宋体" w:cs="宋体"/>
          <w:sz w:val="32"/>
          <w:szCs w:val="32"/>
        </w:rPr>
        <w:t>五、</w:t>
      </w:r>
      <w:r>
        <w:rPr>
          <w:rFonts w:hint="eastAsia" w:ascii="宋体" w:hAnsi="宋体" w:eastAsia="宋体" w:cs="宋体"/>
          <w:sz w:val="32"/>
          <w:szCs w:val="32"/>
          <w:lang w:val="en-US" w:eastAsia="zh-CN"/>
        </w:rPr>
        <w:t>关于</w:t>
      </w:r>
      <w:r>
        <w:rPr>
          <w:rFonts w:hint="eastAsia" w:ascii="宋体" w:hAnsi="宋体" w:eastAsia="宋体" w:cs="宋体"/>
          <w:sz w:val="32"/>
          <w:szCs w:val="32"/>
        </w:rPr>
        <w:t>一般公共预算财政拨款支出决算</w:t>
      </w:r>
      <w:r>
        <w:rPr>
          <w:rFonts w:hint="eastAsia" w:ascii="宋体" w:hAnsi="宋体" w:eastAsia="宋体" w:cs="宋体"/>
          <w:sz w:val="32"/>
          <w:szCs w:val="32"/>
          <w:lang w:val="en-US" w:eastAsia="zh-CN"/>
        </w:rPr>
        <w:t>情况说明</w:t>
      </w:r>
    </w:p>
    <w:p>
      <w:pPr>
        <w:jc w:val="left"/>
        <w:rPr>
          <w:rFonts w:ascii="宋体" w:hAnsi="宋体" w:eastAsia="宋体" w:cs="宋体"/>
          <w:sz w:val="32"/>
          <w:szCs w:val="32"/>
        </w:rPr>
      </w:pPr>
      <w:r>
        <w:rPr>
          <w:rFonts w:hint="eastAsia" w:ascii="宋体" w:hAnsi="宋体" w:eastAsia="宋体" w:cs="宋体"/>
          <w:sz w:val="32"/>
          <w:szCs w:val="32"/>
        </w:rPr>
        <w:t>六、</w:t>
      </w:r>
      <w:r>
        <w:rPr>
          <w:rFonts w:hint="eastAsia" w:ascii="宋体" w:hAnsi="宋体" w:eastAsia="宋体" w:cs="宋体"/>
          <w:sz w:val="32"/>
          <w:szCs w:val="32"/>
          <w:lang w:val="en-US" w:eastAsia="zh-CN"/>
        </w:rPr>
        <w:t>关于</w:t>
      </w:r>
      <w:r>
        <w:rPr>
          <w:rFonts w:hint="eastAsia" w:ascii="宋体" w:hAnsi="宋体" w:eastAsia="宋体" w:cs="宋体"/>
          <w:sz w:val="32"/>
          <w:szCs w:val="32"/>
        </w:rPr>
        <w:t>一般公共预算财政拨款基本支出决算</w:t>
      </w:r>
      <w:r>
        <w:rPr>
          <w:rFonts w:hint="eastAsia" w:ascii="宋体" w:hAnsi="宋体" w:eastAsia="宋体" w:cs="宋体"/>
          <w:sz w:val="32"/>
          <w:szCs w:val="32"/>
          <w:lang w:val="en-US" w:eastAsia="zh-CN"/>
        </w:rPr>
        <w:t>情况说明</w:t>
      </w:r>
    </w:p>
    <w:p>
      <w:pPr>
        <w:jc w:val="left"/>
        <w:rPr>
          <w:rFonts w:hint="eastAsia" w:ascii="宋体" w:hAnsi="宋体" w:eastAsia="宋体" w:cs="宋体"/>
          <w:sz w:val="32"/>
          <w:szCs w:val="32"/>
          <w:lang w:val="en-US" w:eastAsia="zh-CN"/>
        </w:rPr>
      </w:pPr>
      <w:r>
        <w:rPr>
          <w:rFonts w:hint="eastAsia" w:ascii="宋体" w:hAnsi="宋体" w:eastAsia="宋体" w:cs="宋体"/>
          <w:sz w:val="32"/>
          <w:szCs w:val="32"/>
        </w:rPr>
        <w:t>七、</w:t>
      </w:r>
      <w:r>
        <w:rPr>
          <w:rFonts w:hint="eastAsia" w:ascii="宋体" w:hAnsi="宋体" w:eastAsia="宋体" w:cs="宋体"/>
          <w:sz w:val="32"/>
          <w:szCs w:val="32"/>
          <w:lang w:val="en-US" w:eastAsia="zh-CN"/>
        </w:rPr>
        <w:t>关于</w:t>
      </w:r>
      <w:r>
        <w:rPr>
          <w:rFonts w:hint="eastAsia" w:ascii="宋体" w:hAnsi="宋体" w:eastAsia="宋体" w:cs="宋体"/>
          <w:sz w:val="32"/>
          <w:szCs w:val="32"/>
        </w:rPr>
        <w:t>一般公共预算财政拨款“三公”经费支出决算</w:t>
      </w:r>
      <w:r>
        <w:rPr>
          <w:rFonts w:hint="eastAsia" w:ascii="宋体" w:hAnsi="宋体" w:eastAsia="宋体" w:cs="宋体"/>
          <w:sz w:val="32"/>
          <w:szCs w:val="32"/>
          <w:lang w:val="en-US" w:eastAsia="zh-CN"/>
        </w:rPr>
        <w:t>情况说明</w:t>
      </w:r>
    </w:p>
    <w:p>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八、关于预算绩效情况说明</w:t>
      </w:r>
    </w:p>
    <w:p>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九</w:t>
      </w:r>
      <w:r>
        <w:rPr>
          <w:rFonts w:hint="eastAsia" w:ascii="宋体" w:hAnsi="宋体" w:eastAsia="宋体" w:cs="宋体"/>
          <w:sz w:val="32"/>
          <w:szCs w:val="32"/>
        </w:rPr>
        <w:t>、</w:t>
      </w:r>
      <w:r>
        <w:rPr>
          <w:rFonts w:hint="eastAsia" w:ascii="宋体" w:hAnsi="宋体" w:eastAsia="宋体" w:cs="宋体"/>
          <w:sz w:val="32"/>
          <w:szCs w:val="32"/>
          <w:lang w:val="en-US" w:eastAsia="zh-CN"/>
        </w:rPr>
        <w:t>关于</w:t>
      </w:r>
      <w:r>
        <w:rPr>
          <w:rFonts w:hint="eastAsia" w:ascii="宋体" w:hAnsi="宋体" w:eastAsia="宋体" w:cs="宋体"/>
          <w:sz w:val="32"/>
          <w:szCs w:val="32"/>
        </w:rPr>
        <w:t>政府性基金预算财政拨款收入支出决算</w:t>
      </w:r>
      <w:r>
        <w:rPr>
          <w:rFonts w:hint="eastAsia" w:ascii="宋体" w:hAnsi="宋体" w:eastAsia="宋体" w:cs="宋体"/>
          <w:sz w:val="32"/>
          <w:szCs w:val="32"/>
          <w:lang w:val="en-US" w:eastAsia="zh-CN"/>
        </w:rPr>
        <w:t>情况说明</w:t>
      </w:r>
    </w:p>
    <w:p>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十、其它重要事项情况说明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隶书" w:hAnsi="隶书" w:eastAsia="隶书" w:cs="隶书"/>
          <w:sz w:val="48"/>
          <w:szCs w:val="48"/>
        </w:rPr>
      </w:pPr>
      <w:r>
        <w:rPr>
          <w:rFonts w:hint="eastAsia" w:ascii="隶书" w:hAnsi="隶书" w:eastAsia="隶书" w:cs="隶书"/>
          <w:sz w:val="48"/>
          <w:szCs w:val="48"/>
        </w:rPr>
        <w:t>第一部分　　</w:t>
      </w: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黑体" w:hAnsi="黑体" w:eastAsia="黑体" w:cs="黑体"/>
          <w:sz w:val="52"/>
          <w:szCs w:val="52"/>
          <w:lang w:val="en-US" w:eastAsia="zh-CN"/>
        </w:rPr>
        <w:t>食品药品监督管理</w:t>
      </w:r>
      <w:r>
        <w:rPr>
          <w:rFonts w:hint="eastAsia" w:ascii="隶书" w:hAnsi="隶书" w:eastAsia="隶书" w:cs="隶书"/>
          <w:sz w:val="48"/>
          <w:szCs w:val="48"/>
        </w:rPr>
        <w:t>局概况</w:t>
      </w:r>
    </w:p>
    <w:p>
      <w:pPr>
        <w:numPr>
          <w:ilvl w:val="0"/>
          <w:numId w:val="3"/>
        </w:numPr>
        <w:spacing w:line="360" w:lineRule="auto"/>
        <w:ind w:firstLine="640" w:firstLineChars="200"/>
        <w:jc w:val="left"/>
        <w:outlineLvl w:val="1"/>
        <w:rPr>
          <w:rFonts w:ascii="楷体_GB2312" w:hAnsi="楷体_GB2312" w:eastAsia="楷体_GB2312" w:cs="楷体_GB2312"/>
          <w:sz w:val="32"/>
          <w:szCs w:val="32"/>
        </w:rPr>
      </w:pPr>
      <w:r>
        <w:rPr>
          <w:rFonts w:hint="eastAsia" w:ascii="黑体" w:hAnsi="黑体" w:eastAsia="黑体" w:cs="黑体"/>
          <w:sz w:val="32"/>
          <w:szCs w:val="32"/>
        </w:rPr>
        <w:t>主要职能</w:t>
      </w:r>
      <w:r>
        <w:rPr>
          <w:rFonts w:hint="eastAsia" w:ascii="黑体" w:hAnsi="黑体" w:eastAsia="黑体" w:cs="黑体"/>
          <w:sz w:val="32"/>
          <w:szCs w:val="32"/>
          <w:lang w:eastAsia="zh-CN"/>
        </w:rPr>
        <w:t>：</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（一）拟定</w:t>
      </w:r>
      <w:r>
        <w:rPr>
          <w:rFonts w:hint="eastAsia" w:ascii="仿宋_GB2312" w:hAnsi="仿宋" w:eastAsia="仿宋_GB2312" w:cs="仿宋"/>
          <w:sz w:val="32"/>
          <w:szCs w:val="32"/>
        </w:rPr>
        <w:t>区食品</w:t>
      </w:r>
      <w:r>
        <w:rPr>
          <w:rFonts w:hint="eastAsia" w:ascii="仿宋_GB2312" w:hAnsi="仿宋" w:eastAsia="仿宋_GB2312" w:cs="仿宋"/>
          <w:sz w:val="32"/>
          <w:szCs w:val="32"/>
          <w:lang w:val="en-US" w:eastAsia="zh-CN"/>
        </w:rPr>
        <w:t>药品</w:t>
      </w:r>
      <w:r>
        <w:rPr>
          <w:rFonts w:hint="eastAsia" w:ascii="仿宋_GB2312" w:hAnsi="仿宋" w:eastAsia="仿宋_GB2312" w:cs="仿宋"/>
          <w:sz w:val="32"/>
          <w:szCs w:val="32"/>
        </w:rPr>
        <w:t>安全检查年度计划、重大整顿治理方案；食品药品监督管理的稽查制度，以及食品药品安全事故应急体系建设</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食品药品安全科技发展规划,推动食品药品检验检测体系、电子监管追溯体系和信息化建设。</w:t>
      </w:r>
    </w:p>
    <w:p>
      <w:pPr>
        <w:pStyle w:val="4"/>
        <w:spacing w:before="0" w:beforeAutospacing="0" w:after="0" w:afterAutospacing="0" w:line="360" w:lineRule="auto"/>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二</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起草全区食品安全监管工作要点及食品安全考核办法等</w:t>
      </w:r>
      <w:r>
        <w:rPr>
          <w:rFonts w:hint="eastAsia" w:ascii="仿宋_GB2312" w:hAnsi="仿宋" w:eastAsia="仿宋_GB2312" w:cs="仿宋"/>
          <w:sz w:val="32"/>
          <w:szCs w:val="32"/>
        </w:rPr>
        <w:t>区政府及区食品安全委员会交办</w:t>
      </w:r>
      <w:r>
        <w:rPr>
          <w:rFonts w:hint="eastAsia" w:ascii="仿宋_GB2312" w:hAnsi="仿宋" w:eastAsia="仿宋_GB2312" w:cs="仿宋"/>
          <w:sz w:val="32"/>
          <w:szCs w:val="32"/>
          <w:lang w:val="en-US" w:eastAsia="zh-CN"/>
        </w:rPr>
        <w:t>的相关文件。</w:t>
      </w:r>
    </w:p>
    <w:p>
      <w:pPr>
        <w:pStyle w:val="4"/>
        <w:spacing w:before="0" w:beforeAutospacing="0" w:after="0" w:afterAutospacing="0" w:line="360" w:lineRule="auto"/>
        <w:ind w:firstLine="640" w:firstLineChars="200"/>
        <w:rPr>
          <w:rFonts w:ascii="楷体_GB2312" w:hAnsi="楷体_GB2312" w:eastAsia="楷体_GB2312" w:cs="楷体_GB2312"/>
          <w:sz w:val="32"/>
          <w:szCs w:val="32"/>
        </w:rPr>
      </w:pPr>
      <w:r>
        <w:rPr>
          <w:rFonts w:hint="eastAsia" w:ascii="仿宋_GB2312" w:hAnsi="仿宋" w:eastAsia="仿宋_GB2312" w:cs="仿宋"/>
          <w:sz w:val="32"/>
          <w:szCs w:val="32"/>
          <w:lang w:val="en-US" w:eastAsia="zh-CN"/>
        </w:rPr>
        <w:t>（三）承担辖区“三品一械”</w:t>
      </w:r>
      <w:r>
        <w:rPr>
          <w:rFonts w:hint="eastAsia" w:ascii="仿宋_GB2312" w:hAnsi="仿宋" w:eastAsia="仿宋_GB2312" w:cs="仿宋"/>
          <w:sz w:val="32"/>
          <w:szCs w:val="32"/>
        </w:rPr>
        <w:t>质量安全监管</w:t>
      </w:r>
      <w:r>
        <w:rPr>
          <w:rFonts w:hint="eastAsia" w:ascii="仿宋_GB2312" w:hAnsi="仿宋" w:eastAsia="仿宋_GB2312" w:cs="仿宋"/>
          <w:sz w:val="32"/>
          <w:szCs w:val="32"/>
          <w:lang w:val="en-US" w:eastAsia="zh-CN"/>
        </w:rPr>
        <w:t>和</w:t>
      </w:r>
      <w:r>
        <w:rPr>
          <w:rFonts w:hint="eastAsia" w:ascii="仿宋_GB2312" w:hAnsi="仿宋" w:eastAsia="仿宋_GB2312" w:cs="仿宋"/>
          <w:sz w:val="32"/>
          <w:szCs w:val="32"/>
        </w:rPr>
        <w:t>监督抽样检验工作；药品和化妆品不良反应、医疗器械不良事件监测体系,并开展监测和处置工作；食品药品安全事故应急处置和调查处理工作,组织查处重大违法行为；问题产品召回和处置制度并监督事故查处落实情况</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开展食品药品安全宣传、教育培训；承担区政府食品安全委员会日常工作；区政府及区食品安全委员会交办的其他事项。</w:t>
      </w:r>
    </w:p>
    <w:p>
      <w:pPr>
        <w:numPr>
          <w:ilvl w:val="0"/>
          <w:numId w:val="4"/>
        </w:numPr>
        <w:tabs>
          <w:tab w:val="left" w:pos="628"/>
        </w:tabs>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t>食品药品监督管理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内设</w:t>
      </w:r>
      <w:r>
        <w:rPr>
          <w:rFonts w:hint="eastAsia" w:ascii="仿宋_GB2312" w:hAnsi="仿宋_GB2312" w:eastAsia="仿宋_GB2312" w:cs="仿宋_GB2312"/>
          <w:sz w:val="32"/>
          <w:szCs w:val="32"/>
          <w:lang w:val="en-US" w:eastAsia="zh-CN"/>
        </w:rPr>
        <w:t>7个股室</w:t>
      </w:r>
      <w:r>
        <w:rPr>
          <w:rFonts w:hint="eastAsia" w:ascii="仿宋" w:hAnsi="仿宋" w:eastAsia="仿宋" w:cs="仿宋"/>
          <w:b w:val="0"/>
          <w:bCs w:val="0"/>
          <w:spacing w:val="0"/>
          <w:sz w:val="32"/>
          <w:szCs w:val="32"/>
          <w:lang w:val="en-US" w:eastAsia="zh-CN"/>
        </w:rPr>
        <w:t>（办公室、应急管理股、食品生产流通监管股、餐饮食品监管股、保健食品化妆品监管股、药品和医疗器械监管股、法规股），和</w:t>
      </w:r>
      <w:r>
        <w:rPr>
          <w:rFonts w:hint="eastAsia" w:ascii="仿宋" w:hAnsi="仿宋" w:eastAsia="仿宋" w:cs="仿宋"/>
          <w:b w:val="0"/>
          <w:bCs w:val="0"/>
          <w:spacing w:val="0"/>
          <w:sz w:val="32"/>
          <w:szCs w:val="32"/>
          <w:lang w:val="en-US" w:eastAsia="zh-CN"/>
        </w:rPr>
        <w:t>10个乡镇食品药品监管所、1个城区食品药品监管所、1个稽查大队。</w:t>
      </w:r>
    </w:p>
    <w:p>
      <w:pPr>
        <w:spacing w:line="360" w:lineRule="auto"/>
        <w:ind w:firstLine="640" w:firstLineChars="200"/>
        <w:jc w:val="left"/>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t>纳入</w:t>
      </w:r>
      <w:r>
        <w:rPr>
          <w:rFonts w:hint="eastAsia" w:ascii="仿宋" w:hAnsi="仿宋" w:eastAsia="仿宋" w:cs="仿宋"/>
          <w:b w:val="0"/>
          <w:bCs w:val="0"/>
          <w:spacing w:val="0"/>
          <w:sz w:val="32"/>
          <w:szCs w:val="32"/>
          <w:lang w:val="en-US" w:eastAsia="zh-CN"/>
        </w:rPr>
        <w:t>食品药品监督管理局2017年度部门决算编制范围的单位包括：</w:t>
      </w:r>
    </w:p>
    <w:p>
      <w:pPr>
        <w:spacing w:line="360" w:lineRule="auto"/>
        <w:ind w:firstLine="640" w:firstLineChars="200"/>
        <w:jc w:val="left"/>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t>1、食品药品监督管理局本级</w:t>
      </w:r>
    </w:p>
    <w:p>
      <w:pPr>
        <w:spacing w:line="360" w:lineRule="auto"/>
        <w:ind w:firstLine="640" w:firstLineChars="200"/>
        <w:jc w:val="left"/>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t>2. 10个乡镇食品药品监管所、1个城区食品药品监管所、1个稽查大队。</w:t>
      </w:r>
    </w:p>
    <w:p>
      <w:pPr>
        <w:numPr>
          <w:ilvl w:val="0"/>
          <w:numId w:val="0"/>
        </w:numPr>
        <w:spacing w:line="360" w:lineRule="auto"/>
        <w:ind w:leftChars="200"/>
        <w:jc w:val="left"/>
        <w:rPr>
          <w:rFonts w:ascii="仿宋_GB2312" w:hAnsi="仿宋_GB2312" w:eastAsia="仿宋_GB2312" w:cs="仿宋_GB2312"/>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黑体" w:hAnsi="黑体" w:eastAsia="黑体" w:cs="黑体"/>
          <w:b/>
          <w:bCs/>
          <w:sz w:val="48"/>
          <w:szCs w:val="48"/>
        </w:rPr>
      </w:pPr>
    </w:p>
    <w:p>
      <w:pPr>
        <w:jc w:val="center"/>
        <w:outlineLvl w:val="0"/>
        <w:rPr>
          <w:rFonts w:hint="eastAsia" w:ascii="黑体" w:hAnsi="黑体" w:eastAsia="黑体" w:cs="黑体"/>
          <w:b/>
          <w:bCs/>
          <w:sz w:val="48"/>
          <w:szCs w:val="48"/>
        </w:rPr>
      </w:pPr>
    </w:p>
    <w:p>
      <w:pPr>
        <w:jc w:val="center"/>
        <w:outlineLvl w:val="0"/>
        <w:rPr>
          <w:rFonts w:hint="eastAsia" w:ascii="黑体" w:hAnsi="黑体" w:eastAsia="黑体" w:cs="黑体"/>
          <w:b/>
          <w:bCs/>
          <w:sz w:val="48"/>
          <w:szCs w:val="48"/>
        </w:rPr>
      </w:pPr>
    </w:p>
    <w:p>
      <w:pPr>
        <w:ind w:firstLine="3373" w:firstLineChars="700"/>
        <w:jc w:val="both"/>
        <w:outlineLvl w:val="0"/>
        <w:rPr>
          <w:rFonts w:hint="eastAsia" w:ascii="黑体" w:hAnsi="黑体" w:eastAsia="黑体" w:cs="黑体"/>
          <w:b/>
          <w:bCs/>
          <w:sz w:val="48"/>
          <w:szCs w:val="48"/>
        </w:rPr>
      </w:pPr>
      <w:r>
        <w:rPr>
          <w:rFonts w:hint="eastAsia" w:ascii="黑体" w:hAnsi="黑体" w:eastAsia="黑体" w:cs="黑体"/>
          <w:b/>
          <w:bCs/>
          <w:sz w:val="48"/>
          <w:szCs w:val="48"/>
        </w:rPr>
        <w:t>第</w:t>
      </w:r>
      <w:r>
        <w:rPr>
          <w:rFonts w:hint="eastAsia" w:ascii="黑体" w:hAnsi="黑体" w:eastAsia="黑体" w:cs="黑体"/>
          <w:b/>
          <w:bCs/>
          <w:sz w:val="48"/>
          <w:szCs w:val="48"/>
          <w:lang w:val="en-US" w:eastAsia="zh-CN"/>
        </w:rPr>
        <w:t>二</w:t>
      </w:r>
      <w:r>
        <w:rPr>
          <w:rFonts w:hint="eastAsia" w:ascii="黑体" w:hAnsi="黑体" w:eastAsia="黑体" w:cs="黑体"/>
          <w:b/>
          <w:bCs/>
          <w:sz w:val="48"/>
          <w:szCs w:val="48"/>
        </w:rPr>
        <w:t>部分</w:t>
      </w:r>
    </w:p>
    <w:p>
      <w:pPr>
        <w:jc w:val="center"/>
        <w:rPr>
          <w:rFonts w:hint="eastAsia" w:ascii="黑体" w:hAnsi="黑体" w:eastAsia="黑体" w:cs="黑体"/>
          <w:b/>
          <w:bCs/>
          <w:sz w:val="48"/>
          <w:szCs w:val="48"/>
        </w:rPr>
      </w:pPr>
      <w:r>
        <w:rPr>
          <w:rFonts w:hint="eastAsia" w:ascii="黑体" w:hAnsi="黑体" w:eastAsia="黑体" w:cs="黑体"/>
          <w:b/>
          <w:bCs/>
          <w:spacing w:val="0"/>
          <w:sz w:val="52"/>
          <w:szCs w:val="52"/>
          <w:lang w:val="en-US" w:eastAsia="zh-CN"/>
        </w:rPr>
        <w:t>食品药品监督管理</w:t>
      </w:r>
      <w:r>
        <w:rPr>
          <w:rFonts w:hint="eastAsia" w:ascii="黑体" w:hAnsi="黑体" w:eastAsia="黑体" w:cs="黑体"/>
          <w:b/>
          <w:bCs/>
          <w:sz w:val="48"/>
          <w:szCs w:val="48"/>
        </w:rPr>
        <w:t>局201</w:t>
      </w:r>
      <w:r>
        <w:rPr>
          <w:rFonts w:hint="eastAsia" w:ascii="黑体" w:hAnsi="黑体" w:eastAsia="黑体" w:cs="黑体"/>
          <w:b/>
          <w:bCs/>
          <w:sz w:val="48"/>
          <w:szCs w:val="48"/>
          <w:lang w:val="en-US" w:eastAsia="zh-CN"/>
        </w:rPr>
        <w:t>7</w:t>
      </w:r>
      <w:r>
        <w:rPr>
          <w:rFonts w:hint="eastAsia" w:ascii="黑体" w:hAnsi="黑体" w:eastAsia="黑体" w:cs="黑体"/>
          <w:b/>
          <w:bCs/>
          <w:sz w:val="48"/>
          <w:szCs w:val="48"/>
        </w:rPr>
        <w:t>年度</w:t>
      </w:r>
    </w:p>
    <w:p>
      <w:pPr>
        <w:jc w:val="center"/>
        <w:rPr>
          <w:rFonts w:hint="eastAsia" w:ascii="黑体" w:hAnsi="黑体" w:eastAsia="黑体" w:cs="黑体"/>
          <w:b/>
          <w:bCs/>
          <w:sz w:val="48"/>
          <w:szCs w:val="48"/>
        </w:rPr>
      </w:pPr>
      <w:r>
        <w:rPr>
          <w:rFonts w:hint="eastAsia" w:ascii="黑体" w:hAnsi="黑体" w:eastAsia="黑体" w:cs="黑体"/>
          <w:b/>
          <w:bCs/>
          <w:sz w:val="48"/>
          <w:szCs w:val="48"/>
        </w:rPr>
        <w:t>部门决算</w:t>
      </w:r>
      <w:r>
        <w:rPr>
          <w:rFonts w:hint="eastAsia" w:ascii="黑体" w:hAnsi="黑体" w:eastAsia="黑体" w:cs="黑体"/>
          <w:b/>
          <w:bCs/>
          <w:sz w:val="48"/>
          <w:szCs w:val="48"/>
          <w:lang w:val="en-US" w:eastAsia="zh-CN"/>
        </w:rPr>
        <w:t>情况说明</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numPr>
          <w:ilvl w:val="0"/>
          <w:numId w:val="0"/>
        </w:numPr>
        <w:adjustRightInd w:val="0"/>
        <w:snapToGrid w:val="0"/>
        <w:spacing w:line="360" w:lineRule="auto"/>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一、关于收入支出决算总体情况说明</w:t>
      </w:r>
    </w:p>
    <w:p>
      <w:pPr>
        <w:numPr>
          <w:ilvl w:val="0"/>
          <w:numId w:val="0"/>
        </w:numPr>
        <w:adjustRightInd w:val="0"/>
        <w:snapToGrid w:val="0"/>
        <w:spacing w:line="360" w:lineRule="auto"/>
        <w:ind w:firstLine="640"/>
        <w:jc w:val="left"/>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2017年度收入总计1017.14万元，支出总计1017.14万元，与2016年相比，收、支总计各增加333.64万元，增长49%。</w:t>
      </w:r>
    </w:p>
    <w:p>
      <w:pPr>
        <w:numPr>
          <w:ilvl w:val="0"/>
          <w:numId w:val="0"/>
        </w:numPr>
        <w:adjustRightInd w:val="0"/>
        <w:snapToGrid w:val="0"/>
        <w:spacing w:line="360" w:lineRule="auto"/>
        <w:ind w:firstLine="640"/>
        <w:jc w:val="left"/>
        <w:rPr>
          <w:rFonts w:hint="eastAsia" w:ascii="仿宋_GB2312" w:hAnsi="宋体" w:eastAsia="仿宋_GB2312" w:cs="Courier New"/>
          <w:sz w:val="32"/>
          <w:szCs w:val="32"/>
          <w:lang w:val="en-US" w:eastAsia="zh-CN"/>
        </w:rPr>
      </w:pPr>
      <w:r>
        <w:rPr>
          <w:rFonts w:hint="eastAsia" w:ascii="黑体" w:hAnsi="黑体" w:eastAsia="黑体" w:cs="黑体"/>
          <w:sz w:val="32"/>
          <w:szCs w:val="32"/>
          <w:lang w:val="en-US" w:eastAsia="zh-CN"/>
        </w:rPr>
        <w:t>二、关于收入决算情况说明</w:t>
      </w:r>
    </w:p>
    <w:p>
      <w:pPr>
        <w:numPr>
          <w:ilvl w:val="0"/>
          <w:numId w:val="0"/>
        </w:numPr>
        <w:adjustRightInd w:val="0"/>
        <w:snapToGrid w:val="0"/>
        <w:spacing w:line="360" w:lineRule="auto"/>
        <w:ind w:firstLine="640"/>
        <w:jc w:val="left"/>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2017年度收入合计1017.14万元，其中：财政拨款收入1017.14万元，占100%。事业收入0万元，占0%；经营收入0万元，占0%，其它收入0万元，占0%。</w:t>
      </w:r>
    </w:p>
    <w:p>
      <w:pPr>
        <w:numPr>
          <w:ilvl w:val="0"/>
          <w:numId w:val="0"/>
        </w:numPr>
        <w:adjustRightInd w:val="0"/>
        <w:snapToGrid w:val="0"/>
        <w:spacing w:line="360" w:lineRule="auto"/>
        <w:ind w:firstLine="640"/>
        <w:jc w:val="left"/>
        <w:rPr>
          <w:rFonts w:hint="eastAsia" w:ascii="仿宋_GB2312" w:hAnsi="宋体" w:eastAsia="仿宋_GB2312" w:cs="Courier New"/>
          <w:sz w:val="32"/>
          <w:szCs w:val="32"/>
          <w:lang w:val="en-US" w:eastAsia="zh-CN"/>
        </w:rPr>
      </w:pPr>
    </w:p>
    <w:p>
      <w:pPr>
        <w:numPr>
          <w:ilvl w:val="0"/>
          <w:numId w:val="4"/>
        </w:numPr>
        <w:adjustRightInd w:val="0"/>
        <w:snapToGrid w:val="0"/>
        <w:spacing w:line="360" w:lineRule="auto"/>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关于支出决算情况说明</w:t>
      </w:r>
    </w:p>
    <w:p>
      <w:pPr>
        <w:numPr>
          <w:ilvl w:val="0"/>
          <w:numId w:val="0"/>
        </w:numPr>
        <w:adjustRightInd w:val="0"/>
        <w:snapToGrid w:val="0"/>
        <w:spacing w:line="360" w:lineRule="auto"/>
        <w:ind w:firstLine="640"/>
        <w:jc w:val="left"/>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2017年度支出合计1017.14万元，其中：基本支出1017.14</w:t>
      </w:r>
    </w:p>
    <w:p>
      <w:pPr>
        <w:numPr>
          <w:ilvl w:val="0"/>
          <w:numId w:val="0"/>
        </w:numPr>
        <w:adjustRightInd w:val="0"/>
        <w:snapToGrid w:val="0"/>
        <w:spacing w:line="360" w:lineRule="auto"/>
        <w:jc w:val="left"/>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万元。占100%。项目支出0万元；占0%；经营支出0万元，占0%。</w:t>
      </w:r>
    </w:p>
    <w:p>
      <w:pPr>
        <w:numPr>
          <w:ilvl w:val="0"/>
          <w:numId w:val="0"/>
        </w:numPr>
        <w:adjustRightInd w:val="0"/>
        <w:snapToGrid w:val="0"/>
        <w:spacing w:line="360" w:lineRule="auto"/>
        <w:jc w:val="left"/>
        <w:rPr>
          <w:rFonts w:hint="eastAsia" w:ascii="仿宋_GB2312" w:hAnsi="宋体" w:eastAsia="仿宋_GB2312" w:cs="Courier New"/>
          <w:sz w:val="32"/>
          <w:szCs w:val="32"/>
          <w:lang w:val="en-US" w:eastAsia="zh-CN"/>
        </w:rPr>
      </w:pPr>
    </w:p>
    <w:p>
      <w:pPr>
        <w:numPr>
          <w:ilvl w:val="0"/>
          <w:numId w:val="4"/>
        </w:numPr>
        <w:adjustRightInd w:val="0"/>
        <w:snapToGrid w:val="0"/>
        <w:spacing w:line="360" w:lineRule="auto"/>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关于财政拨款收入支出决算总体情况说明</w:t>
      </w:r>
    </w:p>
    <w:p>
      <w:pPr>
        <w:numPr>
          <w:ilvl w:val="0"/>
          <w:numId w:val="0"/>
        </w:numPr>
        <w:adjustRightInd w:val="0"/>
        <w:snapToGrid w:val="0"/>
        <w:spacing w:line="360" w:lineRule="auto"/>
        <w:ind w:firstLine="640"/>
        <w:jc w:val="left"/>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2017年财政拨款收支总决算1017.14万元，与2016年相比，财政拨款收、支总计各增加333.64万元，增长32.8%。</w:t>
      </w:r>
    </w:p>
    <w:p>
      <w:pPr>
        <w:numPr>
          <w:ilvl w:val="0"/>
          <w:numId w:val="0"/>
        </w:numPr>
        <w:adjustRightInd w:val="0"/>
        <w:snapToGrid w:val="0"/>
        <w:spacing w:line="360" w:lineRule="auto"/>
        <w:ind w:firstLine="640"/>
        <w:jc w:val="left"/>
        <w:rPr>
          <w:rFonts w:hint="eastAsia" w:ascii="仿宋_GB2312" w:hAnsi="宋体" w:eastAsia="仿宋_GB2312" w:cs="Courier New"/>
          <w:sz w:val="32"/>
          <w:szCs w:val="32"/>
          <w:lang w:val="en-US" w:eastAsia="zh-CN"/>
        </w:rPr>
      </w:pPr>
    </w:p>
    <w:p>
      <w:pPr>
        <w:numPr>
          <w:ilvl w:val="0"/>
          <w:numId w:val="4"/>
        </w:numPr>
        <w:adjustRightInd w:val="0"/>
        <w:snapToGrid w:val="0"/>
        <w:spacing w:line="360" w:lineRule="auto"/>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关于一般公共预算财政拨款支出决算情况说明</w:t>
      </w:r>
    </w:p>
    <w:p>
      <w:pPr>
        <w:numPr>
          <w:ilvl w:val="0"/>
          <w:numId w:val="5"/>
        </w:numPr>
        <w:adjustRightInd w:val="0"/>
        <w:snapToGrid w:val="0"/>
        <w:spacing w:line="360" w:lineRule="auto"/>
        <w:ind w:left="740" w:leftChars="0" w:firstLine="0" w:firstLineChars="0"/>
        <w:jc w:val="left"/>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财政拨款支出决算总体情况</w:t>
      </w:r>
    </w:p>
    <w:p>
      <w:pPr>
        <w:numPr>
          <w:ilvl w:val="0"/>
          <w:numId w:val="0"/>
        </w:numPr>
        <w:adjustRightInd w:val="0"/>
        <w:snapToGrid w:val="0"/>
        <w:spacing w:line="360" w:lineRule="auto"/>
        <w:ind w:firstLine="640"/>
        <w:jc w:val="left"/>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 xml:space="preserve"> 2017年一般公共预算财政拨款支出1017.14万元，占支出合计的100%。与2016年相比，一般公共预算财政拨款支出增加333.64万元，增加32.8%。</w:t>
      </w:r>
    </w:p>
    <w:p>
      <w:pPr>
        <w:numPr>
          <w:ilvl w:val="0"/>
          <w:numId w:val="5"/>
        </w:numPr>
        <w:adjustRightInd w:val="0"/>
        <w:snapToGrid w:val="0"/>
        <w:spacing w:line="360" w:lineRule="auto"/>
        <w:ind w:left="740" w:leftChars="0" w:firstLine="0" w:firstLineChars="0"/>
        <w:jc w:val="left"/>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财政拨款支出决算结构情况</w:t>
      </w:r>
    </w:p>
    <w:p>
      <w:pPr>
        <w:numPr>
          <w:ilvl w:val="0"/>
          <w:numId w:val="0"/>
        </w:numPr>
        <w:adjustRightInd w:val="0"/>
        <w:snapToGrid w:val="0"/>
        <w:spacing w:line="360" w:lineRule="auto"/>
        <w:ind w:left="740" w:leftChars="0"/>
        <w:jc w:val="left"/>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 xml:space="preserve"> 2017年一般公共预算财政拨款支出1017.14万元，主要用于以下方面：一般公共服务（类）支出1017.14万元，占100%。</w:t>
      </w:r>
    </w:p>
    <w:p>
      <w:pPr>
        <w:adjustRightInd w:val="0"/>
        <w:snapToGrid w:val="0"/>
        <w:spacing w:line="360" w:lineRule="auto"/>
        <w:ind w:firstLine="960" w:firstLineChars="300"/>
        <w:jc w:val="left"/>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（三）财政拨款支出决算具体情况。</w:t>
      </w:r>
    </w:p>
    <w:p>
      <w:pPr>
        <w:adjustRightInd w:val="0"/>
        <w:snapToGrid w:val="0"/>
        <w:spacing w:line="360" w:lineRule="auto"/>
        <w:ind w:firstLine="960" w:firstLineChars="300"/>
        <w:jc w:val="left"/>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2017年度一般公共预算财政拨款支出年初预算为965.14万元，支出决算为1017.14万元，完成年初预算的105 %。决算数大于预算数的主要原因是我单位人员的增加。其中：</w:t>
      </w:r>
    </w:p>
    <w:p>
      <w:pPr>
        <w:adjustRightInd w:val="0"/>
        <w:snapToGrid w:val="0"/>
        <w:spacing w:line="360" w:lineRule="auto"/>
        <w:ind w:firstLine="640"/>
        <w:jc w:val="left"/>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1、一般公共服务（类）财政事务（款）行政运行。年初预算为238.7万元，支出决算为284.24万元，完成年初预算的119%。决算数大于预算数的主要原因是增加的人员工资。</w:t>
      </w:r>
    </w:p>
    <w:p>
      <w:pPr>
        <w:adjustRightInd w:val="0"/>
        <w:snapToGrid w:val="0"/>
        <w:spacing w:line="360" w:lineRule="auto"/>
        <w:ind w:firstLine="640"/>
        <w:jc w:val="left"/>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2、一般公共服务（类）财政事务（款）一般行政管理事务年初预算为0万元，支出决算为0万元，完成年初预算的0%。</w:t>
      </w:r>
    </w:p>
    <w:p>
      <w:pPr>
        <w:adjustRightInd w:val="0"/>
        <w:snapToGrid w:val="0"/>
        <w:spacing w:line="360" w:lineRule="auto"/>
        <w:ind w:firstLine="640"/>
        <w:jc w:val="left"/>
        <w:rPr>
          <w:rFonts w:hint="eastAsia" w:ascii="仿宋_GB2312" w:hAnsi="宋体" w:eastAsia="仿宋_GB2312" w:cs="Courier New"/>
          <w:sz w:val="32"/>
          <w:szCs w:val="32"/>
          <w:lang w:val="en-US" w:eastAsia="zh-CN"/>
        </w:rPr>
      </w:pPr>
    </w:p>
    <w:p>
      <w:pPr>
        <w:numPr>
          <w:ilvl w:val="0"/>
          <w:numId w:val="4"/>
        </w:numPr>
        <w:adjustRightInd w:val="0"/>
        <w:snapToGrid w:val="0"/>
        <w:spacing w:line="360" w:lineRule="auto"/>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关于一般公共预算财政拨款基本支出决算情况说明</w:t>
      </w:r>
    </w:p>
    <w:p>
      <w:pPr>
        <w:adjustRightInd w:val="0"/>
        <w:snapToGrid w:val="0"/>
        <w:spacing w:line="360" w:lineRule="auto"/>
        <w:ind w:firstLine="640"/>
        <w:jc w:val="left"/>
        <w:rPr>
          <w:rFonts w:hint="eastAsia" w:ascii="仿宋_GB2312" w:hAnsi="宋体" w:eastAsia="仿宋_GB2312" w:cs="Courier New"/>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2</w:t>
      </w:r>
      <w:r>
        <w:rPr>
          <w:rFonts w:hint="eastAsia" w:ascii="仿宋_GB2312" w:hAnsi="宋体" w:eastAsia="仿宋_GB2312" w:cs="Courier New"/>
          <w:sz w:val="32"/>
          <w:szCs w:val="32"/>
          <w:lang w:val="en-US" w:eastAsia="zh-CN"/>
        </w:rPr>
        <w:t>017年一般公共预算财政拨款基本支出1017.14万元，其中人员经费732.9万元，主要包括：基本工资、津贴补贴、奖金、其他社会保障缴费、绩效工资、养老保险缴费、退休费、救济费、奖励金、住房公积金等。公用经费284.24万元，主要包括：办公费、印刷费、咨询费、水电费、邮电费、差旅费、维修费、租赁费、会议费、培训费、公务接待费、被装购置费、劳务费、委托业务费、工会经费、其他交通费用和其它商品和服务支出等。</w:t>
      </w:r>
    </w:p>
    <w:p>
      <w:pPr>
        <w:adjustRightInd w:val="0"/>
        <w:snapToGrid w:val="0"/>
        <w:spacing w:line="360" w:lineRule="auto"/>
        <w:ind w:firstLine="640"/>
        <w:jc w:val="left"/>
        <w:rPr>
          <w:rFonts w:hint="eastAsia" w:ascii="仿宋_GB2312" w:hAnsi="宋体" w:eastAsia="仿宋_GB2312" w:cs="Courier New"/>
          <w:sz w:val="32"/>
          <w:szCs w:val="32"/>
          <w:lang w:val="en-US" w:eastAsia="zh-CN"/>
        </w:rPr>
      </w:pPr>
    </w:p>
    <w:p>
      <w:pPr>
        <w:numPr>
          <w:ilvl w:val="0"/>
          <w:numId w:val="4"/>
        </w:numPr>
        <w:adjustRightInd w:val="0"/>
        <w:snapToGrid w:val="0"/>
        <w:spacing w:line="360" w:lineRule="auto"/>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关于一般公共预算财政拨款“三公”经费支出决算情况说明</w:t>
      </w:r>
    </w:p>
    <w:p>
      <w:pPr>
        <w:adjustRightInd w:val="0"/>
        <w:snapToGrid w:val="0"/>
        <w:spacing w:line="360" w:lineRule="auto"/>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（一）“三公”经费财政拨款支出决算总体情况说明。</w:t>
      </w:r>
    </w:p>
    <w:p>
      <w:pPr>
        <w:adjustRightInd w:val="0"/>
        <w:snapToGrid w:val="0"/>
        <w:spacing w:line="360" w:lineRule="auto"/>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度“三公”经费财政拨款支出预算为13万元，支出决算为12.9万元，完成预算的99%，其中：因公出国（境）费支出决算为0万元，完成预算的0%；公务用车购置及运行费支出决算为0万元，完成预算的0%；公务接待费支出决算为12.9万元，完成预算的99%，2017年度“三公”经费支出决算数小于预算数的主要原因是我局严格执行中央“八项”规定，杜绝大吃大喝，禁止铺张浪费。</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年度“三公”经费财政拨款支出决算数</w:t>
      </w:r>
      <w:r>
        <w:rPr>
          <w:rFonts w:hint="eastAsia" w:ascii="仿宋_GB2312" w:hAnsi="宋体" w:eastAsia="仿宋_GB2312" w:cs="Courier New"/>
          <w:sz w:val="32"/>
          <w:szCs w:val="32"/>
          <w:lang w:val="en-US" w:eastAsia="zh-CN"/>
        </w:rPr>
        <w:t>比</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w:t>
      </w:r>
      <w:r>
        <w:rPr>
          <w:rFonts w:hint="eastAsia" w:ascii="仿宋_GB2312" w:hAnsi="宋体" w:eastAsia="仿宋_GB2312" w:cs="Courier New"/>
          <w:sz w:val="32"/>
          <w:szCs w:val="32"/>
          <w:lang w:val="en-US" w:eastAsia="zh-CN"/>
        </w:rPr>
        <w:t>增加1.5万元，增长13%。</w:t>
      </w:r>
      <w:r>
        <w:rPr>
          <w:rFonts w:hint="eastAsia" w:ascii="仿宋_GB2312" w:hAnsi="宋体" w:eastAsia="仿宋_GB2312" w:cs="Courier New"/>
          <w:sz w:val="32"/>
          <w:szCs w:val="32"/>
        </w:rPr>
        <w:t>其中：因公出国（境）费支出决算</w:t>
      </w:r>
      <w:r>
        <w:rPr>
          <w:rFonts w:hint="eastAsia" w:ascii="仿宋_GB2312" w:hAnsi="宋体" w:eastAsia="仿宋_GB2312" w:cs="Courier New"/>
          <w:sz w:val="32"/>
          <w:szCs w:val="32"/>
          <w:lang w:val="en-US" w:eastAsia="zh-CN"/>
        </w:rPr>
        <w:t>增加0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增长0%</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val="en-US" w:eastAsia="zh-CN"/>
        </w:rPr>
        <w:t>增加0万元，增加0%</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增加1.5万元，增长13%，公务接待增加的主要原因是人员的增加。</w:t>
      </w:r>
    </w:p>
    <w:p>
      <w:pPr>
        <w:numPr>
          <w:ilvl w:val="0"/>
          <w:numId w:val="0"/>
        </w:numPr>
        <w:kinsoku w:val="0"/>
        <w:overflowPunct w:val="0"/>
        <w:autoSpaceDE w:val="0"/>
        <w:autoSpaceDN w:val="0"/>
        <w:adjustRightInd w:val="0"/>
        <w:snapToGrid w:val="0"/>
        <w:spacing w:line="360" w:lineRule="auto"/>
        <w:ind w:leftChars="200"/>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年度“三公”经费财政拨款支出决算中，因公出国（境）费支出决算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12.9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99</w:t>
      </w:r>
      <w:r>
        <w:rPr>
          <w:rFonts w:hint="eastAsia" w:ascii="仿宋_GB2312" w:hAnsi="宋体" w:eastAsia="仿宋_GB2312" w:cs="Courier New"/>
          <w:sz w:val="32"/>
          <w:szCs w:val="32"/>
        </w:rPr>
        <w:t>%。具体情况如下：</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b/>
          <w:bCs/>
          <w:sz w:val="32"/>
          <w:szCs w:val="32"/>
          <w:lang w:val="en-US" w:eastAsia="zh-CN"/>
        </w:rPr>
        <w:t>1、</w:t>
      </w: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numPr>
          <w:ilvl w:val="0"/>
          <w:numId w:val="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2、</w:t>
      </w: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bookmarkStart w:id="0" w:name="_GoBack"/>
      <w:r>
        <w:rPr>
          <w:rFonts w:hint="eastAsia" w:cs="Courier New" w:asciiTheme="minorEastAsia" w:hAnsiTheme="minorEastAsia"/>
          <w:sz w:val="32"/>
          <w:szCs w:val="32"/>
          <w:lang w:eastAsia="zh-CN"/>
        </w:rPr>
        <w:t>公车保有量为</w:t>
      </w:r>
      <w:r>
        <w:rPr>
          <w:rFonts w:hint="eastAsia" w:cs="Courier New" w:asciiTheme="minorEastAsia" w:hAnsiTheme="minorEastAsia"/>
          <w:sz w:val="32"/>
          <w:szCs w:val="32"/>
          <w:lang w:val="en-US" w:eastAsia="zh-CN"/>
        </w:rPr>
        <w:t>5辆。</w:t>
      </w:r>
      <w:bookmarkEnd w:id="0"/>
    </w:p>
    <w:p>
      <w:pPr>
        <w:numPr>
          <w:ilvl w:val="0"/>
          <w:numId w:val="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3、</w:t>
      </w: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12.9</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主要用于</w:t>
      </w:r>
      <w:r>
        <w:rPr>
          <w:rFonts w:hint="eastAsia" w:ascii="仿宋_GB2312" w:hAnsi="宋体" w:eastAsia="仿宋_GB2312" w:cs="Courier New"/>
          <w:sz w:val="32"/>
          <w:szCs w:val="32"/>
          <w:lang w:val="en-US" w:eastAsia="zh-CN"/>
        </w:rPr>
        <w:t>省市和其它县区食品药品监督管理局交流学习共22批，176人次（不包括陪同人员）</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食品药品监督管理局</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年度共接待国内来访团组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个、来访外宾</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人次（不包括陪同人员）。</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numPr>
          <w:ilvl w:val="0"/>
          <w:numId w:val="4"/>
        </w:numPr>
        <w:adjustRightInd w:val="0"/>
        <w:snapToGrid w:val="0"/>
        <w:spacing w:line="360" w:lineRule="auto"/>
        <w:ind w:left="0" w:leftChars="0" w:firstLine="640" w:firstLineChars="200"/>
        <w:outlineLvl w:val="1"/>
        <w:rPr>
          <w:rFonts w:hint="eastAsia" w:ascii="黑体" w:hAnsi="黑体" w:eastAsia="黑体" w:cs="黑体"/>
          <w:sz w:val="32"/>
          <w:szCs w:val="32"/>
          <w:lang w:val="en-US" w:eastAsia="zh-CN"/>
        </w:rPr>
      </w:pPr>
      <w:r>
        <w:rPr>
          <w:rFonts w:hint="eastAsia" w:ascii="黑体" w:hAnsi="黑体" w:eastAsia="黑体" w:cs="黑体"/>
          <w:sz w:val="32"/>
          <w:szCs w:val="32"/>
        </w:rPr>
        <w:t>关于预算绩效情况说明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仿宋_GB2312" w:hAnsi="宋体" w:eastAsia="仿宋_GB2312" w:cs="Courier New"/>
          <w:sz w:val="32"/>
          <w:szCs w:val="32"/>
          <w:lang w:eastAsia="zh-CN"/>
        </w:rPr>
        <w:t>，为做好预算绩效管理工作</w:t>
      </w:r>
      <w:r>
        <w:rPr>
          <w:rFonts w:hint="eastAsia" w:ascii="仿宋_GB2312" w:hAnsi="宋体" w:eastAsia="仿宋_GB2312" w:cs="Courier New"/>
          <w:sz w:val="32"/>
          <w:szCs w:val="32"/>
        </w:rPr>
        <w:t>，</w:t>
      </w:r>
      <w:r>
        <w:rPr>
          <w:rFonts w:hint="eastAsia" w:ascii="仿宋_GB2312" w:hAnsi="宋体" w:eastAsia="仿宋_GB2312" w:cs="Courier New"/>
          <w:color w:val="auto"/>
          <w:sz w:val="32"/>
          <w:szCs w:val="32"/>
          <w:lang w:val="en-US" w:eastAsia="zh-CN"/>
        </w:rPr>
        <w:t>我</w:t>
      </w:r>
      <w:r>
        <w:rPr>
          <w:rFonts w:hint="eastAsia" w:ascii="仿宋_GB2312" w:hAnsi="宋体" w:eastAsia="仿宋_GB2312" w:cs="Courier New"/>
          <w:color w:val="auto"/>
          <w:sz w:val="32"/>
          <w:szCs w:val="32"/>
          <w:lang w:eastAsia="zh-CN"/>
        </w:rPr>
        <w:t>单位按照要求，积极开展预算绩效管理评价工作。在评价中主要遵循适用性原则、可操作性原则、产出与效果相结合原则。重点考虑产出与效果相结合，既考虑设计效果指标，反映专项资金绩效水平，又要设计效果指标，反映项目预算执行、管理的好坏。在绩效评价指标评价中主要采用的指标包括：社会效益指标、资金使用指标和资金管理指标等，通过设定产出指标和效果指标，分别根据自评项目填写实际确定的各项具体指标。</w:t>
      </w:r>
      <w:r>
        <w:rPr>
          <w:rFonts w:hint="eastAsia" w:ascii="仿宋_GB2312" w:hAnsi="宋体" w:eastAsia="仿宋_GB2312" w:cs="Courier New"/>
          <w:color w:val="auto"/>
          <w:sz w:val="32"/>
          <w:szCs w:val="32"/>
          <w:lang w:val="en-US" w:eastAsia="zh-CN"/>
        </w:rPr>
        <w:t>食品药品监督管理局</w:t>
      </w:r>
      <w:r>
        <w:rPr>
          <w:rFonts w:hint="eastAsia" w:ascii="仿宋_GB2312" w:hAnsi="宋体" w:eastAsia="仿宋_GB2312" w:cs="Courier New"/>
          <w:color w:val="auto"/>
          <w:sz w:val="32"/>
          <w:szCs w:val="32"/>
        </w:rPr>
        <w:t>对</w:t>
      </w:r>
      <w:r>
        <w:rPr>
          <w:rFonts w:hint="eastAsia" w:ascii="仿宋_GB2312" w:hAnsi="宋体" w:eastAsia="仿宋_GB2312" w:cs="Courier New"/>
          <w:color w:val="auto"/>
          <w:sz w:val="32"/>
          <w:szCs w:val="32"/>
          <w:lang w:eastAsia="zh-CN"/>
        </w:rPr>
        <w:t>2017</w:t>
      </w:r>
      <w:r>
        <w:rPr>
          <w:rFonts w:hint="eastAsia" w:ascii="仿宋_GB2312" w:hAnsi="宋体" w:eastAsia="仿宋_GB2312" w:cs="Courier New"/>
          <w:color w:val="auto"/>
          <w:sz w:val="32"/>
          <w:szCs w:val="32"/>
        </w:rPr>
        <w:t>年度一</w:t>
      </w:r>
      <w:r>
        <w:rPr>
          <w:rFonts w:hint="eastAsia" w:ascii="仿宋_GB2312" w:hAnsi="宋体" w:eastAsia="仿宋_GB2312" w:cs="Courier New"/>
          <w:sz w:val="32"/>
          <w:szCs w:val="32"/>
        </w:rPr>
        <w:t>般公共预算项目支出全面开展绩效自评。其中，一级项目</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个，二级项目</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个，共涉及预算资金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万元，自评覆盖率达到</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auto"/>
          <w:sz w:val="32"/>
          <w:szCs w:val="32"/>
        </w:rPr>
      </w:pPr>
      <w:r>
        <w:rPr>
          <w:rFonts w:hint="eastAsia" w:ascii="仿宋_GB2312" w:hAnsi="宋体" w:eastAsia="仿宋_GB2312" w:cs="Courier New"/>
          <w:color w:val="auto"/>
          <w:sz w:val="32"/>
          <w:szCs w:val="32"/>
          <w:lang w:eastAsia="zh-CN"/>
        </w:rPr>
        <w:t>本单位今年没有项目</w:t>
      </w:r>
    </w:p>
    <w:p>
      <w:pPr>
        <w:numPr>
          <w:ilvl w:val="0"/>
          <w:numId w:val="0"/>
        </w:numPr>
        <w:kinsoku w:val="0"/>
        <w:overflowPunct w:val="0"/>
        <w:autoSpaceDE w:val="0"/>
        <w:autoSpaceDN w:val="0"/>
        <w:adjustRightInd w:val="0"/>
        <w:snapToGrid w:val="0"/>
        <w:spacing w:line="360" w:lineRule="auto"/>
        <w:ind w:leftChars="200"/>
        <w:rPr>
          <w:rFonts w:ascii="楷体_GB2312" w:hAnsi="楷体_GB2312" w:eastAsia="楷体_GB2312" w:cs="楷体_GB2312"/>
          <w:sz w:val="32"/>
          <w:szCs w:val="32"/>
        </w:rPr>
      </w:pPr>
    </w:p>
    <w:p>
      <w:pPr>
        <w:numPr>
          <w:ilvl w:val="0"/>
          <w:numId w:val="0"/>
        </w:numPr>
        <w:adjustRightInd w:val="0"/>
        <w:snapToGrid w:val="0"/>
        <w:spacing w:line="360" w:lineRule="auto"/>
        <w:ind w:leftChars="200" w:firstLine="320" w:firstLineChars="100"/>
        <w:outlineLvl w:val="1"/>
        <w:rPr>
          <w:rFonts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年度政府性基金预算财政拨款支出年初预算为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val="en-US" w:eastAsia="zh-CN"/>
        </w:rPr>
      </w:pPr>
    </w:p>
    <w:p>
      <w:pPr>
        <w:numPr>
          <w:ilvl w:val="0"/>
          <w:numId w:val="0"/>
        </w:numPr>
        <w:adjustRightInd w:val="0"/>
        <w:snapToGrid w:val="0"/>
        <w:spacing w:line="360" w:lineRule="auto"/>
        <w:ind w:leftChars="200" w:firstLine="320" w:firstLineChars="100"/>
        <w:outlineLvl w:val="1"/>
        <w:rPr>
          <w:rFonts w:ascii="黑体" w:hAnsi="黑体" w:eastAsia="黑体"/>
          <w:sz w:val="32"/>
          <w:szCs w:val="32"/>
        </w:rPr>
      </w:pPr>
      <w:r>
        <w:rPr>
          <w:rFonts w:hint="eastAsia" w:ascii="黑体" w:hAnsi="黑体" w:eastAsia="黑体"/>
          <w:sz w:val="32"/>
          <w:szCs w:val="32"/>
          <w:lang w:val="en-US" w:eastAsia="zh-CN"/>
        </w:rPr>
        <w:t>十、</w:t>
      </w:r>
      <w:r>
        <w:rPr>
          <w:rFonts w:hint="eastAsia" w:ascii="黑体" w:hAnsi="黑体" w:eastAsia="黑体"/>
          <w:sz w:val="32"/>
          <w:szCs w:val="32"/>
        </w:rPr>
        <w:t>其他重要事项的情况说明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年度机关运行经费支出</w:t>
      </w:r>
      <w:r>
        <w:rPr>
          <w:rFonts w:hint="eastAsia" w:ascii="仿宋_GB2312" w:hAnsi="宋体" w:eastAsia="仿宋_GB2312" w:cs="Courier New"/>
          <w:sz w:val="32"/>
          <w:szCs w:val="32"/>
          <w:lang w:val="en-US" w:eastAsia="zh-CN"/>
        </w:rPr>
        <w:t>284.24</w:t>
      </w:r>
      <w:r>
        <w:rPr>
          <w:rFonts w:hint="eastAsia" w:ascii="仿宋_GB2312" w:hAnsi="宋体" w:eastAsia="仿宋_GB2312" w:cs="Courier New"/>
          <w:sz w:val="32"/>
          <w:szCs w:val="32"/>
        </w:rPr>
        <w:t>万元，比</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年增加</w:t>
      </w:r>
      <w:r>
        <w:rPr>
          <w:rFonts w:hint="eastAsia" w:ascii="仿宋_GB2312" w:hAnsi="宋体" w:eastAsia="仿宋_GB2312" w:cs="Courier New"/>
          <w:sz w:val="32"/>
          <w:szCs w:val="32"/>
          <w:lang w:val="en-US" w:eastAsia="zh-CN"/>
        </w:rPr>
        <w:t>57.44</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25</w:t>
      </w:r>
      <w:r>
        <w:rPr>
          <w:rFonts w:ascii="仿宋_GB2312" w:hAnsi="宋体" w:eastAsia="仿宋_GB2312" w:cs="Courier New"/>
          <w:sz w:val="32"/>
          <w:szCs w:val="32"/>
        </w:rPr>
        <w:t>%</w:t>
      </w:r>
    </w:p>
    <w:p>
      <w:pPr>
        <w:numPr>
          <w:ilvl w:val="0"/>
          <w:numId w:val="7"/>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年度政府采购支出总额</w:t>
      </w:r>
      <w:r>
        <w:rPr>
          <w:rFonts w:hint="eastAsia" w:ascii="仿宋_GB2312" w:hAnsi="宋体" w:eastAsia="仿宋_GB2312" w:cs="Courier New"/>
          <w:sz w:val="32"/>
          <w:szCs w:val="32"/>
          <w:lang w:val="en-US" w:eastAsia="zh-CN"/>
        </w:rPr>
        <w:t>4.5</w:t>
      </w:r>
      <w:r>
        <w:rPr>
          <w:rFonts w:hint="eastAsia" w:ascii="仿宋_GB2312" w:hAnsi="宋体" w:eastAsia="仿宋_GB2312" w:cs="Courier New"/>
          <w:sz w:val="32"/>
          <w:szCs w:val="32"/>
        </w:rPr>
        <w:t>万元，其中：政府采购货物支出</w:t>
      </w:r>
      <w:r>
        <w:rPr>
          <w:rFonts w:hint="eastAsia" w:ascii="仿宋_GB2312" w:hAnsi="宋体" w:eastAsia="仿宋_GB2312" w:cs="Courier New"/>
          <w:sz w:val="32"/>
          <w:szCs w:val="32"/>
          <w:lang w:val="en-US" w:eastAsia="zh-CN"/>
        </w:rPr>
        <w:t>4.5</w:t>
      </w:r>
      <w:r>
        <w:rPr>
          <w:rFonts w:hint="eastAsia" w:ascii="仿宋_GB2312" w:hAnsi="宋体" w:eastAsia="仿宋_GB2312" w:cs="Courier New"/>
          <w:sz w:val="32"/>
          <w:szCs w:val="32"/>
        </w:rPr>
        <w:t>万元，政府采购工程支出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万元，政府采购服务支出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万元。授予中小企业合同金额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%，其中：授予小微企业合同金额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p>
    <w:p>
      <w:pPr>
        <w:numPr>
          <w:ilvl w:val="0"/>
          <w:numId w:val="0"/>
        </w:numPr>
        <w:kinsoku w:val="0"/>
        <w:overflowPunct w:val="0"/>
        <w:autoSpaceDE w:val="0"/>
        <w:autoSpaceDN w:val="0"/>
        <w:adjustRightInd w:val="0"/>
        <w:snapToGrid w:val="0"/>
        <w:spacing w:line="360" w:lineRule="auto"/>
        <w:ind w:firstLine="960" w:firstLineChars="3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lang w:eastAsia="zh-CN"/>
        </w:rPr>
        <w:t>（</w:t>
      </w:r>
      <w:r>
        <w:rPr>
          <w:rFonts w:hint="eastAsia" w:ascii="楷体_GB2312" w:hAnsi="Times New Roman" w:eastAsia="楷体_GB2312" w:cs="仿宋_GB2312"/>
          <w:bCs/>
          <w:kern w:val="0"/>
          <w:sz w:val="32"/>
          <w:szCs w:val="32"/>
          <w:lang w:val="en-US" w:eastAsia="zh-CN"/>
        </w:rPr>
        <w:t>三</w:t>
      </w:r>
      <w:r>
        <w:rPr>
          <w:rFonts w:hint="eastAsia" w:ascii="楷体_GB2312" w:hAnsi="Times New Roman" w:eastAsia="楷体_GB2312" w:cs="仿宋_GB2312"/>
          <w:bCs/>
          <w:kern w:val="0"/>
          <w:sz w:val="32"/>
          <w:szCs w:val="32"/>
          <w:lang w:eastAsia="zh-CN"/>
        </w:rPr>
        <w:t>）</w:t>
      </w: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年期末，</w:t>
      </w:r>
      <w:r>
        <w:rPr>
          <w:rFonts w:hint="eastAsia" w:ascii="仿宋_GB2312" w:hAnsi="宋体" w:eastAsia="仿宋_GB2312" w:cs="Courier New"/>
          <w:sz w:val="32"/>
          <w:szCs w:val="32"/>
          <w:lang w:val="en-US" w:eastAsia="zh-CN"/>
        </w:rPr>
        <w:t>食品药品监督管理局</w:t>
      </w:r>
      <w:r>
        <w:rPr>
          <w:rFonts w:hint="eastAsia" w:ascii="仿宋_GB2312" w:hAnsi="宋体" w:eastAsia="仿宋_GB2312" w:cs="Courier New"/>
          <w:sz w:val="32"/>
          <w:szCs w:val="32"/>
        </w:rPr>
        <w:t>共有车辆</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辆，其中：</w:t>
      </w:r>
      <w:r>
        <w:rPr>
          <w:rFonts w:hint="eastAsia" w:ascii="仿宋_GB2312" w:hAnsi="宋体" w:eastAsia="仿宋_GB2312" w:cs="Courier New"/>
          <w:sz w:val="32"/>
          <w:szCs w:val="32"/>
          <w:lang w:val="en-US" w:eastAsia="zh-CN"/>
        </w:rPr>
        <w:t>局领导干部用车0辆，一般公务用车0辆，</w:t>
      </w:r>
      <w:r>
        <w:rPr>
          <w:rFonts w:hint="eastAsia" w:ascii="仿宋_GB2312" w:hAnsi="宋体" w:eastAsia="仿宋_GB2312" w:cs="Courier New"/>
          <w:sz w:val="32"/>
          <w:szCs w:val="32"/>
        </w:rPr>
        <w:t>一般执法执勤用车</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辆、特种专业技术用车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辆，其他用车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辆，单价50万元以上通用设备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台（套），单位价值100万元以上专用设备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val="en-US" w:eastAsia="zh-CN"/>
        </w:rPr>
        <w:sectPr>
          <w:pgSz w:w="11905" w:h="16840"/>
          <w:pgMar w:top="2098" w:right="1474" w:bottom="1984" w:left="1587"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w:t>
      </w:r>
      <w:r>
        <w:rPr>
          <w:rFonts w:hint="eastAsia" w:ascii="隶书" w:hAnsi="隶书" w:eastAsia="隶书" w:cs="隶书"/>
          <w:sz w:val="48"/>
          <w:szCs w:val="48"/>
          <w:lang w:val="en-US" w:eastAsia="zh-CN"/>
        </w:rPr>
        <w:t>三</w:t>
      </w:r>
      <w:r>
        <w:rPr>
          <w:rFonts w:hint="eastAsia" w:ascii="隶书" w:hAnsi="隶书" w:eastAsia="隶书" w:cs="隶书"/>
          <w:sz w:val="48"/>
          <w:szCs w:val="48"/>
        </w:rPr>
        <w:t>部分　　名词解释</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w:t>
      </w:r>
      <w:r>
        <w:rPr>
          <w:rFonts w:hint="eastAsia" w:ascii="仿宋_GB2312" w:hAnsi="宋体" w:eastAsia="仿宋_GB2312" w:cs="Courier New"/>
          <w:sz w:val="32"/>
          <w:szCs w:val="32"/>
          <w:lang w:val="en-US" w:eastAsia="zh-CN"/>
        </w:rPr>
        <w:t>区</w:t>
      </w:r>
      <w:r>
        <w:rPr>
          <w:rFonts w:hint="eastAsia" w:ascii="仿宋_GB2312" w:hAnsi="宋体" w:eastAsia="仿宋_GB2312" w:cs="Courier New"/>
          <w:sz w:val="32"/>
          <w:szCs w:val="32"/>
        </w:rPr>
        <w:t>级财政当年拨付的资金。</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auto"/>
          <w:sz w:val="32"/>
          <w:szCs w:val="32"/>
        </w:rPr>
        <w:t>（请根据单位实际情况，参照《201</w:t>
      </w:r>
      <w:r>
        <w:rPr>
          <w:rFonts w:hint="eastAsia" w:ascii="仿宋_GB2312" w:hAnsi="宋体" w:eastAsia="仿宋_GB2312" w:cs="Courier New"/>
          <w:b/>
          <w:bCs/>
          <w:color w:val="auto"/>
          <w:sz w:val="32"/>
          <w:szCs w:val="32"/>
          <w:lang w:val="en-US" w:eastAsia="zh-CN"/>
        </w:rPr>
        <w:t>7</w:t>
      </w:r>
      <w:r>
        <w:rPr>
          <w:rFonts w:hint="eastAsia" w:ascii="仿宋_GB2312" w:hAnsi="宋体" w:eastAsia="仿宋_GB2312" w:cs="Courier New"/>
          <w:b/>
          <w:bCs/>
          <w:color w:val="auto"/>
          <w:sz w:val="32"/>
          <w:szCs w:val="32"/>
        </w:rPr>
        <w:t>年政府收支分类科目》和对口中央部门决算公开信息填写）：</w:t>
      </w:r>
      <w:r>
        <w:rPr>
          <w:rFonts w:hint="eastAsia" w:ascii="仿宋_GB2312" w:hAnsi="宋体" w:eastAsia="仿宋_GB2312" w:cs="Courier New"/>
          <w:color w:val="auto"/>
          <w:sz w:val="32"/>
          <w:szCs w:val="32"/>
        </w:rPr>
        <w:t>是指Ｘ</w:t>
      </w:r>
      <w:r>
        <w:rPr>
          <w:rFonts w:hint="eastAsia" w:ascii="仿宋_GB2312" w:hAnsi="宋体" w:eastAsia="仿宋_GB2312" w:cs="Courier New"/>
          <w:sz w:val="32"/>
          <w:szCs w:val="32"/>
        </w:rPr>
        <w:t>Ｘ厅（局）用于保障机构正常运行、开展日常工作的基本支出。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EE52C6"/>
    <w:multiLevelType w:val="singleLevel"/>
    <w:tmpl w:val="F8EE52C6"/>
    <w:lvl w:ilvl="0" w:tentative="0">
      <w:start w:val="2"/>
      <w:numFmt w:val="chineseCounting"/>
      <w:suff w:val="space"/>
      <w:lvlText w:val="第%1部分"/>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abstractNum w:abstractNumId="2">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3">
    <w:nsid w:val="5971C193"/>
    <w:multiLevelType w:val="singleLevel"/>
    <w:tmpl w:val="5971C193"/>
    <w:lvl w:ilvl="0" w:tentative="0">
      <w:start w:val="2"/>
      <w:numFmt w:val="chineseCounting"/>
      <w:suff w:val="nothing"/>
      <w:lvlText w:val="%1、"/>
      <w:lvlJc w:val="left"/>
    </w:lvl>
  </w:abstractNum>
  <w:abstractNum w:abstractNumId="4">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5">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6">
    <w:nsid w:val="5971F72C"/>
    <w:multiLevelType w:val="singleLevel"/>
    <w:tmpl w:val="5971F72C"/>
    <w:lvl w:ilvl="0" w:tentative="0">
      <w:start w:val="1"/>
      <w:numFmt w:val="chineseCounting"/>
      <w:suff w:val="nothing"/>
      <w:lvlText w:val="%1、"/>
      <w:lvlJc w:val="left"/>
      <w:pPr>
        <w:ind w:left="0" w:firstLine="420"/>
      </w:pPr>
      <w:rPr>
        <w:rFonts w:hint="eastAsia"/>
      </w:rPr>
    </w:lvl>
  </w:abstractNum>
  <w:abstractNum w:abstractNumId="7">
    <w:nsid w:val="6DF12E5E"/>
    <w:multiLevelType w:val="singleLevel"/>
    <w:tmpl w:val="6DF12E5E"/>
    <w:lvl w:ilvl="0" w:tentative="0">
      <w:start w:val="1"/>
      <w:numFmt w:val="chineseCounting"/>
      <w:suff w:val="nothing"/>
      <w:lvlText w:val="（%1）"/>
      <w:lvlJc w:val="left"/>
      <w:pPr>
        <w:ind w:left="740" w:leftChars="0" w:firstLine="0" w:firstLineChars="0"/>
      </w:pPr>
      <w:rPr>
        <w:rFonts w:hint="eastAsia"/>
      </w:rPr>
    </w:lvl>
  </w:abstractNum>
  <w:num w:numId="1">
    <w:abstractNumId w:val="1"/>
  </w:num>
  <w:num w:numId="2">
    <w:abstractNumId w:val="0"/>
  </w:num>
  <w:num w:numId="3">
    <w:abstractNumId w:val="2"/>
  </w:num>
  <w:num w:numId="4">
    <w:abstractNumId w:val="3"/>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439A5"/>
    <w:rsid w:val="00630D31"/>
    <w:rsid w:val="00B54309"/>
    <w:rsid w:val="00B84FB0"/>
    <w:rsid w:val="026C1D01"/>
    <w:rsid w:val="02921A18"/>
    <w:rsid w:val="02E42808"/>
    <w:rsid w:val="038D0C09"/>
    <w:rsid w:val="03F772BD"/>
    <w:rsid w:val="042540E7"/>
    <w:rsid w:val="04453648"/>
    <w:rsid w:val="065802F9"/>
    <w:rsid w:val="06DD07A3"/>
    <w:rsid w:val="089C0718"/>
    <w:rsid w:val="08A342F1"/>
    <w:rsid w:val="097D7B82"/>
    <w:rsid w:val="09BB2134"/>
    <w:rsid w:val="0A455FE2"/>
    <w:rsid w:val="0A8704D9"/>
    <w:rsid w:val="0AB34384"/>
    <w:rsid w:val="0B3C5CAB"/>
    <w:rsid w:val="0B7D697F"/>
    <w:rsid w:val="0BCE34BB"/>
    <w:rsid w:val="0C666583"/>
    <w:rsid w:val="0C6F59CF"/>
    <w:rsid w:val="0CC94AC2"/>
    <w:rsid w:val="0CDC4498"/>
    <w:rsid w:val="0EAB1ACB"/>
    <w:rsid w:val="0FD2416D"/>
    <w:rsid w:val="0FED11E3"/>
    <w:rsid w:val="115902A1"/>
    <w:rsid w:val="133E09B4"/>
    <w:rsid w:val="15111BEF"/>
    <w:rsid w:val="15492582"/>
    <w:rsid w:val="19FD228C"/>
    <w:rsid w:val="1A1034C4"/>
    <w:rsid w:val="1A2173BF"/>
    <w:rsid w:val="1A9F4380"/>
    <w:rsid w:val="1B4F26F5"/>
    <w:rsid w:val="1BDB4145"/>
    <w:rsid w:val="1C337987"/>
    <w:rsid w:val="1E26539F"/>
    <w:rsid w:val="1E7D3B34"/>
    <w:rsid w:val="2156670F"/>
    <w:rsid w:val="22C81936"/>
    <w:rsid w:val="2330275C"/>
    <w:rsid w:val="237D4DC2"/>
    <w:rsid w:val="25242209"/>
    <w:rsid w:val="262340B0"/>
    <w:rsid w:val="269121E5"/>
    <w:rsid w:val="276B250E"/>
    <w:rsid w:val="27AE62A6"/>
    <w:rsid w:val="28647D4E"/>
    <w:rsid w:val="28761765"/>
    <w:rsid w:val="2943571A"/>
    <w:rsid w:val="29A03F43"/>
    <w:rsid w:val="29A277D0"/>
    <w:rsid w:val="2BA4769A"/>
    <w:rsid w:val="2BBA00CD"/>
    <w:rsid w:val="2C8560C0"/>
    <w:rsid w:val="2C930546"/>
    <w:rsid w:val="2C94075F"/>
    <w:rsid w:val="2CC5229A"/>
    <w:rsid w:val="2CD06EF4"/>
    <w:rsid w:val="2D202C95"/>
    <w:rsid w:val="2D5C74A7"/>
    <w:rsid w:val="2D96158F"/>
    <w:rsid w:val="2DDE32BA"/>
    <w:rsid w:val="2DE2344A"/>
    <w:rsid w:val="31CF5636"/>
    <w:rsid w:val="31E44B69"/>
    <w:rsid w:val="32EF40CE"/>
    <w:rsid w:val="33A82120"/>
    <w:rsid w:val="33EB2C3A"/>
    <w:rsid w:val="34015458"/>
    <w:rsid w:val="354F4B2F"/>
    <w:rsid w:val="3596772B"/>
    <w:rsid w:val="36105AF9"/>
    <w:rsid w:val="372974AC"/>
    <w:rsid w:val="384F677E"/>
    <w:rsid w:val="39166C0E"/>
    <w:rsid w:val="39784924"/>
    <w:rsid w:val="3B2F0A5B"/>
    <w:rsid w:val="3B79331E"/>
    <w:rsid w:val="3C8A3EBB"/>
    <w:rsid w:val="3CA8584E"/>
    <w:rsid w:val="3CBC0860"/>
    <w:rsid w:val="3CF50C43"/>
    <w:rsid w:val="3F26637F"/>
    <w:rsid w:val="3F5F0D3E"/>
    <w:rsid w:val="41C76F0E"/>
    <w:rsid w:val="420F1A58"/>
    <w:rsid w:val="42271DDB"/>
    <w:rsid w:val="42E022E5"/>
    <w:rsid w:val="42F232A1"/>
    <w:rsid w:val="4357557C"/>
    <w:rsid w:val="43BB46FD"/>
    <w:rsid w:val="440C08EE"/>
    <w:rsid w:val="448C3D3F"/>
    <w:rsid w:val="44C87726"/>
    <w:rsid w:val="45344068"/>
    <w:rsid w:val="458834AF"/>
    <w:rsid w:val="46234AC5"/>
    <w:rsid w:val="46EB161E"/>
    <w:rsid w:val="47475120"/>
    <w:rsid w:val="477C5D8F"/>
    <w:rsid w:val="483D2F6C"/>
    <w:rsid w:val="48B52937"/>
    <w:rsid w:val="48EE3EF3"/>
    <w:rsid w:val="49427FB1"/>
    <w:rsid w:val="4A270B08"/>
    <w:rsid w:val="4ADE2B77"/>
    <w:rsid w:val="4BB50A55"/>
    <w:rsid w:val="4BCC2D5B"/>
    <w:rsid w:val="4C1E2F28"/>
    <w:rsid w:val="4D61432B"/>
    <w:rsid w:val="4E597878"/>
    <w:rsid w:val="4FAC69F7"/>
    <w:rsid w:val="502E11C1"/>
    <w:rsid w:val="50840160"/>
    <w:rsid w:val="5097613C"/>
    <w:rsid w:val="51FD1B03"/>
    <w:rsid w:val="52F60559"/>
    <w:rsid w:val="534262AE"/>
    <w:rsid w:val="53A90F41"/>
    <w:rsid w:val="53FD1595"/>
    <w:rsid w:val="5651051D"/>
    <w:rsid w:val="5682660E"/>
    <w:rsid w:val="579F1A0B"/>
    <w:rsid w:val="57E961A8"/>
    <w:rsid w:val="581E77CF"/>
    <w:rsid w:val="58B06254"/>
    <w:rsid w:val="59084128"/>
    <w:rsid w:val="59245F0D"/>
    <w:rsid w:val="59C36190"/>
    <w:rsid w:val="5A990681"/>
    <w:rsid w:val="5AF25131"/>
    <w:rsid w:val="5B464AAB"/>
    <w:rsid w:val="5BA33C40"/>
    <w:rsid w:val="5BE474E8"/>
    <w:rsid w:val="5C2A7790"/>
    <w:rsid w:val="5CD744AA"/>
    <w:rsid w:val="5DB80EB9"/>
    <w:rsid w:val="5E08049B"/>
    <w:rsid w:val="5FA77851"/>
    <w:rsid w:val="5FD45C38"/>
    <w:rsid w:val="600176AC"/>
    <w:rsid w:val="607C30C5"/>
    <w:rsid w:val="60F13A5B"/>
    <w:rsid w:val="61AC202A"/>
    <w:rsid w:val="61FB30D7"/>
    <w:rsid w:val="664A46E0"/>
    <w:rsid w:val="664E726D"/>
    <w:rsid w:val="68364FDA"/>
    <w:rsid w:val="68D102B5"/>
    <w:rsid w:val="68D53870"/>
    <w:rsid w:val="6A663006"/>
    <w:rsid w:val="6A7072AC"/>
    <w:rsid w:val="6AC33C78"/>
    <w:rsid w:val="6AF13EA6"/>
    <w:rsid w:val="6B60514F"/>
    <w:rsid w:val="6DF771AD"/>
    <w:rsid w:val="6E1A3F51"/>
    <w:rsid w:val="6F235D8C"/>
    <w:rsid w:val="71921D8E"/>
    <w:rsid w:val="7216560B"/>
    <w:rsid w:val="722F2940"/>
    <w:rsid w:val="723F4798"/>
    <w:rsid w:val="72CD08C6"/>
    <w:rsid w:val="733B28FA"/>
    <w:rsid w:val="73A354C9"/>
    <w:rsid w:val="740A075F"/>
    <w:rsid w:val="74503239"/>
    <w:rsid w:val="74B959FD"/>
    <w:rsid w:val="74DB5BD6"/>
    <w:rsid w:val="74F559FA"/>
    <w:rsid w:val="75531EF6"/>
    <w:rsid w:val="757A689F"/>
    <w:rsid w:val="75B55078"/>
    <w:rsid w:val="75D0003D"/>
    <w:rsid w:val="76AD0F03"/>
    <w:rsid w:val="76B027F4"/>
    <w:rsid w:val="77336B13"/>
    <w:rsid w:val="774B1407"/>
    <w:rsid w:val="775A4D14"/>
    <w:rsid w:val="79C215EC"/>
    <w:rsid w:val="7ABA6DDE"/>
    <w:rsid w:val="7BCA47AE"/>
    <w:rsid w:val="7D2F71E9"/>
    <w:rsid w:val="7D8D114B"/>
    <w:rsid w:val="7DC64D85"/>
    <w:rsid w:val="7DCE16A6"/>
    <w:rsid w:val="7E9C1375"/>
    <w:rsid w:val="7EF370F8"/>
    <w:rsid w:val="7F546720"/>
    <w:rsid w:val="7FA41C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31"/>
    <w:basedOn w:val="5"/>
    <w:qFormat/>
    <w:uiPriority w:val="0"/>
    <w:rPr>
      <w:rFonts w:ascii="Arial" w:hAnsi="Arial" w:cs="Arial"/>
      <w:color w:val="000000"/>
      <w:sz w:val="16"/>
      <w:szCs w:val="16"/>
      <w:u w:val="none"/>
    </w:rPr>
  </w:style>
  <w:style w:type="character" w:customStyle="1" w:styleId="8">
    <w:name w:val="font01"/>
    <w:basedOn w:val="5"/>
    <w:qFormat/>
    <w:uiPriority w:val="0"/>
    <w:rPr>
      <w:rFonts w:hint="default" w:ascii="Arial" w:hAnsi="Arial" w:cs="Arial"/>
      <w:color w:val="000000"/>
      <w:sz w:val="16"/>
      <w:szCs w:val="16"/>
      <w:u w:val="none"/>
    </w:rPr>
  </w:style>
  <w:style w:type="character" w:customStyle="1" w:styleId="9">
    <w:name w:val="font41"/>
    <w:basedOn w:val="5"/>
    <w:qFormat/>
    <w:uiPriority w:val="0"/>
    <w:rPr>
      <w:rFonts w:hint="eastAsia" w:ascii="宋体" w:hAnsi="宋体" w:eastAsia="宋体" w:cs="宋体"/>
      <w:color w:val="000000"/>
      <w:sz w:val="16"/>
      <w:szCs w:val="16"/>
      <w:u w:val="none"/>
    </w:rPr>
  </w:style>
  <w:style w:type="paragraph" w:customStyle="1" w:styleId="10">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2395</Words>
  <Characters>13653</Characters>
  <Lines>113</Lines>
  <Paragraphs>32</Paragraphs>
  <TotalTime>0</TotalTime>
  <ScaleCrop>false</ScaleCrop>
  <LinksUpToDate>false</LinksUpToDate>
  <CharactersWithSpaces>16016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2018-09-28T09:10:00Z</cp:lastPrinted>
  <dcterms:modified xsi:type="dcterms:W3CDTF">2019-02-13T02:47:42Z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