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浉河区妇联</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公开单位联系人：卢明圆     联系方式：6653502</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浉河区妇联概况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浉河区妇联2017年度部门决算情况说明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浉河区妇联概况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 根据党的中心任务，指导全区各级妇联开展妇女儿童工作，联系团体会员并给予业务指导。</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（二）教育和引导广大妇女增强自尊、自信、自立、自强的精神，树立和表彰各行各业先进妇女典型，开展妇女职业技术培训和多层次的妇女干部培训。</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（三）代表妇女参与政府的社会事务的民主管理、民主监督，促进妇女参政;参与制定有关妇女儿童的法规、法律，维护妇女儿童的合法权益。</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纳浉河区妇联2017年度部门决算编制范围的单位包括浉河区妇联</w:t>
      </w:r>
      <w:r>
        <w:rPr>
          <w:rFonts w:hint="eastAsia" w:ascii="仿宋_GB2312" w:hAnsi="仿宋_GB2312" w:eastAsia="仿宋_GB2312" w:cs="仿宋_GB2312"/>
          <w:sz w:val="32"/>
          <w:szCs w:val="32"/>
          <w:lang w:eastAsia="zh-CN"/>
        </w:rPr>
        <w:t>本级，无所属单位。</w:t>
      </w:r>
      <w:bookmarkStart w:id="0" w:name="_GoBack"/>
      <w:bookmarkEnd w:id="0"/>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浉河区妇联区妇联机关设3个职能部室：办公室、宣教部、妇女儿童工作部。</w:t>
      </w:r>
    </w:p>
    <w:p>
      <w:pPr>
        <w:spacing w:line="360" w:lineRule="auto"/>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（一）办公室</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综合协调机关各部室的有关工作；负责机关人事、党群、文秘、文电处理、信息综合、网络和新媒体、督促检查、档案、财务、工资及后勤服务等；负责机关值班、安全保卫、保密、报刊信件收发；负责区妇联印章和党组印章的使用和保管；负责重要会议（活动）的组织协调及会务工作。</w:t>
      </w:r>
    </w:p>
    <w:p>
      <w:pPr>
        <w:spacing w:line="360" w:lineRule="auto"/>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（二）宣教部</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调查研究全区妇女思想状况，指导妇联系统的宣传教育工作；抓好家庭文化建设，指导和推动“五好文明家庭”“最美家庭”等创建活动；负责全区“三八”红旗手的评选表彰活动；调查研究城乡妇女状况；指导和推动全区农村妇女的“双学双比”及城镇妇女的“巾帼建功”活动；研究开发妇女劳动力资源，促进城乡妇女广泛平等就业及其家务劳动的社会化；参与妇女卫生健康和对贫困地区妇女的扶贫工作；进一步发挥妇女在城市和农村经济主战场的作用。负责与各民主党派、工商联和民族宗教及统战等女性代表人士、妇女组织联谊工作；联系、指导各界妇女联谊组织。</w:t>
      </w:r>
    </w:p>
    <w:p>
      <w:pPr>
        <w:spacing w:line="360" w:lineRule="auto"/>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（三）妇女儿童工作部</w:t>
      </w:r>
    </w:p>
    <w:p>
      <w:pPr>
        <w:spacing w:line="360" w:lineRule="auto"/>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负责调查研究妇女权益方面的新情况、新问题，反映妇女群众的呼声和要求；接待和处理群众来信来访，对重大、典型的妇女权益受侵害的案件进行调查研究，并配合有关部门伸张正义；维护妇女儿童的合法权益；指导基层妇联开展维权工作；配合区委组织部加强对女干部的培养教育工作，发现推荐优秀妇女人才；调查掌握全区基层妇女组织建设情况，加强对各乡镇（街道）基层妇女组织建设的指导；参与儿童少年工作的社会协调监督和调查研究工作；宣传普及家庭教育科学知识，开展家庭教育的理论研究工作；制定妇联干部教育培训规划，指导、协调全区妇联系统干部的培训工作；承担区政府妇女儿童工作委员会的日常工作。</w:t>
      </w:r>
    </w:p>
    <w:p>
      <w:pPr>
        <w:spacing w:line="360" w:lineRule="auto"/>
        <w:ind w:firstLine="640" w:firstLineChars="200"/>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浉河区妇联</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2017年度收入总计48.21万元，支出总计48.21万元。（妇联为2017年新增决算部门，无法与2016年对比）。</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收入合计48.21万元，其中：财政拨款收入48.21万元，占100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2017年度支出合计48.21万元，其中：基本支出48.21万元，占100</w:t>
      </w:r>
      <w:r>
        <w:rPr>
          <w:rFonts w:ascii="仿宋_GB2312" w:hAnsi="宋体" w:eastAsia="仿宋_GB2312" w:cs="Courier New"/>
          <w:sz w:val="32"/>
          <w:szCs w:val="32"/>
        </w:rPr>
        <w:t>%</w:t>
      </w:r>
      <w:r>
        <w:rPr>
          <w:rFonts w:hint="eastAsia" w:ascii="仿宋_GB2312" w:hAnsi="宋体" w:eastAsia="仿宋_GB2312" w:cs="Courier New"/>
          <w:sz w:val="32"/>
          <w:szCs w:val="32"/>
        </w:rPr>
        <w:t>；项目支出0万元，占0%；经营支出0万元，占0%。</w:t>
      </w: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2017年财政拨款收入总计48.21万元，支出总计48.21万元。</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2017年一般公共预算财政拨款支出48.21万元，占支出合计的100%。</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2017年度一般公共预算财政拨款支出48.21万元，主要用于以下方面：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支出48.21万元，占100%；</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2017年度一般公共预算财政拨款支出年初预算为59.61万元，支出决算为48.21万元，完成年初预算的80.88%。</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年初预算为59.61万元，支出决算为48.21万元，完成年初预算的80.88%。决算数小于预算数的主要原因是：职业年金单位部分年初预算1.6万元，实际未支出；年初预算社区家长学校</w:t>
      </w:r>
      <w:r>
        <w:rPr>
          <w:rFonts w:hint="eastAsia" w:ascii="仿宋_GB2312" w:eastAsia="仿宋_GB2312"/>
          <w:sz w:val="32"/>
          <w:szCs w:val="32"/>
        </w:rPr>
        <w:t>创建</w:t>
      </w:r>
      <w:r>
        <w:rPr>
          <w:rFonts w:hint="eastAsia" w:ascii="仿宋_GB2312" w:hAnsi="宋体" w:eastAsia="仿宋_GB2312" w:cs="Courier New"/>
          <w:sz w:val="32"/>
          <w:szCs w:val="32"/>
        </w:rPr>
        <w:t>项目资金8万元，实际未拨付。</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年初预算为59.61万元，支出决算为48.21万元，完成年初预算的80.88%。决算数小于预算数的主要原因是职业年金单位部分年初预算1.6万元，实际未支出；年初预算社区家长学校</w:t>
      </w:r>
      <w:r>
        <w:rPr>
          <w:rFonts w:hint="eastAsia" w:ascii="仿宋_GB2312" w:eastAsia="仿宋_GB2312"/>
          <w:sz w:val="32"/>
          <w:szCs w:val="32"/>
        </w:rPr>
        <w:t>创建</w:t>
      </w:r>
      <w:r>
        <w:rPr>
          <w:rFonts w:hint="eastAsia" w:ascii="仿宋_GB2312" w:hAnsi="宋体" w:eastAsia="仿宋_GB2312" w:cs="Courier New"/>
          <w:sz w:val="32"/>
          <w:szCs w:val="32"/>
        </w:rPr>
        <w:t>项目资金8万元，实际未拨付。</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2017年一般公共预算财政拨款基本支出48.21万元，其中：</w:t>
      </w:r>
      <w:r>
        <w:rPr>
          <w:rFonts w:hint="eastAsia" w:ascii="仿宋_GB2312" w:hAnsi="Times New Roman" w:eastAsia="仿宋_GB2312" w:cs="仿宋_GB2312"/>
          <w:b/>
          <w:spacing w:val="-1"/>
          <w:kern w:val="0"/>
          <w:sz w:val="32"/>
          <w:szCs w:val="32"/>
        </w:rPr>
        <w:t>人员经费</w:t>
      </w:r>
      <w:r>
        <w:rPr>
          <w:rFonts w:hint="eastAsia" w:ascii="仿宋_GB2312" w:hAnsi="Times New Roman" w:eastAsia="仿宋_GB2312" w:cs="仿宋_GB2312"/>
          <w:bCs/>
          <w:spacing w:val="-1"/>
          <w:kern w:val="0"/>
          <w:sz w:val="32"/>
          <w:szCs w:val="32"/>
        </w:rPr>
        <w:t>38.14万元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 xml:space="preserve">主要包括：基本工资12.74万元、津贴补贴6.39万元、奖金3.60万元、其他社会保障缴费1.81万元、机关事业单位基本养老保险缴费3.72万元、其他工资福利支出0.21万元、离休费7.07万元、住房公积金2.61万元 </w:t>
      </w:r>
      <w:r>
        <w:rPr>
          <w:rFonts w:hint="eastAsia" w:ascii="仿宋_GB2312" w:hAnsi="宋体" w:eastAsia="仿宋_GB2312" w:cs="Courier New"/>
          <w:color w:val="FF0000"/>
          <w:sz w:val="32"/>
          <w:szCs w:val="32"/>
        </w:rPr>
        <w:t xml:space="preserve"> </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10.08万元</w:t>
      </w:r>
      <w:r>
        <w:rPr>
          <w:rFonts w:hint="eastAsia" w:ascii="仿宋_GB2312" w:hAnsi="宋体" w:eastAsia="仿宋_GB2312" w:cs="Courier New"/>
          <w:sz w:val="32"/>
          <w:szCs w:val="32"/>
        </w:rPr>
        <w:t>，主要包括：办公费2.4万元、印刷费3.50万元、电费0.31万元、邮电费0.33万元、差旅费1.94万元、培训费0.60万元、公务接待费0.55万元、劳务费0.22万元、其他交通费用0.04万元、其他商品和服务支出0.19万元</w:t>
      </w:r>
      <w:r>
        <w:rPr>
          <w:rFonts w:hint="eastAsia" w:ascii="仿宋_GB2312" w:hAnsi="宋体" w:eastAsia="仿宋_GB2312" w:cs="Courier New"/>
          <w:color w:val="FF0000"/>
          <w:sz w:val="32"/>
          <w:szCs w:val="32"/>
        </w:rPr>
        <w:t xml:space="preserve"> </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0.55万元，支出决算为0.55万元，完成预算的100%，其中：因公出国（境）费支出决算为0万元，完成预算的0%；公务用车购置及运行费支出决算为0万元，完成预算的0%；公务接待费支出决算为0.55万元，完成预算的100%。</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2017年度“三公”经费财政拨款支出决算中，因公出国0万元，占0%；公务接待费支出决算0.55万元，占100%。往年未做过决算，无法与上年相比，具体情况如下：</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支出0万元。全年安排机关因公出国（境）团组0个，累计0人次。开支内容包括：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支出0万元，主要用于参加以下国际会议：无。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支出支出0万元，没有用于为提高财政管理水平而举办的公共财政支出结构比较研究、社会保障政策等。</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支出0万元。公务用车0辆。</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支出0.55万元，共计15批次138人数。主要用于区妇联日常的公务接待。</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spacing w:line="360" w:lineRule="auto"/>
        <w:ind w:left="420" w:firstLine="640" w:firstLineChars="200"/>
        <w:rPr>
          <w:rFonts w:ascii="仿宋" w:hAnsi="仿宋" w:eastAsia="仿宋" w:cs="仿宋"/>
          <w:sz w:val="32"/>
          <w:szCs w:val="32"/>
        </w:rPr>
      </w:pPr>
      <w:r>
        <w:rPr>
          <w:rFonts w:hint="eastAsia" w:ascii="仿宋" w:hAnsi="仿宋" w:eastAsia="仿宋" w:cs="仿宋"/>
          <w:sz w:val="32"/>
          <w:szCs w:val="32"/>
        </w:rPr>
        <w:t>（一）绩效管理工作开展情况</w:t>
      </w:r>
    </w:p>
    <w:p>
      <w:pPr>
        <w:pStyle w:val="9"/>
        <w:spacing w:line="360" w:lineRule="auto"/>
        <w:ind w:left="426" w:firstLine="640"/>
        <w:rPr>
          <w:rFonts w:ascii="仿宋" w:hAnsi="仿宋" w:eastAsia="仿宋" w:cs="仿宋"/>
          <w:sz w:val="32"/>
          <w:szCs w:val="32"/>
        </w:rPr>
      </w:pPr>
      <w:r>
        <w:rPr>
          <w:rFonts w:hint="eastAsia" w:ascii="仿宋" w:hAnsi="仿宋" w:eastAsia="仿宋" w:cs="仿宋"/>
          <w:sz w:val="32"/>
          <w:szCs w:val="32"/>
        </w:rPr>
        <w:t>根据财政预算管理要求，为做好预算绩效管理工作，浉河区妇联对2017年度一般公共预算项目支出全面开展绩效自评。其中，一级项目0个，二级项目0个，共涉及预算资金0万元，自评覆盖率达到0%。</w:t>
      </w:r>
    </w:p>
    <w:p>
      <w:pPr>
        <w:pStyle w:val="9"/>
        <w:spacing w:line="360" w:lineRule="auto"/>
        <w:ind w:left="426" w:firstLine="640"/>
        <w:rPr>
          <w:rFonts w:ascii="仿宋" w:hAnsi="仿宋" w:eastAsia="仿宋" w:cs="仿宋"/>
          <w:sz w:val="32"/>
          <w:szCs w:val="32"/>
        </w:rPr>
      </w:pPr>
      <w:r>
        <w:rPr>
          <w:rFonts w:hint="eastAsia" w:ascii="仿宋" w:hAnsi="仿宋" w:eastAsia="仿宋" w:cs="仿宋"/>
          <w:sz w:val="32"/>
          <w:szCs w:val="32"/>
        </w:rPr>
        <w:t>（二）部门决算中项目绩效自评结果</w:t>
      </w:r>
    </w:p>
    <w:p>
      <w:pPr>
        <w:spacing w:line="360" w:lineRule="auto"/>
        <w:ind w:left="851" w:firstLine="160" w:firstLineChars="50"/>
        <w:rPr>
          <w:rFonts w:ascii="仿宋" w:hAnsi="仿宋" w:eastAsia="仿宋" w:cs="仿宋"/>
          <w:sz w:val="32"/>
          <w:szCs w:val="32"/>
        </w:rPr>
      </w:pPr>
      <w:r>
        <w:rPr>
          <w:rFonts w:hint="eastAsia" w:ascii="仿宋" w:hAnsi="仿宋" w:eastAsia="仿宋" w:cs="仿宋"/>
          <w:sz w:val="32"/>
          <w:szCs w:val="32"/>
        </w:rPr>
        <w:t>浉河区妇联今年没有项目。</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2017年度政府性基金预算财政拨款支出年初预算为0万元，支出决算为0万元，完成年初预算的0%。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2017年度机关运行经费支出40.07万元。</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9"/>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2017年期末，区妇联共有车辆0辆，其中：一般公务用车0辆、一般执法执勤用车0辆、特种专业技术用车0辆，其他用车0辆。单价50万元以上通用设备0台（套），单位价值100万元以上专用设备0台（套）。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是指ＸＸ厅（局）用于保障机构正常运行、开展日常工作的基本支出。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431"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4765C"/>
    <w:rsid w:val="002C2B21"/>
    <w:rsid w:val="00326012"/>
    <w:rsid w:val="003279C3"/>
    <w:rsid w:val="0041219F"/>
    <w:rsid w:val="00422A10"/>
    <w:rsid w:val="004A739C"/>
    <w:rsid w:val="004C4D89"/>
    <w:rsid w:val="00611301"/>
    <w:rsid w:val="00630D31"/>
    <w:rsid w:val="00666D09"/>
    <w:rsid w:val="006E7AC3"/>
    <w:rsid w:val="007753A5"/>
    <w:rsid w:val="00783862"/>
    <w:rsid w:val="00A301D5"/>
    <w:rsid w:val="00A97C23"/>
    <w:rsid w:val="00B54309"/>
    <w:rsid w:val="00B84FB0"/>
    <w:rsid w:val="00CB012B"/>
    <w:rsid w:val="00DF4B6C"/>
    <w:rsid w:val="00E95615"/>
    <w:rsid w:val="00EE0BEE"/>
    <w:rsid w:val="00F93487"/>
    <w:rsid w:val="01064770"/>
    <w:rsid w:val="04453648"/>
    <w:rsid w:val="071D7EBD"/>
    <w:rsid w:val="093D28FB"/>
    <w:rsid w:val="09BB2134"/>
    <w:rsid w:val="0DB954CC"/>
    <w:rsid w:val="13DA4090"/>
    <w:rsid w:val="149247C6"/>
    <w:rsid w:val="153C747F"/>
    <w:rsid w:val="15492582"/>
    <w:rsid w:val="17690023"/>
    <w:rsid w:val="18650442"/>
    <w:rsid w:val="18D03346"/>
    <w:rsid w:val="19F419DA"/>
    <w:rsid w:val="1BB26345"/>
    <w:rsid w:val="1E7D3B34"/>
    <w:rsid w:val="209C4FF0"/>
    <w:rsid w:val="221D2E95"/>
    <w:rsid w:val="258F34D6"/>
    <w:rsid w:val="2BA4769A"/>
    <w:rsid w:val="2CD06EF4"/>
    <w:rsid w:val="32E92EE2"/>
    <w:rsid w:val="32EF40CE"/>
    <w:rsid w:val="34DB371E"/>
    <w:rsid w:val="372974AC"/>
    <w:rsid w:val="373B60DD"/>
    <w:rsid w:val="38223895"/>
    <w:rsid w:val="39760035"/>
    <w:rsid w:val="3B160C11"/>
    <w:rsid w:val="3CE47224"/>
    <w:rsid w:val="42271DDB"/>
    <w:rsid w:val="4282716B"/>
    <w:rsid w:val="4478783A"/>
    <w:rsid w:val="48036E61"/>
    <w:rsid w:val="48B52937"/>
    <w:rsid w:val="48EE3EF3"/>
    <w:rsid w:val="4AA9639F"/>
    <w:rsid w:val="4C1E2F28"/>
    <w:rsid w:val="51AD42DE"/>
    <w:rsid w:val="532D5E3F"/>
    <w:rsid w:val="53E9756D"/>
    <w:rsid w:val="550E47A6"/>
    <w:rsid w:val="55EA1181"/>
    <w:rsid w:val="5602268C"/>
    <w:rsid w:val="5651051D"/>
    <w:rsid w:val="570B5C1B"/>
    <w:rsid w:val="57BB5F84"/>
    <w:rsid w:val="57E961A8"/>
    <w:rsid w:val="581E77CF"/>
    <w:rsid w:val="58B06254"/>
    <w:rsid w:val="59E3092F"/>
    <w:rsid w:val="5A1C0089"/>
    <w:rsid w:val="5AEC51BE"/>
    <w:rsid w:val="5AF25131"/>
    <w:rsid w:val="5E105102"/>
    <w:rsid w:val="5F3A0145"/>
    <w:rsid w:val="600176AC"/>
    <w:rsid w:val="627358F6"/>
    <w:rsid w:val="6431638A"/>
    <w:rsid w:val="664A46E0"/>
    <w:rsid w:val="674E08EC"/>
    <w:rsid w:val="684428C3"/>
    <w:rsid w:val="6A2415C4"/>
    <w:rsid w:val="6C2F3976"/>
    <w:rsid w:val="70607E61"/>
    <w:rsid w:val="737A5BE5"/>
    <w:rsid w:val="73F1196C"/>
    <w:rsid w:val="75531EF6"/>
    <w:rsid w:val="75D0003D"/>
    <w:rsid w:val="779E3F57"/>
    <w:rsid w:val="78E37AAE"/>
    <w:rsid w:val="79960645"/>
    <w:rsid w:val="7D0D382E"/>
    <w:rsid w:val="7DB72F15"/>
    <w:rsid w:val="7DDA20BA"/>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694</Words>
  <Characters>3962</Characters>
  <Lines>33</Lines>
  <Paragraphs>9</Paragraphs>
  <TotalTime>45</TotalTime>
  <ScaleCrop>false</ScaleCrop>
  <LinksUpToDate>false</LinksUpToDate>
  <CharactersWithSpaces>4647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2019-02-13T06:39:10Z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