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隶书"/>
          <w:b/>
          <w:sz w:val="52"/>
          <w:szCs w:val="52"/>
        </w:rPr>
      </w:pPr>
    </w:p>
    <w:p>
      <w:pPr>
        <w:ind w:firstLine="2610" w:firstLineChars="500"/>
        <w:rPr>
          <w:rFonts w:ascii="仿宋" w:hAnsi="仿宋" w:eastAsia="仿宋" w:cs="黑体"/>
          <w:b/>
          <w:sz w:val="52"/>
          <w:szCs w:val="52"/>
        </w:rPr>
      </w:pPr>
      <w:r>
        <w:rPr>
          <w:rFonts w:hint="eastAsia" w:ascii="仿宋" w:hAnsi="仿宋" w:eastAsia="仿宋" w:cs="隶书"/>
          <w:b/>
          <w:sz w:val="52"/>
          <w:szCs w:val="52"/>
        </w:rPr>
        <w:t>浉河区妇联</w:t>
      </w:r>
    </w:p>
    <w:p>
      <w:pPr>
        <w:jc w:val="center"/>
        <w:rPr>
          <w:rFonts w:ascii="仿宋" w:hAnsi="仿宋" w:eastAsia="仿宋" w:cs="隶书"/>
          <w:b/>
          <w:sz w:val="52"/>
          <w:szCs w:val="52"/>
        </w:r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jc w:val="center"/>
        <w:rPr>
          <w:rFonts w:ascii="仿宋" w:hAnsi="仿宋" w:eastAsia="仿宋" w:cs="隶书"/>
          <w:b/>
          <w:sz w:val="52"/>
          <w:szCs w:val="52"/>
        </w:rPr>
      </w:pPr>
    </w:p>
    <w:p>
      <w:pPr>
        <w:rPr>
          <w:rFonts w:ascii="仿宋" w:hAnsi="仿宋" w:eastAsia="仿宋" w:cs="隶书"/>
          <w:b/>
          <w:sz w:val="52"/>
          <w:szCs w:val="52"/>
        </w:rPr>
      </w:pPr>
      <w:r>
        <w:rPr>
          <w:rFonts w:hint="eastAsia" w:ascii="仿宋" w:hAnsi="仿宋" w:eastAsia="仿宋" w:cs="隶书"/>
          <w:b/>
          <w:sz w:val="52"/>
          <w:szCs w:val="52"/>
        </w:rPr>
        <w:t xml:space="preserve"> </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区妇联概况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jc w:val="left"/>
        <w:rPr>
          <w:rFonts w:ascii="仿宋" w:hAnsi="仿宋" w:eastAsia="仿宋" w:cs="黑体"/>
          <w:sz w:val="32"/>
          <w:szCs w:val="32"/>
        </w:rPr>
      </w:pPr>
      <w:r>
        <w:rPr>
          <w:rFonts w:hint="eastAsia" w:ascii="仿宋" w:hAnsi="仿宋" w:eastAsia="仿宋" w:cs="黑体"/>
          <w:sz w:val="32"/>
          <w:szCs w:val="32"/>
        </w:rPr>
        <w:t>第二部分　　区妇联</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区妇联</w:t>
      </w:r>
      <w:r>
        <w:rPr>
          <w:rFonts w:ascii="仿宋" w:hAnsi="仿宋" w:eastAsia="仿宋" w:cs="黑体"/>
          <w:sz w:val="32"/>
          <w:szCs w:val="32"/>
        </w:rPr>
        <w:t>201</w:t>
      </w:r>
      <w:r>
        <w:rPr>
          <w:rFonts w:hint="eastAsia" w:ascii="仿宋" w:hAnsi="仿宋" w:eastAsia="仿宋" w:cs="黑体"/>
          <w:sz w:val="32"/>
          <w:szCs w:val="32"/>
        </w:rPr>
        <w:t>8年度部门预算情况说明</w:t>
      </w:r>
    </w:p>
    <w:p>
      <w:pPr>
        <w:ind w:firstLine="960" w:firstLineChars="300"/>
        <w:jc w:val="left"/>
        <w:rPr>
          <w:rFonts w:ascii="仿宋" w:hAnsi="仿宋" w:eastAsia="仿宋" w:cs="黑体"/>
          <w:sz w:val="32"/>
          <w:szCs w:val="32"/>
        </w:rPr>
      </w:pPr>
      <w:r>
        <w:rPr>
          <w:rFonts w:hint="eastAsia" w:ascii="仿宋" w:hAnsi="仿宋" w:eastAsia="仿宋" w:cs="黑体"/>
          <w:sz w:val="32"/>
          <w:szCs w:val="32"/>
        </w:rPr>
        <w:t xml:space="preserve"> </w:t>
      </w: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p>
    <w:p>
      <w:pPr>
        <w:ind w:firstLine="1446" w:firstLineChars="300"/>
        <w:jc w:val="left"/>
        <w:rPr>
          <w:rFonts w:ascii="仿宋" w:hAnsi="仿宋" w:eastAsia="仿宋" w:cs="隶书"/>
          <w:b/>
          <w:sz w:val="48"/>
          <w:szCs w:val="48"/>
        </w:rPr>
      </w:pPr>
      <w:r>
        <w:rPr>
          <w:rFonts w:hint="eastAsia" w:ascii="仿宋" w:hAnsi="仿宋" w:eastAsia="仿宋" w:cs="隶书"/>
          <w:b/>
          <w:sz w:val="48"/>
          <w:szCs w:val="48"/>
        </w:rPr>
        <w:t>第一部分 　妇联概况</w:t>
      </w:r>
    </w:p>
    <w:p>
      <w:pPr>
        <w:pStyle w:val="13"/>
        <w:ind w:firstLine="0" w:firstLineChars="0"/>
        <w:rPr>
          <w:rFonts w:ascii="仿宋" w:hAnsi="仿宋" w:eastAsia="仿宋"/>
          <w:b/>
          <w:sz w:val="32"/>
          <w:szCs w:val="32"/>
        </w:rPr>
      </w:pPr>
      <w:r>
        <w:rPr>
          <w:rFonts w:hint="eastAsia" w:ascii="仿宋" w:hAnsi="仿宋" w:eastAsia="仿宋"/>
          <w:b/>
          <w:sz w:val="32"/>
          <w:szCs w:val="32"/>
        </w:rPr>
        <w:t>一、部门基本情况</w:t>
      </w:r>
    </w:p>
    <w:p>
      <w:pPr>
        <w:rPr>
          <w:rFonts w:ascii="仿宋" w:hAnsi="仿宋" w:eastAsia="仿宋"/>
          <w:sz w:val="32"/>
          <w:szCs w:val="32"/>
        </w:rPr>
      </w:pPr>
      <w:r>
        <w:rPr>
          <w:rFonts w:hint="eastAsia" w:ascii="仿宋" w:hAnsi="仿宋" w:eastAsia="仿宋"/>
          <w:sz w:val="32"/>
          <w:szCs w:val="32"/>
        </w:rPr>
        <w:t>（一）部门机构设置、职能</w:t>
      </w:r>
    </w:p>
    <w:p>
      <w:pPr>
        <w:keepNext w:val="0"/>
        <w:keepLines w:val="0"/>
        <w:pageBreakBefore w:val="0"/>
        <w:widowControl/>
        <w:kinsoku/>
        <w:wordWrap w:val="0"/>
        <w:overflowPunct/>
        <w:topLinePunct w:val="0"/>
        <w:autoSpaceDE/>
        <w:autoSpaceDN/>
        <w:bidi w:val="0"/>
        <w:adjustRightInd/>
        <w:snapToGrid/>
        <w:spacing w:before="100" w:beforeAutospacing="1" w:line="240" w:lineRule="atLeast"/>
        <w:ind w:firstLine="420"/>
        <w:jc w:val="left"/>
        <w:textAlignment w:val="auto"/>
        <w:outlineLvl w:val="9"/>
        <w:rPr>
          <w:rFonts w:hint="eastAsia" w:ascii="仿宋_GB2312" w:eastAsia="仿宋_GB2312"/>
          <w:sz w:val="32"/>
          <w:szCs w:val="32"/>
        </w:rPr>
      </w:pPr>
      <w:r>
        <w:rPr>
          <w:rFonts w:hint="eastAsia" w:ascii="仿宋_GB2312" w:eastAsia="仿宋_GB2312"/>
          <w:sz w:val="32"/>
          <w:szCs w:val="32"/>
        </w:rPr>
        <w:t>浉河区妇联区妇联机关设3个职能部室：办公室、宣教部、妇女儿童工作部。</w:t>
      </w:r>
    </w:p>
    <w:p>
      <w:pPr>
        <w:widowControl/>
        <w:wordWrap w:val="0"/>
        <w:spacing w:before="100" w:beforeAutospacing="1" w:after="240" w:line="240" w:lineRule="atLeast"/>
        <w:ind w:firstLine="480"/>
        <w:jc w:val="left"/>
        <w:rPr>
          <w:rFonts w:ascii="仿宋_GB2312" w:eastAsia="仿宋_GB2312"/>
          <w:sz w:val="32"/>
          <w:szCs w:val="32"/>
        </w:rPr>
      </w:pPr>
      <w:r>
        <w:rPr>
          <w:rFonts w:hint="eastAsia" w:ascii="仿宋_GB2312" w:eastAsia="仿宋_GB2312"/>
          <w:sz w:val="32"/>
          <w:szCs w:val="32"/>
        </w:rPr>
        <w:t>主要职责是：1、宣传、贯彻党的方针、政策，引导广大妇女增强自尊、自信、自立、自强精神，促进社会发展和妇女进步，全面提高妇女素质;2、组织开展“巾帼建功”、“五好文明家庭”“社区家长学校”等活动，提高妇女科技文化水平，帮助妇女增收致富，弘扬社会公德，职业道德、和家庭美德;3、维护妇女儿童指导辖区妇代会的维权工作，负责宣传维护妇女、儿童合法权益的各项法规、政策和发展纲要。</w:t>
      </w:r>
    </w:p>
    <w:p>
      <w:pPr>
        <w:rPr>
          <w:rFonts w:ascii="仿宋" w:hAnsi="仿宋" w:eastAsia="仿宋"/>
          <w:sz w:val="32"/>
          <w:szCs w:val="32"/>
        </w:rPr>
      </w:pPr>
      <w:r>
        <w:rPr>
          <w:rFonts w:hint="eastAsia" w:ascii="仿宋" w:hAnsi="仿宋" w:eastAsia="仿宋"/>
          <w:sz w:val="32"/>
          <w:szCs w:val="32"/>
        </w:rPr>
        <w:t>（二）人员编制基本情况：</w:t>
      </w:r>
    </w:p>
    <w:p>
      <w:pPr>
        <w:widowControl/>
        <w:wordWrap w:val="0"/>
        <w:spacing w:before="100" w:beforeAutospacing="1" w:after="240" w:line="240" w:lineRule="atLeast"/>
        <w:ind w:firstLine="480"/>
        <w:jc w:val="left"/>
        <w:rPr>
          <w:rFonts w:ascii="仿宋_GB2312" w:eastAsia="仿宋_GB2312"/>
          <w:sz w:val="32"/>
          <w:szCs w:val="32"/>
        </w:rPr>
      </w:pPr>
      <w:r>
        <w:rPr>
          <w:rFonts w:hint="eastAsia" w:ascii="仿宋_GB2312" w:eastAsia="仿宋_GB2312"/>
          <w:sz w:val="32"/>
          <w:szCs w:val="32"/>
        </w:rPr>
        <w:t>浉河区妇联共有编制5人，其中：行政编制4人，事业编制1人；在职职工4人，离退休人员1人。</w:t>
      </w:r>
    </w:p>
    <w:p>
      <w:pPr>
        <w:spacing w:line="600" w:lineRule="exact"/>
        <w:ind w:firstLine="630"/>
        <w:rPr>
          <w:rFonts w:hint="eastAsia" w:eastAsia="仿宋_GB2312"/>
          <w:color w:val="000000"/>
          <w:sz w:val="32"/>
          <w:szCs w:val="32"/>
          <w:lang w:eastAsia="zh-CN"/>
        </w:rPr>
      </w:pPr>
      <w:r>
        <w:rPr>
          <w:rFonts w:hint="eastAsia"/>
          <w:lang w:val="en-US" w:eastAsia="zh-CN"/>
        </w:rPr>
        <w:t xml:space="preserve"> </w:t>
      </w:r>
      <w:r>
        <w:rPr>
          <w:rFonts w:hint="eastAsia" w:eastAsia="仿宋_GB2312"/>
          <w:color w:val="000000"/>
          <w:sz w:val="32"/>
          <w:szCs w:val="32"/>
        </w:rPr>
        <w:t>纳入</w:t>
      </w:r>
      <w:r>
        <w:rPr>
          <w:rFonts w:hint="eastAsia" w:ascii="仿宋_GB2312" w:eastAsia="仿宋_GB2312"/>
          <w:sz w:val="32"/>
          <w:szCs w:val="32"/>
        </w:rPr>
        <w:t>浉河区妇联</w:t>
      </w:r>
      <w:r>
        <w:rPr>
          <w:rFonts w:hint="eastAsia" w:eastAsia="仿宋_GB2312"/>
          <w:color w:val="000000"/>
          <w:sz w:val="32"/>
          <w:szCs w:val="32"/>
        </w:rPr>
        <w:t>2018年度部门预算编制范围包括本级预算</w:t>
      </w:r>
      <w:r>
        <w:rPr>
          <w:rFonts w:hint="eastAsia" w:eastAsia="仿宋_GB2312"/>
          <w:color w:val="000000"/>
          <w:sz w:val="32"/>
          <w:szCs w:val="32"/>
          <w:lang w:eastAsia="zh-CN"/>
        </w:rPr>
        <w:t>，无</w:t>
      </w:r>
      <w:r>
        <w:rPr>
          <w:rFonts w:hint="eastAsia" w:eastAsia="仿宋_GB2312"/>
          <w:color w:val="000000"/>
          <w:sz w:val="32"/>
          <w:szCs w:val="32"/>
        </w:rPr>
        <w:t>所属单位</w:t>
      </w:r>
      <w:r>
        <w:rPr>
          <w:rFonts w:hint="eastAsia" w:eastAsia="仿宋_GB2312"/>
          <w:color w:val="000000"/>
          <w:sz w:val="32"/>
          <w:szCs w:val="32"/>
          <w:lang w:eastAsia="zh-CN"/>
        </w:rPr>
        <w:t>。</w:t>
      </w:r>
    </w:p>
    <w:p>
      <w:pPr>
        <w:spacing w:line="360" w:lineRule="auto"/>
        <w:ind w:firstLine="640" w:firstLineChars="200"/>
        <w:jc w:val="left"/>
        <w:rPr>
          <w:rFonts w:ascii="仿宋" w:hAnsi="仿宋" w:eastAsia="仿宋" w:cs="??_GB2312"/>
          <w:sz w:val="32"/>
          <w:szCs w:val="32"/>
        </w:rPr>
      </w:pPr>
    </w:p>
    <w:p>
      <w:pPr>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p>
    <w:p>
      <w:pPr>
        <w:ind w:firstLine="3373" w:firstLineChars="700"/>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浉河区妇联</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62.3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62.3</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62.3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62.30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wordWrap w:val="0"/>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62.3</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wordWrap w:val="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 xml:space="preserve">62.3  </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33120" w:type="dxa"/>
        <w:tblInd w:w="-1051" w:type="dxa"/>
        <w:tblLayout w:type="fixed"/>
        <w:tblCellMar>
          <w:top w:w="15" w:type="dxa"/>
          <w:left w:w="15" w:type="dxa"/>
          <w:bottom w:w="15" w:type="dxa"/>
          <w:right w:w="15" w:type="dxa"/>
        </w:tblCellMar>
      </w:tblPr>
      <w:tblGrid>
        <w:gridCol w:w="705"/>
        <w:gridCol w:w="938"/>
        <w:gridCol w:w="1686"/>
        <w:gridCol w:w="1140"/>
        <w:gridCol w:w="90"/>
        <w:gridCol w:w="1020"/>
        <w:gridCol w:w="167"/>
        <w:gridCol w:w="943"/>
        <w:gridCol w:w="167"/>
        <w:gridCol w:w="718"/>
        <w:gridCol w:w="167"/>
        <w:gridCol w:w="647"/>
        <w:gridCol w:w="167"/>
        <w:gridCol w:w="804"/>
        <w:gridCol w:w="961"/>
        <w:gridCol w:w="167"/>
        <w:gridCol w:w="10153"/>
        <w:gridCol w:w="10320"/>
        <w:gridCol w:w="360"/>
        <w:gridCol w:w="360"/>
        <w:gridCol w:w="360"/>
        <w:gridCol w:w="360"/>
        <w:gridCol w:w="360"/>
        <w:gridCol w:w="360"/>
      </w:tblGrid>
      <w:tr>
        <w:tblPrEx>
          <w:tblLayout w:type="fixed"/>
          <w:tblCellMar>
            <w:top w:w="15" w:type="dxa"/>
            <w:left w:w="15" w:type="dxa"/>
            <w:bottom w:w="15" w:type="dxa"/>
            <w:right w:w="15" w:type="dxa"/>
          </w:tblCellMar>
        </w:tblPrEx>
        <w:trPr>
          <w:gridAfter w:val="9"/>
          <w:wAfter w:w="22800" w:type="dxa"/>
          <w:trHeight w:val="375" w:hRule="atLeast"/>
        </w:trPr>
        <w:tc>
          <w:tcPr>
            <w:tcW w:w="10320" w:type="dxa"/>
            <w:gridSpan w:val="15"/>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gridAfter w:val="8"/>
          <w:wAfter w:w="22633" w:type="dxa"/>
          <w:trHeight w:val="315" w:hRule="atLeast"/>
        </w:trPr>
        <w:tc>
          <w:tcPr>
            <w:tcW w:w="1643" w:type="dxa"/>
            <w:gridSpan w:val="2"/>
            <w:vAlign w:val="center"/>
          </w:tcPr>
          <w:p>
            <w:pPr>
              <w:rPr>
                <w:rFonts w:ascii="仿宋" w:hAnsi="仿宋" w:eastAsia="仿宋" w:cs="宋体"/>
                <w:color w:val="000000"/>
                <w:sz w:val="16"/>
                <w:szCs w:val="16"/>
              </w:rPr>
            </w:pPr>
          </w:p>
        </w:tc>
        <w:tc>
          <w:tcPr>
            <w:tcW w:w="1686" w:type="dxa"/>
            <w:vAlign w:val="center"/>
          </w:tcPr>
          <w:p>
            <w:pPr>
              <w:rPr>
                <w:rFonts w:ascii="仿宋" w:hAnsi="仿宋" w:eastAsia="仿宋" w:cs="宋体"/>
                <w:color w:val="000000"/>
                <w:sz w:val="16"/>
                <w:szCs w:val="16"/>
              </w:rPr>
            </w:pPr>
          </w:p>
        </w:tc>
        <w:tc>
          <w:tcPr>
            <w:tcW w:w="1140" w:type="dxa"/>
            <w:vAlign w:val="center"/>
          </w:tcPr>
          <w:p>
            <w:pPr>
              <w:rPr>
                <w:rFonts w:ascii="仿宋" w:hAnsi="仿宋" w:eastAsia="仿宋" w:cs="宋体"/>
                <w:color w:val="000000"/>
                <w:sz w:val="16"/>
                <w:szCs w:val="16"/>
              </w:rPr>
            </w:pPr>
          </w:p>
        </w:tc>
        <w:tc>
          <w:tcPr>
            <w:tcW w:w="90" w:type="dxa"/>
            <w:vAlign w:val="center"/>
          </w:tcPr>
          <w:p>
            <w:pPr>
              <w:rPr>
                <w:rFonts w:ascii="仿宋" w:hAnsi="仿宋" w:eastAsia="仿宋" w:cs="宋体"/>
                <w:color w:val="000000"/>
                <w:sz w:val="16"/>
                <w:szCs w:val="16"/>
              </w:rPr>
            </w:pPr>
          </w:p>
        </w:tc>
        <w:tc>
          <w:tcPr>
            <w:tcW w:w="1187" w:type="dxa"/>
            <w:gridSpan w:val="2"/>
            <w:vAlign w:val="center"/>
          </w:tcPr>
          <w:p>
            <w:pPr>
              <w:rPr>
                <w:rFonts w:ascii="仿宋" w:hAnsi="仿宋" w:eastAsia="仿宋" w:cs="宋体"/>
                <w:color w:val="000000"/>
                <w:sz w:val="16"/>
                <w:szCs w:val="16"/>
              </w:rPr>
            </w:pPr>
          </w:p>
        </w:tc>
        <w:tc>
          <w:tcPr>
            <w:tcW w:w="1110" w:type="dxa"/>
            <w:gridSpan w:val="2"/>
            <w:vAlign w:val="center"/>
          </w:tcPr>
          <w:p>
            <w:pPr>
              <w:rPr>
                <w:rFonts w:ascii="仿宋" w:hAnsi="仿宋" w:eastAsia="仿宋" w:cs="宋体"/>
                <w:color w:val="000000"/>
                <w:sz w:val="16"/>
                <w:szCs w:val="16"/>
              </w:rPr>
            </w:pPr>
          </w:p>
        </w:tc>
        <w:tc>
          <w:tcPr>
            <w:tcW w:w="885" w:type="dxa"/>
            <w:gridSpan w:val="2"/>
            <w:vAlign w:val="center"/>
          </w:tcPr>
          <w:p>
            <w:pPr>
              <w:rPr>
                <w:rFonts w:ascii="仿宋" w:hAnsi="仿宋" w:eastAsia="仿宋" w:cs="宋体"/>
                <w:color w:val="000000"/>
                <w:sz w:val="16"/>
                <w:szCs w:val="16"/>
              </w:rPr>
            </w:pPr>
          </w:p>
        </w:tc>
        <w:tc>
          <w:tcPr>
            <w:tcW w:w="814" w:type="dxa"/>
            <w:gridSpan w:val="2"/>
            <w:vAlign w:val="center"/>
          </w:tcPr>
          <w:p>
            <w:pPr>
              <w:rPr>
                <w:rFonts w:ascii="仿宋" w:hAnsi="仿宋" w:eastAsia="仿宋" w:cs="宋体"/>
                <w:color w:val="000000"/>
                <w:sz w:val="16"/>
                <w:szCs w:val="16"/>
              </w:rPr>
            </w:pPr>
          </w:p>
        </w:tc>
        <w:tc>
          <w:tcPr>
            <w:tcW w:w="1932"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8"/>
          <w:wAfter w:w="22633" w:type="dxa"/>
          <w:trHeight w:val="315" w:hRule="atLeast"/>
        </w:trPr>
        <w:tc>
          <w:tcPr>
            <w:tcW w:w="1643" w:type="dxa"/>
            <w:gridSpan w:val="2"/>
            <w:vAlign w:val="center"/>
          </w:tcPr>
          <w:p>
            <w:pPr>
              <w:rPr>
                <w:rFonts w:ascii="仿宋" w:hAnsi="仿宋" w:eastAsia="仿宋" w:cs="宋体"/>
                <w:color w:val="000000"/>
                <w:sz w:val="16"/>
                <w:szCs w:val="16"/>
              </w:rPr>
            </w:pPr>
          </w:p>
        </w:tc>
        <w:tc>
          <w:tcPr>
            <w:tcW w:w="1686" w:type="dxa"/>
            <w:vAlign w:val="center"/>
          </w:tcPr>
          <w:p>
            <w:pPr>
              <w:rPr>
                <w:rFonts w:ascii="仿宋" w:hAnsi="仿宋" w:eastAsia="仿宋" w:cs="宋体"/>
                <w:color w:val="000000"/>
                <w:sz w:val="16"/>
                <w:szCs w:val="16"/>
              </w:rPr>
            </w:pPr>
          </w:p>
        </w:tc>
        <w:tc>
          <w:tcPr>
            <w:tcW w:w="1140" w:type="dxa"/>
            <w:vAlign w:val="center"/>
          </w:tcPr>
          <w:p>
            <w:pPr>
              <w:rPr>
                <w:rFonts w:ascii="仿宋" w:hAnsi="仿宋" w:eastAsia="仿宋" w:cs="宋体"/>
                <w:color w:val="000000"/>
                <w:sz w:val="16"/>
                <w:szCs w:val="16"/>
              </w:rPr>
            </w:pPr>
          </w:p>
        </w:tc>
        <w:tc>
          <w:tcPr>
            <w:tcW w:w="90" w:type="dxa"/>
            <w:vAlign w:val="center"/>
          </w:tcPr>
          <w:p>
            <w:pPr>
              <w:rPr>
                <w:rFonts w:ascii="仿宋" w:hAnsi="仿宋" w:eastAsia="仿宋" w:cs="宋体"/>
                <w:color w:val="000000"/>
                <w:sz w:val="16"/>
                <w:szCs w:val="16"/>
              </w:rPr>
            </w:pPr>
          </w:p>
        </w:tc>
        <w:tc>
          <w:tcPr>
            <w:tcW w:w="1187" w:type="dxa"/>
            <w:gridSpan w:val="2"/>
            <w:vAlign w:val="center"/>
          </w:tcPr>
          <w:p>
            <w:pPr>
              <w:rPr>
                <w:rFonts w:ascii="仿宋" w:hAnsi="仿宋" w:eastAsia="仿宋" w:cs="宋体"/>
                <w:color w:val="000000"/>
                <w:sz w:val="16"/>
                <w:szCs w:val="16"/>
              </w:rPr>
            </w:pPr>
          </w:p>
        </w:tc>
        <w:tc>
          <w:tcPr>
            <w:tcW w:w="1110" w:type="dxa"/>
            <w:gridSpan w:val="2"/>
            <w:vAlign w:val="center"/>
          </w:tcPr>
          <w:p>
            <w:pPr>
              <w:rPr>
                <w:rFonts w:ascii="仿宋" w:hAnsi="仿宋" w:eastAsia="仿宋" w:cs="宋体"/>
                <w:color w:val="000000"/>
                <w:sz w:val="16"/>
                <w:szCs w:val="16"/>
              </w:rPr>
            </w:pPr>
          </w:p>
        </w:tc>
        <w:tc>
          <w:tcPr>
            <w:tcW w:w="885" w:type="dxa"/>
            <w:gridSpan w:val="2"/>
            <w:vAlign w:val="center"/>
          </w:tcPr>
          <w:p>
            <w:pPr>
              <w:rPr>
                <w:rFonts w:ascii="仿宋" w:hAnsi="仿宋" w:eastAsia="仿宋" w:cs="宋体"/>
                <w:color w:val="000000"/>
                <w:sz w:val="16"/>
                <w:szCs w:val="16"/>
              </w:rPr>
            </w:pPr>
          </w:p>
        </w:tc>
        <w:tc>
          <w:tcPr>
            <w:tcW w:w="814" w:type="dxa"/>
            <w:gridSpan w:val="2"/>
            <w:vAlign w:val="center"/>
          </w:tcPr>
          <w:p>
            <w:pPr>
              <w:rPr>
                <w:rFonts w:ascii="仿宋" w:hAnsi="仿宋" w:eastAsia="仿宋" w:cs="宋体"/>
                <w:color w:val="000000"/>
                <w:sz w:val="16"/>
                <w:szCs w:val="16"/>
              </w:rPr>
            </w:pPr>
          </w:p>
        </w:tc>
        <w:tc>
          <w:tcPr>
            <w:tcW w:w="1932"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9"/>
          <w:wAfter w:w="22800" w:type="dxa"/>
          <w:trHeight w:val="300" w:hRule="atLeast"/>
        </w:trPr>
        <w:tc>
          <w:tcPr>
            <w:tcW w:w="332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4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1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1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8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81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97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96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gridAfter w:val="9"/>
          <w:wAfter w:w="22800" w:type="dxa"/>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4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1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1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1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97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96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gridAfter w:val="9"/>
          <w:wAfter w:w="22800" w:type="dxa"/>
          <w:trHeight w:val="689" w:hRule="atLeast"/>
        </w:trPr>
        <w:tc>
          <w:tcPr>
            <w:tcW w:w="332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gridAfter w:val="9"/>
          <w:wAfter w:w="22800" w:type="dxa"/>
          <w:trHeight w:val="300" w:hRule="atLeast"/>
        </w:trPr>
        <w:tc>
          <w:tcPr>
            <w:tcW w:w="332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62.3</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9"/>
          <w:wAfter w:w="22800" w:type="dxa"/>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32.1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434"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2012999</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40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sz w:val="16"/>
                <w:szCs w:val="16"/>
              </w:rPr>
              <w:t>208</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sz w:val="16"/>
                <w:szCs w:val="16"/>
              </w:rPr>
              <w:t>社会保障和就业支出</w:t>
            </w: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sz w:val="22"/>
                <w:szCs w:val="22"/>
              </w:rPr>
            </w:pPr>
            <w:r>
              <w:rPr>
                <w:rFonts w:hint="eastAsia" w:ascii="黑体" w:hAnsi="黑体" w:eastAsia="黑体" w:cs="黑体"/>
                <w:sz w:val="22"/>
                <w:szCs w:val="22"/>
              </w:rPr>
              <w:t>12.8</w:t>
            </w:r>
          </w:p>
        </w:tc>
        <w:tc>
          <w:tcPr>
            <w:tcW w:w="1110"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440" w:firstLineChars="200"/>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机关事业单位职业年金缴费支出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21011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6"/>
                <w:szCs w:val="16"/>
              </w:rPr>
            </w:pPr>
            <w:r>
              <w:rPr>
                <w:rFonts w:hint="eastAsia" w:ascii="黑体" w:hAnsi="黑体" w:eastAsia="黑体" w:cs="黑体"/>
                <w:color w:val="000000"/>
                <w:kern w:val="0"/>
                <w:sz w:val="16"/>
                <w:szCs w:val="16"/>
              </w:rPr>
              <w:t>行政生育单位医疗</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ascii="黑体" w:hAnsi="黑体" w:eastAsia="黑体" w:cs="黑体"/>
                <w:color w:val="000000"/>
                <w:sz w:val="22"/>
                <w:szCs w:val="22"/>
              </w:rPr>
            </w:pPr>
            <w:r>
              <w:rPr>
                <w:rFonts w:hint="eastAsia" w:ascii="黑体" w:hAnsi="黑体" w:eastAsia="黑体" w:cs="黑体"/>
                <w:color w:val="000000"/>
                <w:sz w:val="22"/>
                <w:szCs w:val="22"/>
              </w:rPr>
              <w:t>1.8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65"/>
              </w:tabs>
              <w:ind w:firstLine="440" w:firstLineChars="200"/>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黑体" w:hAnsi="黑体" w:eastAsia="黑体" w:cs="黑体"/>
                <w:color w:val="000000"/>
                <w:kern w:val="0"/>
                <w:sz w:val="16"/>
                <w:szCs w:val="16"/>
              </w:rPr>
            </w:pPr>
            <w:r>
              <w:rPr>
                <w:rFonts w:hint="eastAsia" w:ascii="黑体" w:hAnsi="黑体" w:eastAsia="黑体" w:cs="黑体"/>
                <w:color w:val="000000"/>
                <w:kern w:val="0"/>
                <w:sz w:val="16"/>
                <w:szCs w:val="16"/>
              </w:rPr>
              <w:t>221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kern w:val="0"/>
                <w:sz w:val="16"/>
                <w:szCs w:val="16"/>
              </w:rPr>
            </w:pPr>
            <w:r>
              <w:rPr>
                <w:rFonts w:hint="eastAsia" w:ascii="黑体" w:hAnsi="黑体" w:eastAsia="黑体" w:cs="黑体"/>
                <w:color w:val="000000"/>
                <w:kern w:val="0"/>
                <w:sz w:val="16"/>
                <w:szCs w:val="16"/>
              </w:rPr>
              <w:t>住房保障中v</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525"/>
              </w:tabs>
              <w:ind w:firstLine="440" w:firstLineChars="200"/>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2.6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sz w:val="16"/>
                <w:szCs w:val="16"/>
              </w:rPr>
              <w:t>2210201</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sz w:val="16"/>
                <w:szCs w:val="16"/>
              </w:rPr>
              <w:t>住房公积金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510"/>
              </w:tabs>
              <w:ind w:firstLine="440" w:firstLineChars="200"/>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4"/>
              </w:tabs>
              <w:jc w:val="center"/>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gridAfter w:val="9"/>
          <w:wAfter w:w="22800" w:type="dxa"/>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abs>
                <w:tab w:val="left" w:pos="465"/>
              </w:tabs>
              <w:ind w:firstLine="440" w:firstLineChars="200"/>
              <w:jc w:val="left"/>
              <w:textAlignment w:val="center"/>
              <w:rPr>
                <w:rFonts w:ascii="仿宋" w:hAnsi="仿宋" w:eastAsia="仿宋" w:cs="宋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96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gridAfter w:val="9"/>
          <w:wAfter w:w="22800" w:type="dxa"/>
          <w:trHeight w:val="41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宋体"/>
                <w:color w:val="000000" w:themeColor="text1"/>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Layout w:type="fixed"/>
          <w:tblCellMar>
            <w:top w:w="15" w:type="dxa"/>
            <w:left w:w="15" w:type="dxa"/>
            <w:bottom w:w="15" w:type="dxa"/>
            <w:right w:w="15" w:type="dxa"/>
          </w:tblCellMar>
        </w:tblPrEx>
        <w:trPr>
          <w:gridAfter w:val="9"/>
          <w:wAfter w:w="22800" w:type="dxa"/>
          <w:trHeight w:val="44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Layout w:type="fixed"/>
          <w:tblCellMar>
            <w:top w:w="15" w:type="dxa"/>
            <w:left w:w="15" w:type="dxa"/>
            <w:bottom w:w="15" w:type="dxa"/>
            <w:right w:w="15" w:type="dxa"/>
          </w:tblCellMar>
        </w:tblPrEx>
        <w:trPr>
          <w:gridAfter w:val="9"/>
          <w:wAfter w:w="22800" w:type="dxa"/>
          <w:trHeight w:val="452"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Layout w:type="fixed"/>
          <w:tblCellMar>
            <w:top w:w="15" w:type="dxa"/>
            <w:left w:w="15" w:type="dxa"/>
            <w:bottom w:w="15" w:type="dxa"/>
            <w:right w:w="15" w:type="dxa"/>
          </w:tblCellMar>
        </w:tblPrEx>
        <w:trPr>
          <w:gridAfter w:val="9"/>
          <w:wAfter w:w="22800" w:type="dxa"/>
          <w:trHeight w:val="447"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highlight w:val="darkYellow"/>
                <w:u w:val="single"/>
              </w:rPr>
            </w:pPr>
          </w:p>
        </w:tc>
        <w:tc>
          <w:tcPr>
            <w:tcW w:w="2624" w:type="dxa"/>
            <w:gridSpan w:val="2"/>
            <w:tcBorders>
              <w:top w:val="single" w:color="000000" w:sz="4" w:space="0"/>
              <w:left w:val="single" w:color="000000" w:sz="4" w:space="0"/>
              <w:bottom w:val="single" w:color="000000" w:sz="12" w:space="0"/>
              <w:right w:val="single" w:color="000000" w:sz="4" w:space="0"/>
            </w:tcBorders>
            <w:vAlign w:val="center"/>
          </w:tcPr>
          <w:p>
            <w:pPr>
              <w:widowControl/>
              <w:ind w:firstLine="239"/>
              <w:jc w:val="left"/>
              <w:textAlignment w:val="center"/>
              <w:rPr>
                <w:rFonts w:ascii="仿宋" w:hAnsi="仿宋" w:eastAsia="仿宋" w:cs="宋体"/>
                <w:color w:val="000000"/>
                <w:sz w:val="16"/>
                <w:szCs w:val="16"/>
                <w:highlight w:val="darkYellow"/>
                <w:u w:val="single"/>
              </w:rPr>
            </w:pP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11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8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highlight w:val="darkYellow"/>
                <w:u w:val="single"/>
              </w:rPr>
            </w:pPr>
          </w:p>
        </w:tc>
        <w:tc>
          <w:tcPr>
            <w:tcW w:w="96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highlight w:val="darkYellow"/>
                <w:u w:val="single"/>
              </w:rPr>
            </w:pPr>
          </w:p>
        </w:tc>
      </w:tr>
      <w:tr>
        <w:tblPrEx>
          <w:tblLayout w:type="fixed"/>
          <w:tblCellMar>
            <w:top w:w="15" w:type="dxa"/>
            <w:left w:w="15" w:type="dxa"/>
            <w:bottom w:w="15" w:type="dxa"/>
            <w:right w:w="15" w:type="dxa"/>
          </w:tblCellMar>
        </w:tblPrEx>
        <w:trPr>
          <w:trHeight w:val="360" w:hRule="atLeast"/>
        </w:trPr>
        <w:tc>
          <w:tcPr>
            <w:tcW w:w="10320" w:type="dxa"/>
            <w:gridSpan w:val="15"/>
            <w:vAlign w:val="center"/>
          </w:tcPr>
          <w:p>
            <w:pPr>
              <w:widowControl/>
              <w:jc w:val="left"/>
              <w:textAlignment w:val="center"/>
              <w:rPr>
                <w:rFonts w:ascii="仿宋" w:hAnsi="仿宋" w:eastAsia="仿宋" w:cs="宋体"/>
                <w:color w:val="000000"/>
                <w:sz w:val="16"/>
                <w:szCs w:val="16"/>
              </w:rPr>
            </w:pPr>
          </w:p>
        </w:tc>
        <w:tc>
          <w:tcPr>
            <w:tcW w:w="10320" w:type="dxa"/>
            <w:gridSpan w:val="2"/>
            <w:vAlign w:val="center"/>
          </w:tcPr>
          <w:p>
            <w:pPr>
              <w:widowControl/>
              <w:jc w:val="left"/>
              <w:textAlignment w:val="center"/>
            </w:pPr>
          </w:p>
        </w:tc>
        <w:tc>
          <w:tcPr>
            <w:tcW w:w="1032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360" w:type="dxa"/>
            <w:vAlign w:val="center"/>
          </w:tcPr>
          <w:p>
            <w:pPr>
              <w:widowControl/>
              <w:jc w:val="right"/>
              <w:textAlignment w:val="center"/>
            </w:pPr>
          </w:p>
        </w:tc>
        <w:tc>
          <w:tcPr>
            <w:tcW w:w="0" w:type="dxa"/>
            <w:vAlign w:val="center"/>
          </w:tcPr>
          <w:p>
            <w:pPr>
              <w:widowControl/>
              <w:jc w:val="right"/>
              <w:textAlignment w:val="center"/>
            </w:pPr>
          </w:p>
        </w:tc>
      </w:tr>
      <w:tr>
        <w:tblPrEx>
          <w:tblLayout w:type="fixed"/>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gridAfter w:val="9"/>
          <w:wAfter w:w="22800" w:type="dxa"/>
          <w:trHeight w:val="360" w:hRule="atLeast"/>
        </w:trPr>
        <w:tc>
          <w:tcPr>
            <w:tcW w:w="10320" w:type="dxa"/>
            <w:gridSpan w:val="15"/>
            <w:vAlign w:val="center"/>
          </w:tcPr>
          <w:p>
            <w:pPr>
              <w:widowControl/>
              <w:jc w:val="left"/>
              <w:textAlignment w:val="center"/>
              <w:rPr>
                <w:rFonts w:ascii="仿宋" w:hAnsi="仿宋" w:eastAsia="仿宋" w:cs="宋体"/>
                <w:color w:val="000000"/>
                <w:kern w:val="0"/>
                <w:sz w:val="16"/>
                <w:szCs w:val="16"/>
              </w:rP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1811" w:type="dxa"/>
        <w:tblInd w:w="-1051" w:type="dxa"/>
        <w:tblLayout w:type="fixed"/>
        <w:tblCellMar>
          <w:top w:w="15" w:type="dxa"/>
          <w:left w:w="15" w:type="dxa"/>
          <w:bottom w:w="15" w:type="dxa"/>
          <w:right w:w="15" w:type="dxa"/>
        </w:tblCellMar>
      </w:tblPr>
      <w:tblGrid>
        <w:gridCol w:w="683"/>
        <w:gridCol w:w="35"/>
        <w:gridCol w:w="991"/>
        <w:gridCol w:w="1680"/>
        <w:gridCol w:w="1003"/>
        <w:gridCol w:w="23"/>
        <w:gridCol w:w="976"/>
        <w:gridCol w:w="208"/>
        <w:gridCol w:w="791"/>
        <w:gridCol w:w="393"/>
        <w:gridCol w:w="606"/>
        <w:gridCol w:w="578"/>
        <w:gridCol w:w="421"/>
        <w:gridCol w:w="763"/>
        <w:gridCol w:w="1184"/>
        <w:gridCol w:w="1476"/>
      </w:tblGrid>
      <w:tr>
        <w:tblPrEx>
          <w:tblLayout w:type="fixed"/>
          <w:tblCellMar>
            <w:top w:w="15" w:type="dxa"/>
            <w:left w:w="15" w:type="dxa"/>
            <w:bottom w:w="15" w:type="dxa"/>
            <w:right w:w="15" w:type="dxa"/>
          </w:tblCellMar>
        </w:tblPrEx>
        <w:trPr>
          <w:gridAfter w:val="1"/>
          <w:wAfter w:w="1476" w:type="dxa"/>
          <w:trHeight w:val="375" w:hRule="atLeast"/>
        </w:trPr>
        <w:tc>
          <w:tcPr>
            <w:tcW w:w="10335" w:type="dxa"/>
            <w:gridSpan w:val="15"/>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gridAfter w:val="1"/>
          <w:wAfter w:w="1476" w:type="dxa"/>
          <w:trHeight w:val="315" w:hRule="atLeast"/>
        </w:trPr>
        <w:tc>
          <w:tcPr>
            <w:tcW w:w="1709" w:type="dxa"/>
            <w:gridSpan w:val="3"/>
            <w:vAlign w:val="center"/>
          </w:tcPr>
          <w:p>
            <w:pPr>
              <w:rPr>
                <w:rFonts w:ascii="仿宋" w:hAnsi="仿宋" w:eastAsia="仿宋" w:cs="宋体"/>
                <w:color w:val="000000"/>
                <w:sz w:val="16"/>
                <w:szCs w:val="16"/>
              </w:rPr>
            </w:pPr>
          </w:p>
        </w:tc>
        <w:tc>
          <w:tcPr>
            <w:tcW w:w="1680" w:type="dxa"/>
            <w:vAlign w:val="center"/>
          </w:tcPr>
          <w:p>
            <w:pPr>
              <w:rPr>
                <w:rFonts w:ascii="仿宋" w:hAnsi="仿宋" w:eastAsia="仿宋" w:cs="宋体"/>
                <w:color w:val="000000"/>
                <w:sz w:val="16"/>
                <w:szCs w:val="16"/>
              </w:rPr>
            </w:pPr>
          </w:p>
        </w:tc>
        <w:tc>
          <w:tcPr>
            <w:tcW w:w="100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1476" w:type="dxa"/>
          <w:trHeight w:val="315" w:hRule="atLeast"/>
        </w:trPr>
        <w:tc>
          <w:tcPr>
            <w:tcW w:w="1709" w:type="dxa"/>
            <w:gridSpan w:val="3"/>
            <w:vAlign w:val="center"/>
          </w:tcPr>
          <w:p>
            <w:pPr>
              <w:rPr>
                <w:rFonts w:ascii="仿宋" w:hAnsi="仿宋" w:eastAsia="仿宋" w:cs="宋体"/>
                <w:color w:val="000000"/>
                <w:sz w:val="16"/>
                <w:szCs w:val="16"/>
              </w:rPr>
            </w:pPr>
          </w:p>
        </w:tc>
        <w:tc>
          <w:tcPr>
            <w:tcW w:w="1680" w:type="dxa"/>
            <w:vAlign w:val="center"/>
          </w:tcPr>
          <w:p>
            <w:pPr>
              <w:rPr>
                <w:rFonts w:ascii="仿宋" w:hAnsi="仿宋" w:eastAsia="仿宋" w:cs="宋体"/>
                <w:color w:val="000000"/>
                <w:sz w:val="16"/>
                <w:szCs w:val="16"/>
              </w:rPr>
            </w:pPr>
          </w:p>
        </w:tc>
        <w:tc>
          <w:tcPr>
            <w:tcW w:w="100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1476" w:type="dxa"/>
          <w:trHeight w:val="300" w:hRule="atLeast"/>
        </w:trPr>
        <w:tc>
          <w:tcPr>
            <w:tcW w:w="338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02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gridAfter w:val="1"/>
          <w:wAfter w:w="1476" w:type="dxa"/>
          <w:trHeight w:val="6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02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gridAfter w:val="1"/>
          <w:wAfter w:w="1476" w:type="dxa"/>
          <w:trHeight w:val="300" w:hRule="atLeast"/>
        </w:trPr>
        <w:tc>
          <w:tcPr>
            <w:tcW w:w="338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38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2"/>
                <w:szCs w:val="22"/>
              </w:rPr>
            </w:pPr>
            <w:r>
              <w:rPr>
                <w:rFonts w:hint="eastAsia" w:ascii="仿宋" w:hAnsi="仿宋" w:eastAsia="仿宋" w:cs="宋体"/>
                <w:b/>
                <w:color w:val="000000"/>
                <w:sz w:val="22"/>
                <w:szCs w:val="22"/>
              </w:rPr>
              <w:t>62.3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1026"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026"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32.1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2012999</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1026"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208</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社会保障和就业支出</w:t>
            </w:r>
          </w:p>
        </w:tc>
        <w:tc>
          <w:tcPr>
            <w:tcW w:w="1026"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22"/>
                <w:szCs w:val="22"/>
              </w:rPr>
            </w:pPr>
            <w:r>
              <w:rPr>
                <w:rFonts w:hint="eastAsia" w:ascii="黑体" w:hAnsi="黑体" w:eastAsia="黑体" w:cs="黑体"/>
                <w:sz w:val="22"/>
                <w:szCs w:val="22"/>
              </w:rPr>
              <w:t>12.8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440" w:firstLineChars="200"/>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机关事业单位职业年金缴费支出</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21011</w:t>
            </w:r>
          </w:p>
        </w:tc>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行政生育单位医疗</w:t>
            </w: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ascii="仿宋" w:hAnsi="仿宋" w:eastAsia="仿宋" w:cs="宋体"/>
                <w:color w:val="000000"/>
                <w:sz w:val="22"/>
                <w:szCs w:val="22"/>
              </w:rPr>
            </w:pPr>
            <w:r>
              <w:rPr>
                <w:rFonts w:hint="eastAsia" w:ascii="黑体" w:hAnsi="黑体" w:eastAsia="黑体" w:cs="黑体"/>
                <w:color w:val="000000"/>
                <w:sz w:val="22"/>
                <w:szCs w:val="22"/>
              </w:rPr>
              <w:t>1.8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18" w:type="dxa"/>
            <w:gridSpan w:val="2"/>
            <w:tcBorders>
              <w:top w:val="single" w:color="000000" w:sz="4" w:space="0"/>
              <w:left w:val="single" w:color="000000" w:sz="12"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671"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026" w:type="dxa"/>
            <w:gridSpan w:val="2"/>
            <w:tcBorders>
              <w:top w:val="single" w:color="000000" w:sz="4" w:space="0"/>
              <w:left w:val="single" w:color="000000" w:sz="4" w:space="0"/>
              <w:bottom w:val="single" w:color="auto" w:sz="4" w:space="0"/>
              <w:right w:val="single" w:color="000000" w:sz="4" w:space="0"/>
            </w:tcBorders>
            <w:vAlign w:val="center"/>
          </w:tcPr>
          <w:p>
            <w:pPr>
              <w:widowControl/>
              <w:tabs>
                <w:tab w:val="left" w:pos="465"/>
              </w:tabs>
              <w:ind w:firstLine="440" w:firstLineChars="200"/>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auto"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auto"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221</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黑体" w:hAnsi="黑体" w:eastAsia="黑体" w:cs="黑体"/>
                <w:color w:val="000000"/>
                <w:kern w:val="0"/>
                <w:sz w:val="16"/>
                <w:szCs w:val="16"/>
              </w:rPr>
              <w:t>住房保障中v</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25"/>
              </w:tabs>
              <w:ind w:firstLine="440" w:firstLineChars="200"/>
              <w:textAlignment w:val="center"/>
              <w:rPr>
                <w:sz w:val="22"/>
                <w:szCs w:val="22"/>
              </w:rPr>
            </w:pPr>
            <w:r>
              <w:rPr>
                <w:rFonts w:hint="eastAsia" w:ascii="黑体" w:hAnsi="黑体" w:eastAsia="黑体" w:cs="黑体"/>
                <w:color w:val="000000"/>
                <w:kern w:val="0"/>
                <w:sz w:val="22"/>
                <w:szCs w:val="22"/>
              </w:rPr>
              <w:t>2.6</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 w:hAnsi="仿宋" w:eastAsia="仿宋" w:cs="宋体"/>
                <w:color w:val="000000"/>
                <w:sz w:val="16"/>
                <w:szCs w:val="16"/>
              </w:rPr>
              <w:t>住房公积金</w:t>
            </w: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10"/>
              </w:tabs>
              <w:ind w:firstLine="440" w:firstLineChars="200"/>
              <w:textAlignment w:val="center"/>
              <w:rPr>
                <w:sz w:val="22"/>
                <w:szCs w:val="22"/>
              </w:rPr>
            </w:pPr>
            <w:r>
              <w:rPr>
                <w:rFonts w:hint="eastAsia" w:ascii="仿宋" w:hAnsi="仿宋" w:eastAsia="仿宋" w:cs="宋体"/>
                <w:color w:val="000000"/>
                <w:kern w:val="0"/>
                <w:sz w:val="22"/>
                <w:szCs w:val="22"/>
              </w:rPr>
              <w:t>2.6</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74"/>
              </w:tabs>
              <w:jc w:val="center"/>
              <w:textAlignment w:val="center"/>
              <w:rPr>
                <w:sz w:val="22"/>
                <w:szCs w:val="22"/>
              </w:rPr>
            </w:pPr>
            <w:r>
              <w:rPr>
                <w:rFonts w:hint="eastAsia" w:ascii="仿宋" w:hAnsi="仿宋" w:eastAsia="仿宋" w:cs="宋体"/>
                <w:color w:val="000000"/>
                <w:kern w:val="0"/>
                <w:sz w:val="22"/>
                <w:szCs w:val="22"/>
              </w:rPr>
              <w:t>2.6</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65"/>
              </w:tabs>
              <w:ind w:firstLine="440" w:firstLineChars="200"/>
              <w:jc w:val="lef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60" w:hRule="atLeast"/>
        </w:trPr>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10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1476" w:type="dxa"/>
            <w:vAlign w:val="center"/>
          </w:tcPr>
          <w:p>
            <w:pPr>
              <w:widowControl/>
              <w:jc w:val="right"/>
              <w:textAlignment w:val="center"/>
            </w:pPr>
          </w:p>
        </w:tc>
      </w:tr>
      <w:tr>
        <w:tblPrEx>
          <w:tblLayout w:type="fixed"/>
          <w:tblCellMar>
            <w:top w:w="15" w:type="dxa"/>
            <w:left w:w="15" w:type="dxa"/>
            <w:bottom w:w="15" w:type="dxa"/>
            <w:right w:w="15" w:type="dxa"/>
          </w:tblCellMar>
        </w:tblPrEx>
        <w:trPr>
          <w:gridAfter w:val="1"/>
          <w:wAfter w:w="1476" w:type="dxa"/>
          <w:trHeight w:val="360" w:hRule="atLeast"/>
        </w:trPr>
        <w:tc>
          <w:tcPr>
            <w:tcW w:w="683" w:type="dxa"/>
            <w:tcBorders>
              <w:top w:val="single" w:color="auto" w:sz="4" w:space="0"/>
            </w:tcBorders>
            <w:vAlign w:val="center"/>
          </w:tcPr>
          <w:p>
            <w:pPr>
              <w:widowControl/>
              <w:jc w:val="left"/>
              <w:textAlignment w:val="center"/>
              <w:rPr>
                <w:rFonts w:ascii="仿宋" w:hAnsi="仿宋" w:eastAsia="仿宋" w:cs="宋体"/>
                <w:color w:val="000000"/>
                <w:sz w:val="16"/>
                <w:szCs w:val="16"/>
              </w:rPr>
            </w:pPr>
          </w:p>
        </w:tc>
        <w:tc>
          <w:tcPr>
            <w:tcW w:w="2706" w:type="dxa"/>
            <w:gridSpan w:val="3"/>
            <w:tcBorders>
              <w:top w:val="single" w:color="auto" w:sz="4" w:space="0"/>
            </w:tcBorders>
            <w:vAlign w:val="center"/>
          </w:tcPr>
          <w:p>
            <w:pPr>
              <w:widowControl/>
              <w:ind w:firstLine="239"/>
              <w:jc w:val="left"/>
              <w:textAlignment w:val="center"/>
            </w:pPr>
          </w:p>
        </w:tc>
        <w:tc>
          <w:tcPr>
            <w:tcW w:w="1026"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1184" w:type="dxa"/>
            <w:gridSpan w:val="2"/>
            <w:tcBorders>
              <w:top w:val="single" w:color="auto" w:sz="4" w:space="0"/>
            </w:tcBorders>
            <w:vAlign w:val="center"/>
          </w:tcPr>
          <w:p>
            <w:pPr>
              <w:widowControl/>
              <w:jc w:val="right"/>
              <w:textAlignment w:val="center"/>
            </w:pPr>
          </w:p>
        </w:tc>
        <w:tc>
          <w:tcPr>
            <w:tcW w:w="2368" w:type="dxa"/>
            <w:gridSpan w:val="3"/>
            <w:tcBorders>
              <w:top w:val="single" w:color="auto" w:sz="4" w:space="0"/>
            </w:tcBorders>
          </w:tcPr>
          <w:p>
            <w:pPr>
              <w:widowControl/>
              <w:jc w:val="lef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8010" w:type="dxa"/>
        <w:tblInd w:w="-992" w:type="dxa"/>
        <w:tblLayout w:type="fixed"/>
        <w:tblCellMar>
          <w:top w:w="15" w:type="dxa"/>
          <w:left w:w="15" w:type="dxa"/>
          <w:bottom w:w="15" w:type="dxa"/>
          <w:right w:w="15" w:type="dxa"/>
        </w:tblCellMar>
      </w:tblPr>
      <w:tblGrid>
        <w:gridCol w:w="741"/>
        <w:gridCol w:w="565"/>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gridCol w:w="2553"/>
        <w:gridCol w:w="2583"/>
        <w:gridCol w:w="2583"/>
      </w:tblGrid>
      <w:tr>
        <w:tblPrEx>
          <w:tblLayout w:type="fixed"/>
          <w:tblCellMar>
            <w:top w:w="15" w:type="dxa"/>
            <w:left w:w="15" w:type="dxa"/>
            <w:bottom w:w="15" w:type="dxa"/>
            <w:right w:w="15" w:type="dxa"/>
          </w:tblCellMar>
        </w:tblPrEx>
        <w:trPr>
          <w:gridAfter w:val="3"/>
          <w:wAfter w:w="7719" w:type="dxa"/>
          <w:trHeight w:val="375" w:hRule="atLeast"/>
        </w:trPr>
        <w:tc>
          <w:tcPr>
            <w:tcW w:w="10291"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gridAfter w:val="3"/>
          <w:wAfter w:w="7719" w:type="dxa"/>
          <w:trHeight w:val="285" w:hRule="atLeast"/>
        </w:trPr>
        <w:tc>
          <w:tcPr>
            <w:tcW w:w="2394" w:type="dxa"/>
            <w:gridSpan w:val="5"/>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3"/>
          <w:wAfter w:w="7719" w:type="dxa"/>
          <w:trHeight w:val="285" w:hRule="atLeast"/>
        </w:trPr>
        <w:tc>
          <w:tcPr>
            <w:tcW w:w="2394" w:type="dxa"/>
            <w:gridSpan w:val="5"/>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3"/>
          <w:wAfter w:w="7719" w:type="dxa"/>
          <w:trHeight w:val="285" w:hRule="atLeast"/>
        </w:trPr>
        <w:tc>
          <w:tcPr>
            <w:tcW w:w="3811" w:type="dxa"/>
            <w:gridSpan w:val="9"/>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gridAfter w:val="3"/>
          <w:wAfter w:w="7719" w:type="dxa"/>
          <w:trHeight w:val="480"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 xml:space="preserve">62.3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62.3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62.3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 xml:space="preserve">62.3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3"/>
          <w:wAfter w:w="7719" w:type="dxa"/>
          <w:trHeight w:val="285" w:hRule="atLeast"/>
        </w:trPr>
        <w:tc>
          <w:tcPr>
            <w:tcW w:w="211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3"/>
          <w:wAfter w:w="7719" w:type="dxa"/>
          <w:trHeight w:val="285" w:hRule="atLeast"/>
        </w:trPr>
        <w:tc>
          <w:tcPr>
            <w:tcW w:w="2116" w:type="dxa"/>
            <w:gridSpan w:val="4"/>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62.3</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rPr>
            </w:pPr>
            <w:r>
              <w:rPr>
                <w:rFonts w:hint="eastAsia" w:ascii="仿宋" w:hAnsi="仿宋" w:eastAsia="仿宋"/>
              </w:rPr>
              <w:t>62.3</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3"/>
          <w:wAfter w:w="7719" w:type="dxa"/>
          <w:trHeight w:val="495" w:hRule="atLeast"/>
        </w:trPr>
        <w:tc>
          <w:tcPr>
            <w:tcW w:w="10291" w:type="dxa"/>
            <w:gridSpan w:val="2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4"/>
          <w:wAfter w:w="7749" w:type="dxa"/>
          <w:trHeight w:val="375" w:hRule="atLeast"/>
        </w:trPr>
        <w:tc>
          <w:tcPr>
            <w:tcW w:w="10261"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4"/>
          <w:wAfter w:w="7749" w:type="dxa"/>
          <w:trHeight w:val="285" w:hRule="atLeast"/>
        </w:trPr>
        <w:tc>
          <w:tcPr>
            <w:tcW w:w="1981" w:type="dxa"/>
            <w:gridSpan w:val="3"/>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4"/>
          <w:wAfter w:w="7749" w:type="dxa"/>
          <w:trHeight w:val="270" w:hRule="atLeast"/>
        </w:trPr>
        <w:tc>
          <w:tcPr>
            <w:tcW w:w="1981" w:type="dxa"/>
            <w:gridSpan w:val="3"/>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4"/>
          <w:wAfter w:w="7749" w:type="dxa"/>
          <w:trHeight w:val="300" w:hRule="atLeast"/>
        </w:trPr>
        <w:tc>
          <w:tcPr>
            <w:tcW w:w="3781"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4"/>
          <w:wAfter w:w="7749" w:type="dxa"/>
          <w:trHeight w:val="600" w:hRule="atLeast"/>
        </w:trPr>
        <w:tc>
          <w:tcPr>
            <w:tcW w:w="1306"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4"/>
          <w:wAfter w:w="7749" w:type="dxa"/>
          <w:trHeight w:val="300" w:hRule="atLeast"/>
        </w:trPr>
        <w:tc>
          <w:tcPr>
            <w:tcW w:w="378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78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62.3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一般公共服务支出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2012901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45.1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32.1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2012999</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其他群众团体事务支出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 xml:space="preserve">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22"/>
                <w:szCs w:val="22"/>
              </w:rPr>
            </w:pPr>
            <w:r>
              <w:rPr>
                <w:rFonts w:hint="eastAsia" w:ascii="仿宋" w:hAnsi="仿宋" w:eastAsia="仿宋" w:cs="宋体"/>
                <w:color w:val="000000"/>
                <w:sz w:val="22"/>
                <w:szCs w:val="22"/>
              </w:rPr>
              <w:t>13</w:t>
            </w: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208</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sz w:val="16"/>
                <w:szCs w:val="16"/>
              </w:rPr>
              <w:t>社会保障和就业支出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22"/>
                <w:szCs w:val="22"/>
              </w:rPr>
            </w:pPr>
            <w:r>
              <w:rPr>
                <w:rFonts w:hint="eastAsia" w:ascii="黑体" w:hAnsi="黑体" w:eastAsia="黑体" w:cs="黑体"/>
                <w:sz w:val="22"/>
                <w:szCs w:val="22"/>
              </w:rPr>
              <w:t>12.8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行政事业单位离退休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422"/>
              </w:tabs>
              <w:ind w:firstLine="880" w:firstLineChars="400"/>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34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43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机关事业单位职业年金缴费支出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315"/>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499"/>
              </w:tabs>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21011</w:t>
            </w:r>
          </w:p>
        </w:tc>
        <w:tc>
          <w:tcPr>
            <w:tcW w:w="304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行政生育单位医疗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360"/>
              </w:tabs>
              <w:jc w:val="center"/>
              <w:textAlignment w:val="center"/>
              <w:rPr>
                <w:rFonts w:ascii="仿宋" w:hAnsi="仿宋" w:eastAsia="仿宋" w:cs="宋体"/>
                <w:color w:val="000000"/>
                <w:sz w:val="22"/>
                <w:szCs w:val="22"/>
              </w:rPr>
            </w:pPr>
            <w:r>
              <w:rPr>
                <w:rFonts w:hint="eastAsia" w:ascii="黑体" w:hAnsi="黑体" w:eastAsia="黑体" w:cs="黑体"/>
                <w:color w:val="000000"/>
                <w:sz w:val="22"/>
                <w:szCs w:val="22"/>
              </w:rPr>
              <w:t>1.8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300" w:hRule="atLeast"/>
        </w:trPr>
        <w:tc>
          <w:tcPr>
            <w:tcW w:w="741" w:type="dxa"/>
            <w:tcBorders>
              <w:top w:val="single" w:color="000000" w:sz="4" w:space="0"/>
              <w:left w:val="single" w:color="000000" w:sz="12"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3040" w:type="dxa"/>
            <w:gridSpan w:val="7"/>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auto" w:sz="4" w:space="0"/>
              <w:right w:val="single" w:color="000000" w:sz="4" w:space="0"/>
            </w:tcBorders>
            <w:vAlign w:val="center"/>
          </w:tcPr>
          <w:p>
            <w:pPr>
              <w:widowControl/>
              <w:tabs>
                <w:tab w:val="left" w:pos="465"/>
              </w:tabs>
              <w:ind w:firstLine="880" w:firstLineChars="400"/>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2160" w:type="dxa"/>
            <w:gridSpan w:val="8"/>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1.8</w:t>
            </w:r>
          </w:p>
        </w:tc>
        <w:tc>
          <w:tcPr>
            <w:tcW w:w="2160" w:type="dxa"/>
            <w:gridSpan w:val="2"/>
            <w:tcBorders>
              <w:top w:val="single" w:color="000000" w:sz="4" w:space="0"/>
              <w:left w:val="single" w:color="000000" w:sz="4" w:space="0"/>
              <w:bottom w:val="single" w:color="auto" w:sz="4" w:space="0"/>
              <w:right w:val="single" w:color="000000" w:sz="12" w:space="0"/>
            </w:tcBorders>
            <w:vAlign w:val="center"/>
          </w:tcPr>
          <w:p>
            <w:pPr>
              <w:widowControl/>
              <w:jc w:val="right"/>
              <w:textAlignment w:val="center"/>
              <w:rPr>
                <w:rFonts w:ascii="仿宋" w:hAnsi="仿宋" w:eastAsia="仿宋" w:cs="宋体"/>
                <w:color w:val="000000"/>
                <w:sz w:val="22"/>
                <w:szCs w:val="22"/>
              </w:rPr>
            </w:pPr>
          </w:p>
        </w:tc>
        <w:tc>
          <w:tcPr>
            <w:tcW w:w="2583" w:type="dxa"/>
            <w:gridSpan w:val="2"/>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黑体" w:hAnsi="黑体" w:eastAsia="黑体" w:cs="黑体"/>
                <w:color w:val="000000"/>
                <w:kern w:val="0"/>
                <w:sz w:val="16"/>
                <w:szCs w:val="16"/>
              </w:rPr>
              <w:t>221</w:t>
            </w: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黑体" w:hAnsi="黑体" w:eastAsia="黑体" w:cs="黑体"/>
                <w:color w:val="000000"/>
                <w:kern w:val="0"/>
                <w:sz w:val="16"/>
                <w:szCs w:val="16"/>
              </w:rPr>
              <w:t>住房保障支出</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525"/>
              </w:tabs>
              <w:ind w:firstLine="880" w:firstLineChars="400"/>
              <w:textAlignment w:val="center"/>
              <w:rPr>
                <w:sz w:val="22"/>
                <w:szCs w:val="22"/>
              </w:rPr>
            </w:pPr>
            <w:r>
              <w:rPr>
                <w:rFonts w:hint="eastAsia" w:ascii="黑体" w:hAnsi="黑体" w:eastAsia="黑体" w:cs="黑体"/>
                <w:color w:val="000000"/>
                <w:kern w:val="0"/>
                <w:sz w:val="22"/>
                <w:szCs w:val="22"/>
              </w:rPr>
              <w:t>2.6</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2"/>
                <w:szCs w:val="22"/>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 w:hAnsi="仿宋" w:eastAsia="仿宋" w:cs="宋体"/>
                <w:color w:val="000000"/>
                <w:sz w:val="16"/>
                <w:szCs w:val="16"/>
              </w:rPr>
              <w:t>住房公积金</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510"/>
              </w:tabs>
              <w:ind w:firstLine="880" w:firstLineChars="400"/>
              <w:textAlignment w:val="center"/>
              <w:rPr>
                <w:sz w:val="22"/>
                <w:szCs w:val="22"/>
              </w:rPr>
            </w:pPr>
            <w:r>
              <w:rPr>
                <w:rFonts w:hint="eastAsia" w:ascii="仿宋" w:hAnsi="仿宋" w:eastAsia="仿宋" w:cs="宋体"/>
                <w:color w:val="000000"/>
                <w:kern w:val="0"/>
                <w:sz w:val="22"/>
                <w:szCs w:val="22"/>
              </w:rPr>
              <w:t>2.6</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574"/>
              </w:tabs>
              <w:jc w:val="center"/>
              <w:textAlignment w:val="center"/>
              <w:rPr>
                <w:sz w:val="22"/>
                <w:szCs w:val="22"/>
              </w:rPr>
            </w:pPr>
            <w:r>
              <w:rPr>
                <w:rFonts w:hint="eastAsia" w:ascii="仿宋" w:hAnsi="仿宋" w:eastAsia="仿宋" w:cs="宋体"/>
                <w:color w:val="000000"/>
                <w:kern w:val="0"/>
                <w:sz w:val="22"/>
                <w:szCs w:val="22"/>
              </w:rPr>
              <w:t>2.6</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sz w:val="22"/>
                <w:szCs w:val="22"/>
              </w:rP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r>
        <w:tblPrEx>
          <w:tblLayout w:type="fixed"/>
          <w:tblCellMar>
            <w:top w:w="15" w:type="dxa"/>
            <w:left w:w="15" w:type="dxa"/>
            <w:bottom w:w="15" w:type="dxa"/>
            <w:right w:w="15" w:type="dxa"/>
          </w:tblCellMar>
        </w:tblPrEx>
        <w:trPr>
          <w:trHeight w:val="530"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3040"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pPr>
          </w:p>
        </w:tc>
        <w:tc>
          <w:tcPr>
            <w:tcW w:w="2583" w:type="dxa"/>
            <w:gridSpan w:val="2"/>
            <w:tcBorders>
              <w:left w:val="single" w:color="auto" w:sz="4" w:space="0"/>
            </w:tcBorders>
            <w:vAlign w:val="center"/>
          </w:tcPr>
          <w:p>
            <w:pPr>
              <w:widowControl/>
              <w:jc w:val="right"/>
              <w:textAlignment w:val="center"/>
            </w:pPr>
          </w:p>
        </w:tc>
        <w:tc>
          <w:tcPr>
            <w:tcW w:w="2583" w:type="dxa"/>
            <w:vAlign w:val="center"/>
          </w:tcPr>
          <w:p>
            <w:pPr>
              <w:widowControl/>
              <w:jc w:val="right"/>
              <w:textAlignment w:val="center"/>
            </w:pPr>
          </w:p>
        </w:tc>
        <w:tc>
          <w:tcPr>
            <w:tcW w:w="2583" w:type="dxa"/>
            <w:vAlign w:val="center"/>
          </w:tcPr>
          <w:p>
            <w:pPr>
              <w:widowControl/>
              <w:jc w:val="righ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 xml:space="preserve">               12.7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11.2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41.2</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8.1</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0.55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0.55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0.5</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ascii="仿宋" w:hAnsi="仿宋" w:eastAsia="仿宋" w:cs="宋体"/>
                <w:b/>
                <w:color w:val="FF0000"/>
                <w:kern w:val="0"/>
                <w:sz w:val="20"/>
                <w:szCs w:val="20"/>
              </w:rPr>
              <w:t>xx</w:t>
            </w:r>
            <w:r>
              <w:rPr>
                <w:rFonts w:hint="eastAsia" w:ascii="仿宋" w:hAnsi="仿宋" w:eastAsia="仿宋" w:cs="宋体"/>
                <w:b/>
                <w:color w:val="FF0000"/>
                <w:kern w:val="0"/>
                <w:sz w:val="20"/>
                <w:szCs w:val="20"/>
              </w:rPr>
              <w:t>厅（局）没有政府性基金收入，也没有使用政府性基金安排的支出，故本表无数据。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center"/>
        <w:outlineLvl w:val="0"/>
        <w:rPr>
          <w:rFonts w:ascii="仿宋" w:hAnsi="仿宋" w:eastAsia="仿宋" w:cs="隶书"/>
          <w:b/>
          <w:sz w:val="48"/>
          <w:szCs w:val="48"/>
        </w:rPr>
      </w:pPr>
      <w:r>
        <w:rPr>
          <w:rFonts w:hint="eastAsia" w:ascii="仿宋" w:hAnsi="仿宋" w:eastAsia="仿宋" w:cs="隶书"/>
          <w:b/>
          <w:sz w:val="48"/>
          <w:szCs w:val="48"/>
        </w:rPr>
        <w:t>第三部分</w:t>
      </w:r>
    </w:p>
    <w:p>
      <w:pPr>
        <w:jc w:val="center"/>
        <w:rPr>
          <w:rFonts w:ascii="仿宋" w:hAnsi="仿宋" w:eastAsia="仿宋" w:cs="隶书"/>
          <w:sz w:val="48"/>
          <w:szCs w:val="48"/>
        </w:rPr>
      </w:pPr>
      <w:r>
        <w:rPr>
          <w:rFonts w:hint="eastAsia" w:ascii="仿宋" w:hAnsi="仿宋" w:eastAsia="仿宋" w:cs="隶书"/>
          <w:b/>
          <w:sz w:val="48"/>
          <w:szCs w:val="48"/>
        </w:rPr>
        <w:t>浉河区妇联</w:t>
      </w:r>
      <w:r>
        <w:rPr>
          <w:rFonts w:ascii="仿宋" w:hAnsi="仿宋" w:eastAsia="仿宋" w:cs="隶书"/>
          <w:b/>
          <w:sz w:val="48"/>
          <w:szCs w:val="48"/>
        </w:rPr>
        <w:t>201</w:t>
      </w:r>
      <w:r>
        <w:rPr>
          <w:rFonts w:hint="eastAsia" w:ascii="仿宋" w:hAnsi="仿宋" w:eastAsia="仿宋" w:cs="隶书"/>
          <w:b/>
          <w:sz w:val="48"/>
          <w:szCs w:val="48"/>
        </w:rPr>
        <w:t>8年度部门预算情况说</w:t>
      </w:r>
      <w:r>
        <w:rPr>
          <w:rFonts w:hint="eastAsia" w:ascii="仿宋" w:hAnsi="仿宋" w:eastAsia="仿宋" w:cs="隶书"/>
          <w:sz w:val="48"/>
          <w:szCs w:val="48"/>
        </w:rPr>
        <w:t xml:space="preserve"> </w:t>
      </w:r>
    </w:p>
    <w:p>
      <w:pPr>
        <w:jc w:val="cente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62.3</w:t>
      </w:r>
      <w:r>
        <w:rPr>
          <w:rFonts w:hint="eastAsia" w:ascii="仿宋" w:hAnsi="仿宋" w:eastAsia="仿宋" w:cs="宋体"/>
          <w:sz w:val="32"/>
          <w:szCs w:val="32"/>
        </w:rPr>
        <w:t>万元，支出总计</w:t>
      </w:r>
      <w:r>
        <w:rPr>
          <w:rFonts w:hint="eastAsia" w:ascii="仿宋" w:hAnsi="仿宋" w:eastAsia="仿宋" w:cs="Courier New"/>
          <w:sz w:val="32"/>
          <w:szCs w:val="32"/>
        </w:rPr>
        <w:t>62.3</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w:t>
      </w:r>
      <w:r>
        <w:rPr>
          <w:rFonts w:hint="eastAsia" w:ascii="仿宋" w:hAnsi="仿宋" w:eastAsia="仿宋" w:cs="Courier New"/>
          <w:sz w:val="32"/>
          <w:szCs w:val="32"/>
        </w:rPr>
        <w:t>增加2.69</w:t>
      </w:r>
      <w:r>
        <w:rPr>
          <w:rFonts w:hint="eastAsia" w:ascii="仿宋" w:hAnsi="仿宋" w:eastAsia="仿宋" w:cs="宋体"/>
          <w:sz w:val="32"/>
          <w:szCs w:val="32"/>
        </w:rPr>
        <w:t>万元，</w:t>
      </w:r>
      <w:r>
        <w:rPr>
          <w:rFonts w:hint="eastAsia" w:ascii="仿宋" w:hAnsi="仿宋" w:eastAsia="仿宋" w:cs="Courier New"/>
          <w:sz w:val="32"/>
          <w:szCs w:val="32"/>
        </w:rPr>
        <w:t>支出增加2.69</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增浮4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62.3</w:t>
      </w:r>
      <w:r>
        <w:rPr>
          <w:rFonts w:hint="eastAsia" w:ascii="仿宋" w:hAnsi="仿宋" w:eastAsia="仿宋" w:cs="宋体"/>
          <w:sz w:val="32"/>
          <w:szCs w:val="32"/>
        </w:rPr>
        <w:t>万元，其中：财政拨款收入</w:t>
      </w:r>
      <w:r>
        <w:rPr>
          <w:rFonts w:hint="eastAsia" w:ascii="仿宋" w:hAnsi="仿宋" w:eastAsia="仿宋" w:cs="Courier New"/>
          <w:sz w:val="32"/>
          <w:szCs w:val="32"/>
        </w:rPr>
        <w:t>62.3</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62.3</w:t>
      </w:r>
      <w:r>
        <w:rPr>
          <w:rFonts w:hint="eastAsia" w:ascii="仿宋" w:hAnsi="仿宋" w:eastAsia="仿宋" w:cs="宋体"/>
          <w:sz w:val="32"/>
          <w:szCs w:val="32"/>
        </w:rPr>
        <w:t>万元，其中：基本支出49.3万元，占</w:t>
      </w:r>
      <w:r>
        <w:rPr>
          <w:rFonts w:hint="eastAsia" w:ascii="仿宋" w:hAnsi="仿宋" w:eastAsia="仿宋" w:cs="Courier New"/>
          <w:sz w:val="32"/>
          <w:szCs w:val="32"/>
        </w:rPr>
        <w:t>79</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13</w:t>
      </w:r>
      <w:r>
        <w:rPr>
          <w:rFonts w:hint="eastAsia" w:ascii="仿宋" w:hAnsi="仿宋" w:eastAsia="仿宋" w:cs="宋体"/>
          <w:sz w:val="32"/>
          <w:szCs w:val="32"/>
        </w:rPr>
        <w:t>万元，占</w:t>
      </w:r>
      <w:r>
        <w:rPr>
          <w:rFonts w:hint="eastAsia" w:ascii="仿宋" w:hAnsi="仿宋" w:eastAsia="仿宋" w:cs="Courier New"/>
          <w:sz w:val="32"/>
          <w:szCs w:val="32"/>
        </w:rPr>
        <w:t>21</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62.3</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增加2.69</w:t>
      </w:r>
      <w:r>
        <w:rPr>
          <w:rFonts w:hint="eastAsia" w:ascii="仿宋" w:hAnsi="仿宋" w:eastAsia="仿宋" w:cs="宋体"/>
          <w:sz w:val="32"/>
          <w:szCs w:val="32"/>
        </w:rPr>
        <w:t>万元，</w:t>
      </w:r>
      <w:r>
        <w:rPr>
          <w:rFonts w:hint="eastAsia" w:ascii="仿宋" w:hAnsi="仿宋" w:eastAsia="仿宋" w:cs="Courier New"/>
          <w:sz w:val="32"/>
          <w:szCs w:val="32"/>
        </w:rPr>
        <w:t>上浮4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color w:val="000000"/>
          <w:kern w:val="0"/>
          <w:sz w:val="32"/>
          <w:szCs w:val="32"/>
        </w:rPr>
        <w:t>工资妇联等支出预</w:t>
      </w:r>
      <w:r>
        <w:rPr>
          <w:rFonts w:hint="eastAsia" w:ascii="仿宋" w:hAnsi="仿宋" w:eastAsia="仿宋"/>
          <w:sz w:val="32"/>
          <w:szCs w:val="32"/>
        </w:rPr>
        <w:t>算情况说明</w:t>
      </w:r>
    </w:p>
    <w:p>
      <w:pPr>
        <w:numPr>
          <w:ilvl w:val="0"/>
          <w:numId w:val="2"/>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宋体"/>
          <w:bCs/>
          <w:color w:val="000000"/>
          <w:kern w:val="0"/>
          <w:sz w:val="32"/>
          <w:szCs w:val="32"/>
        </w:rPr>
        <w:t>人员经费及公用经费等支出</w:t>
      </w:r>
      <w:r>
        <w:rPr>
          <w:rFonts w:hint="eastAsia" w:ascii="仿宋" w:hAnsi="仿宋" w:eastAsia="仿宋" w:cs="Courier New"/>
          <w:bCs/>
          <w:sz w:val="32"/>
          <w:szCs w:val="32"/>
        </w:rPr>
        <w:t>49.3</w:t>
      </w:r>
      <w:r>
        <w:rPr>
          <w:rFonts w:hint="eastAsia" w:ascii="仿宋" w:hAnsi="仿宋" w:eastAsia="仿宋" w:cs="宋体"/>
          <w:bCs/>
          <w:sz w:val="32"/>
          <w:szCs w:val="32"/>
        </w:rPr>
        <w:t>万元，占支出合计的</w:t>
      </w:r>
      <w:r>
        <w:rPr>
          <w:rFonts w:hint="eastAsia" w:ascii="仿宋" w:hAnsi="仿宋" w:eastAsia="仿宋" w:cs="Courier New"/>
          <w:bCs/>
          <w:sz w:val="32"/>
          <w:szCs w:val="32"/>
        </w:rPr>
        <w:t>79</w:t>
      </w:r>
      <w:r>
        <w:rPr>
          <w:rFonts w:ascii="仿宋" w:hAnsi="仿宋" w:eastAsia="仿宋" w:cs="Courier New"/>
          <w:bCs/>
          <w:sz w:val="32"/>
          <w:szCs w:val="32"/>
        </w:rPr>
        <w:t>%</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工资福利等支出</w:t>
      </w:r>
      <w:r>
        <w:rPr>
          <w:rFonts w:hint="eastAsia" w:ascii="仿宋" w:hAnsi="仿宋" w:eastAsia="仿宋" w:cs="Courier New"/>
          <w:sz w:val="32"/>
          <w:szCs w:val="32"/>
        </w:rPr>
        <w:t>增加2.69</w:t>
      </w:r>
      <w:r>
        <w:rPr>
          <w:rFonts w:hint="eastAsia" w:ascii="仿宋" w:hAnsi="仿宋" w:eastAsia="仿宋" w:cs="宋体"/>
          <w:sz w:val="32"/>
          <w:szCs w:val="32"/>
        </w:rPr>
        <w:t>万元，</w:t>
      </w:r>
      <w:r>
        <w:rPr>
          <w:rFonts w:hint="eastAsia" w:ascii="仿宋" w:hAnsi="仿宋" w:eastAsia="仿宋" w:cs="Courier New"/>
          <w:sz w:val="32"/>
          <w:szCs w:val="32"/>
        </w:rPr>
        <w:t>上浮10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因为人员工资增加。项目支出13万元，占支出合计的21%，与2017年相同。</w:t>
      </w:r>
    </w:p>
    <w:p>
      <w:pPr>
        <w:numPr>
          <w:ilvl w:val="0"/>
          <w:numId w:val="2"/>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工资福利等支出41.2</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人员经费41.2万元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8.1</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0.5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0.5</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按逐年递减比去年减少9%</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年单位严格执行公务接待费制度，公务接待费支出减少的主要原因是：现在公务接待的标准是同城不吃饭，禁止使用高档烟酒，禁止出入高档酒店进行招待，大大减少了公务接待费用。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，公车保有量为</w:t>
      </w:r>
      <w:r>
        <w:rPr>
          <w:rFonts w:hint="eastAsia" w:ascii="仿宋" w:hAnsi="仿宋" w:eastAsia="仿宋" w:cs="宋体"/>
          <w:sz w:val="32"/>
          <w:szCs w:val="32"/>
          <w:lang w:val="en-US" w:eastAsia="zh-CN"/>
        </w:rPr>
        <w:t>0</w:t>
      </w:r>
      <w:bookmarkStart w:id="0" w:name="_GoBack"/>
      <w:bookmarkEnd w:id="0"/>
      <w:r>
        <w:rPr>
          <w:rFonts w:hint="eastAsia" w:ascii="仿宋" w:hAnsi="仿宋" w:eastAsia="仿宋" w:cs="宋体"/>
          <w:sz w:val="32"/>
          <w:szCs w:val="32"/>
        </w:rPr>
        <w:t xml:space="preserve">。 </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0.5</w:t>
      </w:r>
      <w:r>
        <w:rPr>
          <w:rFonts w:hint="eastAsia" w:ascii="仿宋" w:hAnsi="仿宋" w:eastAsia="仿宋" w:cs="宋体"/>
          <w:sz w:val="32"/>
          <w:szCs w:val="32"/>
        </w:rPr>
        <w:t>万元。其中：主要用于区</w:t>
      </w:r>
      <w:r>
        <w:rPr>
          <w:rFonts w:hint="eastAsia" w:ascii="仿宋" w:hAnsi="仿宋" w:eastAsia="仿宋" w:cs="Courier New"/>
          <w:sz w:val="32"/>
          <w:szCs w:val="32"/>
        </w:rPr>
        <w:t>妇联</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8.1</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w:t>
      </w:r>
      <w:r>
        <w:rPr>
          <w:rFonts w:hint="eastAsia" w:ascii="仿宋" w:hAnsi="仿宋" w:eastAsia="仿宋" w:cs="Courier New"/>
          <w:sz w:val="32"/>
          <w:szCs w:val="32"/>
        </w:rPr>
        <w:t>相同（其中包含车补3.1万元）。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 xml:space="preserve">万元。 </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浉河区妇联2018年没有开展项目预算绩效评价。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w:t>
      </w:r>
      <w:r>
        <w:rPr>
          <w:rFonts w:hint="eastAsia" w:ascii="仿宋" w:hAnsi="仿宋" w:eastAsia="仿宋" w:cs="Courier New"/>
          <w:sz w:val="32"/>
          <w:szCs w:val="32"/>
        </w:rPr>
        <w:t>妇联</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hint="eastAsia"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numPr>
          <w:ilvl w:val="0"/>
          <w:numId w:val="6"/>
        </w:numPr>
        <w:ind w:firstLine="1440" w:firstLineChars="300"/>
        <w:outlineLvl w:val="0"/>
        <w:rPr>
          <w:rFonts w:ascii="仿宋" w:hAnsi="仿宋" w:eastAsia="仿宋" w:cs="隶书"/>
          <w:sz w:val="48"/>
          <w:szCs w:val="48"/>
        </w:rPr>
      </w:pPr>
      <w:r>
        <w:rPr>
          <w:rFonts w:hint="eastAsia" w:ascii="仿宋" w:hAnsi="仿宋" w:eastAsia="仿宋" w:cs="隶书"/>
          <w:sz w:val="48"/>
          <w:szCs w:val="48"/>
        </w:rPr>
        <w:t>　名词解释</w:t>
      </w:r>
    </w:p>
    <w:p>
      <w:pPr>
        <w:numPr>
          <w:ilvl w:val="0"/>
          <w:numId w:val="6"/>
        </w:numPr>
        <w:ind w:firstLine="964" w:firstLineChars="300"/>
        <w:outlineLvl w:val="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办公用房水电费、办公用房物业管理费、其他交通费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10A7"/>
    <w:multiLevelType w:val="singleLevel"/>
    <w:tmpl w:val="25B810A7"/>
    <w:lvl w:ilvl="0" w:tentative="0">
      <w:start w:val="4"/>
      <w:numFmt w:val="chineseCounting"/>
      <w:suff w:val="nothing"/>
      <w:lvlText w:val="第%1部分　"/>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0C1F1D"/>
    <w:rsid w:val="000E2226"/>
    <w:rsid w:val="000F467C"/>
    <w:rsid w:val="00132E43"/>
    <w:rsid w:val="00170110"/>
    <w:rsid w:val="0017112E"/>
    <w:rsid w:val="00172A27"/>
    <w:rsid w:val="001943EE"/>
    <w:rsid w:val="001D35C2"/>
    <w:rsid w:val="001D3FB5"/>
    <w:rsid w:val="002A721A"/>
    <w:rsid w:val="00336FCB"/>
    <w:rsid w:val="00375251"/>
    <w:rsid w:val="00376170"/>
    <w:rsid w:val="00402C74"/>
    <w:rsid w:val="00417CC9"/>
    <w:rsid w:val="004C11C3"/>
    <w:rsid w:val="004D36BB"/>
    <w:rsid w:val="004F3C7C"/>
    <w:rsid w:val="0050293C"/>
    <w:rsid w:val="00503F16"/>
    <w:rsid w:val="005E126E"/>
    <w:rsid w:val="00630D31"/>
    <w:rsid w:val="006F223A"/>
    <w:rsid w:val="006F22F7"/>
    <w:rsid w:val="007115FD"/>
    <w:rsid w:val="00731FE8"/>
    <w:rsid w:val="00743248"/>
    <w:rsid w:val="00787823"/>
    <w:rsid w:val="007956F5"/>
    <w:rsid w:val="007B72EA"/>
    <w:rsid w:val="007F7F87"/>
    <w:rsid w:val="008C5CFC"/>
    <w:rsid w:val="00903B00"/>
    <w:rsid w:val="00907BF2"/>
    <w:rsid w:val="009B6CAD"/>
    <w:rsid w:val="00A77C36"/>
    <w:rsid w:val="00AB7377"/>
    <w:rsid w:val="00AE7787"/>
    <w:rsid w:val="00AF7B15"/>
    <w:rsid w:val="00B12B50"/>
    <w:rsid w:val="00B54309"/>
    <w:rsid w:val="00B74243"/>
    <w:rsid w:val="00B84FB0"/>
    <w:rsid w:val="00BA37FF"/>
    <w:rsid w:val="00BC30E8"/>
    <w:rsid w:val="00BC5210"/>
    <w:rsid w:val="00BE3152"/>
    <w:rsid w:val="00BE4CA5"/>
    <w:rsid w:val="00BE7224"/>
    <w:rsid w:val="00BF3D6F"/>
    <w:rsid w:val="00BF74B7"/>
    <w:rsid w:val="00C57D7B"/>
    <w:rsid w:val="00C6444A"/>
    <w:rsid w:val="00CA69AC"/>
    <w:rsid w:val="00CD4933"/>
    <w:rsid w:val="00D06581"/>
    <w:rsid w:val="00D9092F"/>
    <w:rsid w:val="00DB1C77"/>
    <w:rsid w:val="00DD5457"/>
    <w:rsid w:val="00E21B07"/>
    <w:rsid w:val="00E254E4"/>
    <w:rsid w:val="00E32E02"/>
    <w:rsid w:val="00E8190D"/>
    <w:rsid w:val="00E92067"/>
    <w:rsid w:val="00ED38A5"/>
    <w:rsid w:val="00ED44BB"/>
    <w:rsid w:val="00EE6AA4"/>
    <w:rsid w:val="00F92F65"/>
    <w:rsid w:val="00FB0B96"/>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14B5CBC"/>
    <w:rsid w:val="254B33D1"/>
    <w:rsid w:val="256D2254"/>
    <w:rsid w:val="26D13401"/>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4CF4D36"/>
    <w:rsid w:val="364D690A"/>
    <w:rsid w:val="36FA2471"/>
    <w:rsid w:val="372974AC"/>
    <w:rsid w:val="38262F47"/>
    <w:rsid w:val="39637962"/>
    <w:rsid w:val="39765334"/>
    <w:rsid w:val="39967F15"/>
    <w:rsid w:val="3AE7177F"/>
    <w:rsid w:val="3C5769C0"/>
    <w:rsid w:val="3D256C5E"/>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1A128AC"/>
    <w:rsid w:val="627A693C"/>
    <w:rsid w:val="62D27395"/>
    <w:rsid w:val="63FC5C35"/>
    <w:rsid w:val="641F1292"/>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E103EE"/>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E624D-518F-4067-9C23-5B2E35799E6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1351</Words>
  <Characters>7702</Characters>
  <Lines>64</Lines>
  <Paragraphs>18</Paragraphs>
  <TotalTime>1</TotalTime>
  <ScaleCrop>false</ScaleCrop>
  <LinksUpToDate>false</LinksUpToDate>
  <CharactersWithSpaces>9035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2019-02-13T06:39:55Z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