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黑体"/>
          <w:b/>
          <w:sz w:val="52"/>
          <w:szCs w:val="52"/>
        </w:rPr>
      </w:pPr>
      <w:r>
        <w:rPr>
          <w:rFonts w:hint="eastAsia" w:ascii="仿宋" w:hAnsi="仿宋" w:eastAsia="仿宋" w:cs="隶书"/>
          <w:b/>
          <w:sz w:val="52"/>
          <w:szCs w:val="52"/>
        </w:rPr>
        <w:t>浉河区政协</w:t>
      </w: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8年度部门预算公开情况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区政协概况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区政协2018年度部门预算表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区政协</w:t>
      </w:r>
      <w:r>
        <w:rPr>
          <w:rFonts w:ascii="仿宋" w:hAnsi="仿宋" w:eastAsia="仿宋" w:cs="黑体"/>
          <w:sz w:val="32"/>
          <w:szCs w:val="32"/>
        </w:rPr>
        <w:t>201</w:t>
      </w:r>
      <w:r>
        <w:rPr>
          <w:rFonts w:hint="eastAsia" w:ascii="仿宋" w:hAnsi="仿宋" w:eastAsia="仿宋" w:cs="黑体"/>
          <w:sz w:val="32"/>
          <w:szCs w:val="32"/>
        </w:rPr>
        <w:t>8年度部门预算情况说明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区政协概况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（一）主要职能</w:t>
      </w:r>
    </w:p>
    <w:p>
      <w:pPr>
        <w:spacing w:line="600" w:lineRule="exact"/>
        <w:ind w:right="-199" w:rightChars="-95"/>
        <w:rPr>
          <w:rFonts w:ascii="仿宋_GB2312" w:eastAsia="仿宋_GB2312"/>
          <w:sz w:val="32"/>
          <w:szCs w:val="32"/>
        </w:rPr>
      </w:pPr>
      <w:r>
        <w:rPr>
          <w:rFonts w:hint="eastAsia" w:ascii="仿宋_GB2312" w:eastAsia="仿宋_GB2312"/>
          <w:sz w:val="32"/>
          <w:szCs w:val="32"/>
        </w:rPr>
        <w:t xml:space="preserve">    浉河区政协机关内设7个职能科室：办公室、提案委、经科委、教卫体委、民法委、文史委、委员联络委，和 1个二级归口预算单位（区政协信访接待中心）。</w:t>
      </w:r>
      <w:bookmarkStart w:id="0" w:name="_GoBack"/>
      <w:bookmarkEnd w:id="0"/>
      <w:r>
        <w:rPr>
          <w:rFonts w:hint="eastAsia" w:ascii="仿宋_GB2312" w:eastAsia="仿宋_GB2312"/>
          <w:sz w:val="32"/>
          <w:szCs w:val="32"/>
        </w:rPr>
        <w:t>主要职责是：牢牢把握团结和民主两大主题，紧紧围绕区委、区政府工作中心，认真履行“政治协商、民主监督、参政议政”三大职能，组织政协委员积极开展调研视察活动，积极为我区政治、经济和各项社会事业的发展出谋划策。</w:t>
      </w:r>
    </w:p>
    <w:p>
      <w:pPr>
        <w:spacing w:line="600" w:lineRule="exact"/>
        <w:ind w:firstLine="643"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（二）人员构成情况</w:t>
      </w:r>
    </w:p>
    <w:p>
      <w:pPr>
        <w:spacing w:line="600" w:lineRule="exact"/>
        <w:ind w:firstLine="640"/>
        <w:rPr>
          <w:rFonts w:ascii="仿宋_GB2312" w:eastAsia="仿宋_GB2312"/>
          <w:sz w:val="32"/>
          <w:szCs w:val="32"/>
        </w:rPr>
      </w:pPr>
      <w:r>
        <w:rPr>
          <w:rFonts w:hint="eastAsia" w:ascii="仿宋_GB2312" w:eastAsia="仿宋_GB2312"/>
          <w:sz w:val="32"/>
          <w:szCs w:val="32"/>
        </w:rPr>
        <w:t>浉河区政协及归口预算管理单位共有编制54人，其中：行政编制25人，事业编制 4人；在职人员29人，离退休人员25人。</w:t>
      </w: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部门预算单位构成</w:t>
      </w:r>
    </w:p>
    <w:p>
      <w:pPr>
        <w:spacing w:line="360" w:lineRule="auto"/>
        <w:ind w:firstLine="640" w:firstLineChars="200"/>
        <w:jc w:val="left"/>
        <w:outlineLvl w:val="1"/>
        <w:rPr>
          <w:rFonts w:ascii="仿宋_GB2312" w:eastAsia="仿宋_GB2312"/>
          <w:sz w:val="32"/>
          <w:szCs w:val="32"/>
        </w:rPr>
      </w:pPr>
      <w:r>
        <w:rPr>
          <w:rFonts w:hint="eastAsia" w:ascii="仿宋_GB2312" w:eastAsia="仿宋_GB2312"/>
          <w:sz w:val="32"/>
          <w:szCs w:val="32"/>
        </w:rPr>
        <w:t>纳入区政协2018年度部门预算编制范围的单位包括：</w:t>
      </w:r>
    </w:p>
    <w:p>
      <w:pPr>
        <w:spacing w:line="600" w:lineRule="exact"/>
        <w:ind w:firstLine="640"/>
        <w:rPr>
          <w:rFonts w:ascii="仿宋_GB2312" w:eastAsia="仿宋_GB2312"/>
          <w:sz w:val="32"/>
          <w:szCs w:val="32"/>
        </w:rPr>
      </w:pPr>
      <w:r>
        <w:rPr>
          <w:rFonts w:hint="eastAsia" w:ascii="仿宋_GB2312" w:eastAsia="仿宋_GB2312"/>
          <w:sz w:val="32"/>
          <w:szCs w:val="32"/>
        </w:rPr>
        <w:t>1、浉河区政协</w:t>
      </w:r>
    </w:p>
    <w:p>
      <w:pPr>
        <w:spacing w:line="600" w:lineRule="exact"/>
        <w:ind w:firstLine="640"/>
        <w:rPr>
          <w:rFonts w:ascii="仿宋_GB2312" w:eastAsia="仿宋_GB2312"/>
          <w:sz w:val="32"/>
          <w:szCs w:val="32"/>
        </w:rPr>
      </w:pPr>
      <w:r>
        <w:rPr>
          <w:rFonts w:hint="eastAsia" w:ascii="仿宋_GB2312" w:eastAsia="仿宋_GB2312"/>
          <w:sz w:val="32"/>
          <w:szCs w:val="32"/>
        </w:rPr>
        <w:t>2、浉河区政协信访接待中心</w:t>
      </w:r>
    </w:p>
    <w:p>
      <w:pPr>
        <w:spacing w:line="600" w:lineRule="exact"/>
        <w:ind w:firstLine="640"/>
        <w:rPr>
          <w:rFonts w:ascii="仿宋_GB2312" w:eastAsia="仿宋_GB2312"/>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浉河区政协</w:t>
      </w:r>
      <w:r>
        <w:rPr>
          <w:rFonts w:ascii="仿宋" w:hAnsi="仿宋" w:eastAsia="仿宋" w:cs="隶书"/>
          <w:b/>
          <w:sz w:val="48"/>
          <w:szCs w:val="48"/>
        </w:rPr>
        <w:t>201</w:t>
      </w:r>
      <w:r>
        <w:rPr>
          <w:rFonts w:hint="eastAsia" w:ascii="仿宋" w:hAnsi="仿宋" w:eastAsia="仿宋" w:cs="隶书"/>
          <w:b/>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502.1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502.1</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502.1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502.1</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502.1</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502.1</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b/>
                <w:color w:val="000000"/>
                <w:sz w:val="16"/>
                <w:szCs w:val="16"/>
              </w:rPr>
            </w:pPr>
            <w:r>
              <w:rPr>
                <w:rFonts w:hint="eastAsia" w:ascii="仿宋" w:hAnsi="仿宋" w:eastAsia="仿宋"/>
              </w:rPr>
              <w:t>502.1</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502.1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2010201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Cs/>
                <w:color w:val="000000"/>
                <w:sz w:val="16"/>
                <w:szCs w:val="16"/>
              </w:rPr>
            </w:pPr>
            <w:r>
              <w:rPr>
                <w:rFonts w:hint="eastAsia" w:ascii="仿宋" w:hAnsi="仿宋" w:eastAsia="仿宋" w:cs="宋体"/>
                <w:bCs/>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232.3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232.3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2010203</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机关服务</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77.7</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77.7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4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2010204</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政协会议</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67</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67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2010205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委员视察</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2010299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其他政协事务支出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35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养老保险缴费支出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31.2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31.2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2080506</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职业年金缴费支出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4.1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4.1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2080801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死亡抚恤</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kern w:val="0"/>
                <w:sz w:val="16"/>
                <w:szCs w:val="16"/>
              </w:rPr>
            </w:pPr>
            <w:r>
              <w:rPr>
                <w:rFonts w:hint="eastAsia" w:ascii="仿宋" w:hAnsi="仿宋" w:eastAsia="仿宋"/>
              </w:rPr>
              <w:t>1.6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2089901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其他社会保障支出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kern w:val="0"/>
                <w:sz w:val="16"/>
                <w:szCs w:val="16"/>
              </w:rPr>
            </w:pPr>
            <w:r>
              <w:rPr>
                <w:rFonts w:hint="eastAsia" w:ascii="仿宋" w:hAnsi="仿宋" w:eastAsia="仿宋"/>
              </w:rPr>
              <w:t>1.4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2101101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行政单位医疗</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kern w:val="0"/>
                <w:sz w:val="16"/>
                <w:szCs w:val="16"/>
              </w:rPr>
            </w:pPr>
            <w:r>
              <w:rPr>
                <w:rFonts w:hint="eastAsia" w:ascii="仿宋" w:hAnsi="仿宋" w:eastAsia="仿宋"/>
              </w:rPr>
              <w:t>13.9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13.9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20.9</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rPr>
            </w:pPr>
            <w:r>
              <w:rPr>
                <w:rFonts w:hint="eastAsia" w:ascii="仿宋" w:hAnsi="仿宋" w:eastAsia="仿宋"/>
              </w:rPr>
              <w:t>20.9</w:t>
            </w: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502.1</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502.1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Cs/>
                <w:color w:val="000000"/>
                <w:sz w:val="16"/>
                <w:szCs w:val="16"/>
              </w:rPr>
              <w:t>2010201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Cs/>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232.3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232.3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2010203</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机关服务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77.7</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77.7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2010204</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政协会议</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67</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67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2010205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委员视察</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cs="宋体"/>
                <w:color w:val="000000"/>
                <w:sz w:val="16"/>
                <w:szCs w:val="16"/>
              </w:rPr>
            </w:pPr>
            <w:r>
              <w:rPr>
                <w:rFonts w:hint="eastAsia" w:ascii="仿宋" w:hAnsi="仿宋" w:eastAsia="仿宋"/>
              </w:rPr>
              <w:t>0</w:t>
            </w: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2010299</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其他政协事务支出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35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35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cs="宋体"/>
                <w:color w:val="000000"/>
                <w:sz w:val="16"/>
                <w:szCs w:val="16"/>
              </w:rPr>
            </w:pPr>
            <w:r>
              <w:rPr>
                <w:rFonts w:hint="eastAsia"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养老保险缴费支出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31.2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31.2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cs="宋体"/>
                <w:color w:val="000000"/>
                <w:sz w:val="16"/>
                <w:szCs w:val="16"/>
              </w:rPr>
            </w:pPr>
            <w:r>
              <w:rPr>
                <w:rFonts w:hint="eastAsia"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2080506</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职业年金缴费支出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4.1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4.1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cs="宋体"/>
                <w:color w:val="000000"/>
                <w:sz w:val="16"/>
                <w:szCs w:val="16"/>
              </w:rPr>
            </w:pPr>
            <w:r>
              <w:rPr>
                <w:rFonts w:hint="eastAsia"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2080801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死亡抚恤</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cs="宋体"/>
                <w:color w:val="000000"/>
                <w:sz w:val="16"/>
                <w:szCs w:val="16"/>
              </w:rPr>
            </w:pPr>
            <w:r>
              <w:rPr>
                <w:rFonts w:hint="eastAsia"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2089901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其他社会保障支出</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cs="宋体"/>
                <w:color w:val="000000"/>
                <w:sz w:val="16"/>
                <w:szCs w:val="16"/>
              </w:rPr>
            </w:pPr>
            <w:r>
              <w:rPr>
                <w:rFonts w:hint="eastAsia"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13.9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13.9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cs="宋体"/>
                <w:color w:val="000000"/>
                <w:sz w:val="16"/>
                <w:szCs w:val="16"/>
              </w:rPr>
            </w:pPr>
            <w:r>
              <w:rPr>
                <w:rFonts w:hint="eastAsia" w:ascii="仿宋" w:hAnsi="仿宋" w:eastAsia="仿宋"/>
              </w:rPr>
              <w:t>0</w:t>
            </w: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20.9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20.9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sz w:val="16"/>
                <w:szCs w:val="16"/>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cs="宋体"/>
                <w:color w:val="000000"/>
                <w:sz w:val="16"/>
                <w:szCs w:val="16"/>
              </w:rPr>
            </w:pPr>
            <w:r>
              <w:rPr>
                <w:rFonts w:hint="eastAsia" w:ascii="仿宋" w:hAnsi="仿宋" w:eastAsia="仿宋"/>
              </w:rPr>
              <w:t>0</w:t>
            </w: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502.1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bCs/>
                <w:color w:val="000000"/>
                <w:sz w:val="16"/>
                <w:szCs w:val="16"/>
              </w:rPr>
            </w:pPr>
            <w:r>
              <w:rPr>
                <w:rFonts w:hint="eastAsia" w:ascii="仿宋" w:hAnsi="仿宋" w:eastAsia="仿宋" w:cs="宋体"/>
                <w:b/>
                <w:bCs/>
                <w:color w:val="000000"/>
                <w:sz w:val="16"/>
                <w:szCs w:val="16"/>
              </w:rPr>
              <w:t>502.1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bCs/>
                <w:color w:val="000000"/>
                <w:sz w:val="16"/>
                <w:szCs w:val="16"/>
              </w:rPr>
            </w:pPr>
            <w:r>
              <w:rPr>
                <w:rFonts w:hint="eastAsia" w:ascii="仿宋" w:hAnsi="仿宋" w:eastAsia="仿宋" w:cs="宋体"/>
                <w:b/>
                <w:bCs/>
                <w:color w:val="000000"/>
                <w:sz w:val="16"/>
                <w:szCs w:val="16"/>
              </w:rPr>
              <w:t>502.1</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仿宋" w:hAnsi="仿宋" w:eastAsia="仿宋" w:cs="宋体"/>
                <w:color w:val="000000"/>
                <w:sz w:val="16"/>
                <w:szCs w:val="16"/>
              </w:rPr>
              <w:t>502.1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sz w:val="16"/>
                <w:szCs w:val="16"/>
              </w:rPr>
              <w:t>502.1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sz w:val="16"/>
                <w:szCs w:val="16"/>
              </w:rPr>
              <w:t>502.1</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sz w:val="16"/>
                <w:szCs w:val="16"/>
              </w:rPr>
              <w:t>502.1</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color w:val="000000"/>
                <w:sz w:val="16"/>
                <w:szCs w:val="16"/>
              </w:rPr>
              <w:t>502.1</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color w:val="000000"/>
                <w:sz w:val="16"/>
                <w:szCs w:val="16"/>
              </w:rPr>
              <w:t>502.1</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kern w:val="0"/>
                <w:sz w:val="28"/>
                <w:szCs w:val="28"/>
              </w:rPr>
              <w:t>一般公共预算支出预算表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rPr>
              <w:t>502.1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rPr>
              <w:t>502.1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Cs/>
                <w:color w:val="000000"/>
                <w:sz w:val="16"/>
                <w:szCs w:val="16"/>
              </w:rPr>
              <w:t>2010201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Cs/>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232.3</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232.3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2010203</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机关服务</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77.7</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77.7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2010204</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政协会议</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67</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67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2010205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委员视察</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17</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2010299</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其他政协事务支出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35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35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养老保险缴费支出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31.2</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31.2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2080506</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职业年金缴费支出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4.1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4.1</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2080801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死亡抚恤</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1.6</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1.6</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2089901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其他社会保障支出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1.4</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1.4</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2101101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行政单位医疗</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13.9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13.9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20.9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16"/>
                <w:szCs w:val="16"/>
              </w:rPr>
            </w:pPr>
            <w:r>
              <w:rPr>
                <w:rFonts w:hint="eastAsia" w:ascii="仿宋" w:hAnsi="仿宋" w:eastAsia="仿宋"/>
              </w:rPr>
              <w:t>20.9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1835"/>
        <w:gridCol w:w="1794"/>
        <w:gridCol w:w="1620"/>
        <w:gridCol w:w="754"/>
        <w:gridCol w:w="1794"/>
        <w:gridCol w:w="2568"/>
      </w:tblGrid>
      <w:tr>
        <w:tblPrEx>
          <w:tblLayout w:type="fixed"/>
          <w:tblCellMar>
            <w:top w:w="15" w:type="dxa"/>
            <w:left w:w="15" w:type="dxa"/>
            <w:bottom w:w="15" w:type="dxa"/>
            <w:right w:w="15" w:type="dxa"/>
          </w:tblCellMar>
        </w:tblPrEx>
        <w:trPr>
          <w:trHeight w:val="375" w:hRule="atLeast"/>
        </w:trPr>
        <w:tc>
          <w:tcPr>
            <w:tcW w:w="10365" w:type="dxa"/>
            <w:gridSpan w:val="6"/>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2568"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2568"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bl>
    <w:tbl>
      <w:tblPr>
        <w:tblStyle w:val="6"/>
        <w:tblpPr w:leftFromText="180" w:rightFromText="180" w:vertAnchor="text" w:horzAnchor="page" w:tblpX="885" w:tblpY="581"/>
        <w:tblOverlap w:val="never"/>
        <w:tblW w:w="10317" w:type="dxa"/>
        <w:tblInd w:w="0" w:type="dxa"/>
        <w:tblLayout w:type="fixed"/>
        <w:tblCellMar>
          <w:top w:w="15" w:type="dxa"/>
          <w:left w:w="15" w:type="dxa"/>
          <w:bottom w:w="15" w:type="dxa"/>
          <w:right w:w="15" w:type="dxa"/>
        </w:tblCellMar>
      </w:tblPr>
      <w:tblGrid>
        <w:gridCol w:w="566"/>
        <w:gridCol w:w="541"/>
        <w:gridCol w:w="1876"/>
        <w:gridCol w:w="1515"/>
        <w:gridCol w:w="969"/>
        <w:gridCol w:w="675"/>
        <w:gridCol w:w="2100"/>
        <w:gridCol w:w="2075"/>
      </w:tblGrid>
      <w:tr>
        <w:tblPrEx>
          <w:tblLayout w:type="fixed"/>
          <w:tblCellMar>
            <w:top w:w="15" w:type="dxa"/>
            <w:left w:w="15" w:type="dxa"/>
            <w:bottom w:w="15" w:type="dxa"/>
            <w:right w:w="15" w:type="dxa"/>
          </w:tblCellMar>
        </w:tblPrEx>
        <w:trPr>
          <w:trHeight w:val="450" w:hRule="atLeast"/>
        </w:trPr>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61" w:firstLineChars="100"/>
              <w:rPr>
                <w:rFonts w:ascii="仿宋" w:hAnsi="仿宋" w:eastAsia="仿宋" w:cs="宋体"/>
                <w:b/>
                <w:color w:val="000000"/>
                <w:sz w:val="16"/>
                <w:szCs w:val="16"/>
              </w:rPr>
            </w:pPr>
            <w:r>
              <w:rPr>
                <w:rFonts w:hint="eastAsia" w:ascii="仿宋" w:hAnsi="仿宋" w:eastAsia="仿宋" w:cs="宋体"/>
                <w:b/>
                <w:color w:val="000000"/>
                <w:sz w:val="16"/>
                <w:szCs w:val="16"/>
              </w:rPr>
              <w:t>经济分类</w:t>
            </w: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经济分类</w:t>
            </w:r>
          </w:p>
        </w:tc>
        <w:tc>
          <w:tcPr>
            <w:tcW w:w="4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公用经费</w:t>
            </w: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类</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款</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科目名称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金额</w:t>
            </w:r>
          </w:p>
        </w:tc>
        <w:tc>
          <w:tcPr>
            <w:tcW w:w="969" w:type="dxa"/>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类</w:t>
            </w:r>
          </w:p>
        </w:tc>
        <w:tc>
          <w:tcPr>
            <w:tcW w:w="675" w:type="dxa"/>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科目名称</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金额</w:t>
            </w: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283.5 </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合计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218.6 </w:t>
            </w: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工资福利支出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281.9 </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商品和服务支出</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基本工资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174.3 </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办公费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35.1 </w:t>
            </w:r>
          </w:p>
        </w:tc>
      </w:tr>
      <w:tr>
        <w:tblPrEx>
          <w:tblLayout w:type="fixed"/>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津贴补贴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18.0 </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印刷费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22.2 </w:t>
            </w: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奖金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16.0 </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咨询费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伙食补助费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手续费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绩效工资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2.1 </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水费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基本养老保险缴费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31.2 </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电费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5.5 </w:t>
            </w: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职业年金缴费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4.1 </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邮电费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基本医疗保险缴费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13.9 </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取暖费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公务员医疗补助缴费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物业管理费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其它社保缴费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1.4 </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差旅费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30.0 </w:t>
            </w: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住房公积金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20.9 </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因公出国（境）费用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医疗费</w:t>
            </w:r>
          </w:p>
        </w:tc>
        <w:tc>
          <w:tcPr>
            <w:tcW w:w="1515" w:type="dxa"/>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维修（护）费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99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其他工资福利支出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租赁费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PrEx>
        <w:trPr>
          <w:trHeight w:val="450" w:hRule="atLeast"/>
        </w:trPr>
        <w:tc>
          <w:tcPr>
            <w:tcW w:w="566"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会议费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67.0 </w:t>
            </w: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对个人和家庭的补助</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1.6 </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培训费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离休费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公务招待费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20.0 </w:t>
            </w: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退休费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专用材料费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退职（役）费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被装购置费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抚恤金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1.6 </w:t>
            </w:r>
          </w:p>
        </w:tc>
        <w:tc>
          <w:tcPr>
            <w:tcW w:w="969" w:type="dxa"/>
            <w:tcBorders>
              <w:top w:val="single" w:color="000000" w:sz="4" w:space="0"/>
              <w:left w:val="single" w:color="000000" w:sz="4" w:space="0"/>
              <w:bottom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专用燃料费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生活补助</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26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劳务费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救济费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27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委托业务费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医疗费补助</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28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工会经费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10.7 </w:t>
            </w: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助学金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29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福利费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奖励金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公务用车运行维护费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个人农业生产补贴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其他交通费用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21.9 </w:t>
            </w:r>
          </w:p>
        </w:tc>
      </w:tr>
      <w:tr>
        <w:tblPrEx>
          <w:tblLayout w:type="fixed"/>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99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其他补助支出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40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税金及附加费用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5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宋体"/>
                <w:b/>
                <w:color w:val="000000"/>
                <w:sz w:val="16"/>
                <w:szCs w:val="16"/>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宋体"/>
                <w:b/>
                <w:color w:val="000000"/>
                <w:sz w:val="16"/>
                <w:szCs w:val="16"/>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宋体"/>
                <w:b/>
                <w:color w:val="000000"/>
                <w:sz w:val="16"/>
                <w:szCs w:val="16"/>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仿宋" w:hAnsi="仿宋" w:eastAsia="仿宋" w:cs="宋体"/>
                <w:b/>
                <w:color w:val="000000"/>
                <w:sz w:val="16"/>
                <w:szCs w:val="16"/>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99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其他商品和服务支出</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 xml:space="preserve">6.2 </w:t>
            </w:r>
          </w:p>
        </w:tc>
      </w:tr>
    </w:tbl>
    <w:p>
      <w:pPr>
        <w:jc w:val="center"/>
        <w:rPr>
          <w:rFonts w:ascii="仿宋" w:hAnsi="仿宋" w:eastAsia="仿宋" w:cs="宋体"/>
          <w:b/>
          <w:color w:val="000000"/>
          <w:sz w:val="16"/>
          <w:szCs w:val="16"/>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宋体"/>
          <w:color w:val="000000"/>
          <w:kern w:val="0"/>
          <w:sz w:val="16"/>
          <w:szCs w:val="16"/>
        </w:rPr>
        <w:t>注：本表反映部门本年度一般公共预算财政拨款基本支出明细情况。</w:t>
      </w: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7年度决算数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17.4</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17.4</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4.5</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12.9</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46.4</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46.4</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6.4</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40</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46.4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218.6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6.4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40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2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2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说明：区政协没有政府性基金收入，也没有使用政府性基金安排的支出，故本表无数据。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浉河区政协</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rPr>
        <w:t>8年度部门预算情况说明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黑体" w:hAnsi="黑体" w:eastAsia="黑体" w:cs="黑体"/>
          <w:sz w:val="32"/>
          <w:szCs w:val="32"/>
        </w:rPr>
      </w:pPr>
      <w:r>
        <w:rPr>
          <w:rFonts w:hint="eastAsia" w:ascii="黑体" w:hAnsi="黑体" w:eastAsia="黑体" w:cs="黑体"/>
          <w:sz w:val="32"/>
          <w:szCs w:val="32"/>
        </w:rPr>
        <w:t>一、关于收入支出预算总体情况说明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2018年度收入502.1万元，支出502.1万元。与2017年相比，收入减少41.5万元，支出减少41.5</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rPr>
        <w:t>万元。因为人员减少，2017年换届会议费和培训费增加，比2018年支出多。</w:t>
      </w:r>
    </w:p>
    <w:p>
      <w:pPr>
        <w:adjustRightInd w:val="0"/>
        <w:snapToGrid w:val="0"/>
        <w:spacing w:line="360" w:lineRule="auto"/>
        <w:ind w:firstLine="640" w:firstLineChars="200"/>
        <w:outlineLvl w:val="1"/>
        <w:rPr>
          <w:rFonts w:ascii="黑体" w:hAnsi="黑体" w:eastAsia="黑体" w:cs="黑体"/>
          <w:sz w:val="32"/>
          <w:szCs w:val="32"/>
        </w:rPr>
      </w:pPr>
      <w:r>
        <w:rPr>
          <w:rFonts w:hint="eastAsia" w:ascii="黑体" w:hAnsi="黑体" w:eastAsia="黑体" w:cs="黑体"/>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hint="eastAsia" w:ascii="仿宋_GB2312" w:hAnsi="仿宋_GB2312" w:eastAsia="仿宋_GB2312" w:cs="仿宋_GB2312"/>
          <w:sz w:val="32"/>
          <w:szCs w:val="32"/>
        </w:rPr>
        <w:t>2018年度收入502.1万元，其中：财政拨款收入502.1万元，占100 %；事业收入0 万元，占 0 %；经营收入0万元，占 0 %；其他收入0万元，占0 %。</w:t>
      </w:r>
    </w:p>
    <w:p>
      <w:pPr>
        <w:adjustRightInd w:val="0"/>
        <w:snapToGrid w:val="0"/>
        <w:spacing w:line="360" w:lineRule="auto"/>
        <w:ind w:firstLine="640" w:firstLineChars="200"/>
        <w:outlineLvl w:val="1"/>
        <w:rPr>
          <w:rFonts w:ascii="黑体" w:hAnsi="黑体" w:eastAsia="黑体" w:cs="黑体"/>
          <w:sz w:val="32"/>
          <w:szCs w:val="32"/>
        </w:rPr>
      </w:pPr>
      <w:r>
        <w:rPr>
          <w:rFonts w:hint="eastAsia" w:ascii="黑体" w:hAnsi="黑体" w:eastAsia="黑体" w:cs="黑体"/>
          <w:sz w:val="32"/>
          <w:szCs w:val="32"/>
        </w:rPr>
        <w:t>三、关于支出预算情况说明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2018年度支出合计502.1万元，其中：基本支出502.1万元，占0%；项目支出0万元，占0%；经营支出0万元，占0%。</w:t>
      </w:r>
    </w:p>
    <w:p>
      <w:pPr>
        <w:adjustRightInd w:val="0"/>
        <w:snapToGrid w:val="0"/>
        <w:spacing w:line="360" w:lineRule="auto"/>
        <w:ind w:firstLine="640" w:firstLineChars="200"/>
        <w:outlineLvl w:val="1"/>
        <w:rPr>
          <w:rFonts w:ascii="黑体" w:hAnsi="黑体" w:eastAsia="黑体" w:cs="黑体"/>
          <w:sz w:val="32"/>
          <w:szCs w:val="32"/>
        </w:rPr>
      </w:pPr>
      <w:r>
        <w:rPr>
          <w:rFonts w:hint="eastAsia" w:ascii="黑体" w:hAnsi="黑体" w:eastAsia="黑体" w:cs="黑体"/>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hint="eastAsia" w:ascii="仿宋_GB2312" w:hAnsi="仿宋_GB2312" w:eastAsia="仿宋_GB2312" w:cs="仿宋_GB2312"/>
          <w:sz w:val="32"/>
          <w:szCs w:val="32"/>
        </w:rPr>
        <w:t>2018年区政协财政拨款</w:t>
      </w:r>
      <w:r>
        <w:rPr>
          <w:rFonts w:hint="eastAsia" w:ascii="仿宋_GB2312" w:hAnsi="仿宋_GB2312" w:eastAsia="仿宋_GB2312" w:cs="仿宋_GB2312"/>
          <w:bCs/>
          <w:kern w:val="0"/>
          <w:sz w:val="32"/>
          <w:szCs w:val="32"/>
        </w:rPr>
        <w:t>支出</w:t>
      </w:r>
      <w:r>
        <w:rPr>
          <w:rFonts w:hint="eastAsia" w:ascii="仿宋_GB2312" w:hAnsi="仿宋_GB2312" w:eastAsia="仿宋_GB2312" w:cs="仿宋_GB2312"/>
          <w:bCs/>
          <w:sz w:val="32"/>
          <w:szCs w:val="32"/>
        </w:rPr>
        <w:t>502.1万元，占支出合计的100%。与2017年相比，</w:t>
      </w:r>
      <w:r>
        <w:rPr>
          <w:rFonts w:hint="eastAsia" w:ascii="仿宋_GB2312" w:hAnsi="仿宋_GB2312" w:eastAsia="仿宋_GB2312" w:cs="仿宋_GB2312"/>
          <w:sz w:val="32"/>
          <w:szCs w:val="32"/>
        </w:rPr>
        <w:t>财政拨款</w:t>
      </w:r>
      <w:r>
        <w:rPr>
          <w:rFonts w:hint="eastAsia" w:ascii="仿宋_GB2312" w:hAnsi="仿宋_GB2312" w:eastAsia="仿宋_GB2312" w:cs="仿宋_GB2312"/>
          <w:bCs/>
          <w:kern w:val="0"/>
          <w:sz w:val="32"/>
          <w:szCs w:val="32"/>
        </w:rPr>
        <w:t>支出</w:t>
      </w:r>
      <w:r>
        <w:rPr>
          <w:rFonts w:hint="eastAsia" w:ascii="仿宋_GB2312" w:hAnsi="仿宋_GB2312" w:eastAsia="仿宋_GB2312" w:cs="仿宋_GB2312"/>
          <w:sz w:val="32"/>
          <w:szCs w:val="32"/>
        </w:rPr>
        <w:t>减少41.5万元。</w:t>
      </w:r>
    </w:p>
    <w:p>
      <w:pPr>
        <w:numPr>
          <w:ilvl w:val="0"/>
          <w:numId w:val="3"/>
        </w:numPr>
        <w:adjustRightInd w:val="0"/>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财政拨款支出预算结构情况。</w:t>
      </w:r>
    </w:p>
    <w:p>
      <w:pPr>
        <w:adjustRightInd w:val="0"/>
        <w:snapToGrid w:val="0"/>
        <w:spacing w:line="360"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2018年度区政协财政拨款支出</w:t>
      </w:r>
      <w:r>
        <w:rPr>
          <w:rFonts w:hint="eastAsia" w:ascii="仿宋_GB2312" w:hAnsi="仿宋_GB2312" w:eastAsia="仿宋_GB2312" w:cs="仿宋_GB2312"/>
          <w:bCs/>
          <w:kern w:val="0"/>
          <w:sz w:val="32"/>
          <w:szCs w:val="32"/>
        </w:rPr>
        <w:t>支出</w:t>
      </w:r>
      <w:r>
        <w:rPr>
          <w:rFonts w:hint="eastAsia" w:ascii="仿宋_GB2312" w:hAnsi="仿宋_GB2312" w:eastAsia="仿宋_GB2312" w:cs="仿宋_GB2312"/>
          <w:bCs/>
          <w:sz w:val="32"/>
          <w:szCs w:val="32"/>
        </w:rPr>
        <w:t>502.1</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Cs/>
          <w:spacing w:val="-1"/>
          <w:kern w:val="0"/>
          <w:sz w:val="32"/>
          <w:szCs w:val="32"/>
        </w:rPr>
        <w:t>人员经费283.5万元</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主要包括：基本工资、津贴补贴、绩效工资、机关事业单位基本养老保险缴费、职业年金缴费、基本医疗保险缴费、其他工资福利支出、住房公积金、其他对个人和家庭的补助支出；</w:t>
      </w:r>
      <w:r>
        <w:rPr>
          <w:rFonts w:hint="eastAsia" w:ascii="仿宋_GB2312" w:hAnsi="仿宋_GB2312" w:eastAsia="仿宋_GB2312" w:cs="仿宋_GB2312"/>
          <w:b/>
          <w:spacing w:val="-1"/>
          <w:kern w:val="0"/>
          <w:sz w:val="32"/>
          <w:szCs w:val="32"/>
        </w:rPr>
        <w:t>公用经费</w:t>
      </w:r>
      <w:r>
        <w:rPr>
          <w:rFonts w:hint="eastAsia" w:ascii="仿宋_GB2312" w:hAnsi="仿宋_GB2312" w:eastAsia="仿宋_GB2312" w:cs="仿宋_GB2312"/>
          <w:spacing w:val="-2"/>
          <w:kern w:val="0"/>
          <w:sz w:val="32"/>
          <w:szCs w:val="32"/>
        </w:rPr>
        <w:t>218.6万元</w:t>
      </w:r>
      <w:r>
        <w:rPr>
          <w:rFonts w:hint="eastAsia" w:ascii="仿宋_GB2312" w:hAnsi="仿宋_GB2312" w:eastAsia="仿宋_GB2312" w:cs="仿宋_GB2312"/>
          <w:sz w:val="32"/>
          <w:szCs w:val="32"/>
        </w:rPr>
        <w:t>，主要包括：办公费、印刷费、水费、电费、邮电费、物业管理费、差旅费、维修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费、会议费、公务接待费、劳务费、委托业务费、工会经费、其他交通费用、其他商品和服务支出。</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五、关于“三公”经费支出预算情况说明</w:t>
      </w:r>
    </w:p>
    <w:p>
      <w:pPr>
        <w:numPr>
          <w:ilvl w:val="0"/>
          <w:numId w:val="4"/>
        </w:numPr>
        <w:kinsoku w:val="0"/>
        <w:overflowPunct w:val="0"/>
        <w:autoSpaceDE w:val="0"/>
        <w:autoSpaceDN w:val="0"/>
        <w:adjustRightInd w:val="0"/>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2018年度“三公”经费财政拨款支出预算为46.4万元，其中：因公出国（境）费支出预算为0万元；公务用车购置及运行费支出预算为6.4万元；公务接待费支出预算为40万元。</w:t>
      </w:r>
      <w:r>
        <w:rPr>
          <w:rFonts w:hint="eastAsia" w:ascii="仿宋_GB2312" w:hAnsi="仿宋_GB2312" w:eastAsia="仿宋_GB2312" w:cs="仿宋_GB2312"/>
          <w:b/>
          <w:bCs/>
          <w:sz w:val="32"/>
          <w:szCs w:val="32"/>
        </w:rPr>
        <w:t>比去年减少2万元</w:t>
      </w:r>
      <w:r>
        <w:rPr>
          <w:rFonts w:hint="eastAsia" w:ascii="仿宋_GB2312" w:hAnsi="仿宋_GB2312" w:eastAsia="仿宋_GB2312" w:cs="仿宋_GB2312"/>
          <w:sz w:val="32"/>
          <w:szCs w:val="32"/>
        </w:rPr>
        <w:t>。2018年单位严格执行公务用车改革制度，</w:t>
      </w:r>
      <w:r>
        <w:rPr>
          <w:rFonts w:hint="eastAsia" w:ascii="仿宋_GB2312" w:hAnsi="仿宋_GB2312" w:eastAsia="仿宋_GB2312" w:cs="仿宋_GB2312"/>
          <w:b/>
          <w:bCs/>
          <w:sz w:val="32"/>
          <w:szCs w:val="32"/>
        </w:rPr>
        <w:t>仅两辆公务用车</w:t>
      </w:r>
      <w:r>
        <w:rPr>
          <w:rFonts w:hint="eastAsia" w:ascii="仿宋_GB2312" w:hAnsi="仿宋_GB2312" w:eastAsia="仿宋_GB2312" w:cs="仿宋_GB2312"/>
          <w:sz w:val="32"/>
          <w:szCs w:val="32"/>
        </w:rPr>
        <w:t>，包含车辆保险、维修费和加油费；公务接待费支出减少的主要原因是：现在公务接待的标准是同城不吃饭，禁止使用高档烟酒，禁止出入高档酒店进行招待，减少了公务接待费用。</w:t>
      </w:r>
    </w:p>
    <w:p>
      <w:pPr>
        <w:numPr>
          <w:ilvl w:val="0"/>
          <w:numId w:val="4"/>
        </w:numPr>
        <w:kinsoku w:val="0"/>
        <w:overflowPunct w:val="0"/>
        <w:autoSpaceDE w:val="0"/>
        <w:autoSpaceDN w:val="0"/>
        <w:adjustRightInd w:val="0"/>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2018年度“三公”经费财政拨款支出预算中，因公出国（境）费支出预算0万元，占0 %；公务用车购置及运行费支出预算6.4万元，公务接待费支出预算40万元，具体情况如下：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出国谈判、工作磋商</w:t>
      </w:r>
      <w:r>
        <w:rPr>
          <w:rFonts w:hint="eastAsia" w:ascii="仿宋_GB2312" w:hAnsi="仿宋_GB2312" w:eastAsia="仿宋_GB2312" w:cs="仿宋_GB2312"/>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境外业务培训 </w:t>
      </w:r>
      <w:r>
        <w:rPr>
          <w:rFonts w:hint="eastAsia" w:ascii="仿宋_GB2312" w:hAnsi="仿宋_GB2312" w:eastAsia="仿宋_GB2312" w:cs="仿宋_GB2312"/>
          <w:sz w:val="32"/>
          <w:szCs w:val="32"/>
        </w:rPr>
        <w:t>支出支出0万元，没有用于为提高财政管理水平而举办的公共财政支出结构比较研究、社会保障政策等。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支出6.4万元。其中：</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w:t>
      </w:r>
      <w:r>
        <w:rPr>
          <w:rFonts w:hint="eastAsia" w:ascii="仿宋_GB2312" w:hAnsi="仿宋_GB2312" w:eastAsia="仿宋_GB2312" w:cs="仿宋_GB2312"/>
          <w:sz w:val="32"/>
          <w:szCs w:val="32"/>
        </w:rPr>
        <w:t>支出为0万元。</w:t>
      </w:r>
      <w:r>
        <w:rPr>
          <w:rFonts w:hint="eastAsia" w:ascii="仿宋_GB2312" w:hAnsi="仿宋_GB2312" w:eastAsia="仿宋_GB2312" w:cs="仿宋_GB2312"/>
          <w:b/>
          <w:bCs/>
          <w:sz w:val="32"/>
          <w:szCs w:val="32"/>
        </w:rPr>
        <w:t>公务用车运行</w:t>
      </w:r>
      <w:r>
        <w:rPr>
          <w:rFonts w:hint="eastAsia" w:ascii="仿宋_GB2312" w:hAnsi="仿宋_GB2312" w:eastAsia="仿宋_GB2312" w:cs="仿宋_GB2312"/>
          <w:sz w:val="32"/>
          <w:szCs w:val="32"/>
        </w:rPr>
        <w:t>支出6.4万元。现有公务用车两辆，主要用于车辆保险、维修和加油费。</w:t>
      </w:r>
    </w:p>
    <w:p>
      <w:pPr>
        <w:numPr>
          <w:ilvl w:val="0"/>
          <w:numId w:val="5"/>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支出40万元。主要用于：一是上级政协来我区调研视察；二是其他县区政协及外地政协的交流学习；三是配合区委、区政府中心工作的有关接待。</w:t>
      </w:r>
    </w:p>
    <w:p>
      <w:pPr>
        <w:adjustRightInd w:val="0"/>
        <w:snapToGrid w:val="0"/>
        <w:spacing w:line="360" w:lineRule="auto"/>
        <w:ind w:firstLine="640" w:firstLineChars="200"/>
        <w:outlineLvl w:val="1"/>
        <w:rPr>
          <w:rFonts w:ascii="黑体" w:hAnsi="黑体" w:eastAsia="黑体" w:cs="黑体"/>
          <w:sz w:val="32"/>
          <w:szCs w:val="32"/>
        </w:rPr>
      </w:pPr>
      <w:r>
        <w:rPr>
          <w:rFonts w:hint="eastAsia" w:ascii="黑体" w:hAnsi="黑体" w:eastAsia="黑体" w:cs="黑体"/>
          <w:sz w:val="32"/>
          <w:szCs w:val="32"/>
        </w:rPr>
        <w:t>六、关于政府性基金预算财政拨款支出预算情况说明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2018年度政府性基金预算财政拨款支出年初预算为0万元，支出为0万元。</w:t>
      </w:r>
    </w:p>
    <w:p>
      <w:pPr>
        <w:adjustRightInd w:val="0"/>
        <w:snapToGrid w:val="0"/>
        <w:spacing w:line="360" w:lineRule="auto"/>
        <w:ind w:firstLine="640" w:firstLineChars="200"/>
        <w:outlineLvl w:val="1"/>
        <w:rPr>
          <w:rFonts w:ascii="黑体" w:hAnsi="黑体" w:eastAsia="黑体" w:cs="黑体"/>
          <w:sz w:val="32"/>
          <w:szCs w:val="32"/>
        </w:rPr>
      </w:pPr>
      <w:r>
        <w:rPr>
          <w:rFonts w:hint="eastAsia" w:ascii="黑体" w:hAnsi="黑体" w:eastAsia="黑体" w:cs="黑体"/>
          <w:sz w:val="32"/>
          <w:szCs w:val="32"/>
        </w:rPr>
        <w:t>七、其他重要事项的情况说明</w:t>
      </w:r>
    </w:p>
    <w:p>
      <w:pPr>
        <w:numPr>
          <w:ilvl w:val="0"/>
          <w:numId w:val="6"/>
        </w:numPr>
        <w:kinsoku w:val="0"/>
        <w:overflowPunct w:val="0"/>
        <w:autoSpaceDE w:val="0"/>
        <w:autoSpaceDN w:val="0"/>
        <w:adjustRightInd w:val="0"/>
        <w:snapToGrid w:val="0"/>
        <w:spacing w:line="360" w:lineRule="auto"/>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2018年度机关运行经费预算支出218.6万元，比2017年减少6.47万元万元。原因是：我单位加强了内部控制，严格执行有关管理规定缩减开支。</w:t>
      </w:r>
    </w:p>
    <w:p>
      <w:pPr>
        <w:numPr>
          <w:ilvl w:val="0"/>
          <w:numId w:val="6"/>
        </w:numPr>
        <w:kinsoku w:val="0"/>
        <w:overflowPunct w:val="0"/>
        <w:autoSpaceDE w:val="0"/>
        <w:autoSpaceDN w:val="0"/>
        <w:adjustRightInd w:val="0"/>
        <w:snapToGrid w:val="0"/>
        <w:spacing w:line="360" w:lineRule="auto"/>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2018年度政府采购支出预算总额0万元。</w:t>
      </w:r>
    </w:p>
    <w:p>
      <w:pPr>
        <w:kinsoku w:val="0"/>
        <w:overflowPunct w:val="0"/>
        <w:autoSpaceDE w:val="0"/>
        <w:autoSpaceDN w:val="0"/>
        <w:adjustRightInd w:val="0"/>
        <w:snapToGrid w:val="0"/>
        <w:spacing w:line="360" w:lineRule="auto"/>
        <w:ind w:left="64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w:t>
      </w:r>
      <w:r>
        <w:rPr>
          <w:rFonts w:ascii="楷体_GB2312" w:hAnsi="楷体_GB2312" w:eastAsia="楷体_GB2312" w:cs="楷体_GB2312"/>
          <w:b/>
          <w:kern w:val="0"/>
          <w:sz w:val="32"/>
          <w:szCs w:val="32"/>
        </w:rPr>
        <w:t>关于预算绩效管理工作开展情况说明</w:t>
      </w:r>
    </w:p>
    <w:p>
      <w:pPr>
        <w:widowControl/>
        <w:spacing w:line="600" w:lineRule="exact"/>
        <w:ind w:firstLine="630"/>
        <w:jc w:val="left"/>
        <w:rPr>
          <w:rFonts w:eastAsia="仿宋_GB2312"/>
          <w:color w:val="000000"/>
          <w:kern w:val="0"/>
          <w:sz w:val="32"/>
          <w:szCs w:val="32"/>
        </w:rPr>
      </w:pPr>
      <w:r>
        <w:rPr>
          <w:rFonts w:hint="eastAsia" w:eastAsia="仿宋_GB2312"/>
          <w:color w:val="000000"/>
          <w:kern w:val="0"/>
          <w:sz w:val="32"/>
          <w:szCs w:val="32"/>
        </w:rPr>
        <w:t>浉河区政协2018年没有开展项目预算绩效评价。</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ind w:left="64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2018年，区政协共有公务用车2辆。单价50万元以上通用设备0台（套），单位价值100万元以上专用设备0台（套）。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宋体"/>
          <w:sz w:val="32"/>
          <w:szCs w:val="32"/>
        </w:rPr>
      </w:pPr>
    </w:p>
    <w:p>
      <w:pPr>
        <w:kinsoku w:val="0"/>
        <w:overflowPunct w:val="0"/>
        <w:autoSpaceDE w:val="0"/>
        <w:autoSpaceDN w:val="0"/>
        <w:adjustRightInd w:val="0"/>
        <w:snapToGrid w:val="0"/>
        <w:spacing w:line="360" w:lineRule="auto"/>
        <w:rPr>
          <w:rFonts w:ascii="仿宋" w:hAnsi="仿宋" w:eastAsia="仿宋" w:cs="宋体"/>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宋体"/>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宋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color w:val="FF0000"/>
          <w:sz w:val="32"/>
          <w:szCs w:val="32"/>
        </w:rPr>
        <w:t>（请根据单位实际情况，参照《</w:t>
      </w:r>
      <w:r>
        <w:rPr>
          <w:rFonts w:ascii="仿宋" w:hAnsi="仿宋" w:eastAsia="仿宋" w:cs="Courier New"/>
          <w:b/>
          <w:bCs/>
          <w:color w:val="FF0000"/>
          <w:sz w:val="32"/>
          <w:szCs w:val="32"/>
        </w:rPr>
        <w:t>201</w:t>
      </w:r>
      <w:r>
        <w:rPr>
          <w:rFonts w:hint="eastAsia" w:ascii="仿宋" w:hAnsi="仿宋" w:eastAsia="仿宋" w:cs="Courier New"/>
          <w:b/>
          <w:bCs/>
          <w:color w:val="FF0000"/>
          <w:sz w:val="32"/>
          <w:szCs w:val="32"/>
        </w:rPr>
        <w:t>7</w:t>
      </w:r>
      <w:r>
        <w:rPr>
          <w:rFonts w:hint="eastAsia" w:ascii="仿宋" w:hAnsi="仿宋" w:eastAsia="仿宋" w:cs="宋体"/>
          <w:b/>
          <w:bCs/>
          <w:color w:val="FF0000"/>
          <w:sz w:val="32"/>
          <w:szCs w:val="32"/>
        </w:rPr>
        <w:t>年政府收支分类科目》和对口中央部门</w:t>
      </w:r>
      <w:r>
        <w:rPr>
          <w:rFonts w:hint="eastAsia" w:ascii="仿宋" w:hAnsi="仿宋" w:eastAsia="仿宋" w:cs="Courier New"/>
          <w:b/>
          <w:bCs/>
          <w:color w:val="FF0000"/>
          <w:sz w:val="32"/>
          <w:szCs w:val="32"/>
        </w:rPr>
        <w:t>预</w:t>
      </w:r>
      <w:r>
        <w:rPr>
          <w:rFonts w:hint="eastAsia" w:ascii="仿宋" w:hAnsi="仿宋" w:eastAsia="仿宋" w:cs="宋体"/>
          <w:b/>
          <w:bCs/>
          <w:color w:val="FF0000"/>
          <w:sz w:val="32"/>
          <w:szCs w:val="32"/>
        </w:rPr>
        <w:t>算公开信息填写）</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- 15 -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132E43"/>
    <w:rsid w:val="00170110"/>
    <w:rsid w:val="0017112E"/>
    <w:rsid w:val="00172A27"/>
    <w:rsid w:val="001D3FB5"/>
    <w:rsid w:val="001E183A"/>
    <w:rsid w:val="002A721A"/>
    <w:rsid w:val="00336FCB"/>
    <w:rsid w:val="00376170"/>
    <w:rsid w:val="00402C74"/>
    <w:rsid w:val="00445909"/>
    <w:rsid w:val="004C11C3"/>
    <w:rsid w:val="004D36BB"/>
    <w:rsid w:val="004E5B94"/>
    <w:rsid w:val="004F3C7C"/>
    <w:rsid w:val="0050293C"/>
    <w:rsid w:val="00503F16"/>
    <w:rsid w:val="00557969"/>
    <w:rsid w:val="005E126E"/>
    <w:rsid w:val="005E6E28"/>
    <w:rsid w:val="00630D31"/>
    <w:rsid w:val="006723A2"/>
    <w:rsid w:val="006F22F7"/>
    <w:rsid w:val="007115FD"/>
    <w:rsid w:val="00731FE8"/>
    <w:rsid w:val="007325F2"/>
    <w:rsid w:val="00743248"/>
    <w:rsid w:val="00787823"/>
    <w:rsid w:val="007956F5"/>
    <w:rsid w:val="007B222F"/>
    <w:rsid w:val="007B72EA"/>
    <w:rsid w:val="007F7F87"/>
    <w:rsid w:val="009B6CAD"/>
    <w:rsid w:val="00A77C36"/>
    <w:rsid w:val="00AB7377"/>
    <w:rsid w:val="00AE7787"/>
    <w:rsid w:val="00AF7B15"/>
    <w:rsid w:val="00B12B50"/>
    <w:rsid w:val="00B54309"/>
    <w:rsid w:val="00B74243"/>
    <w:rsid w:val="00B84FB0"/>
    <w:rsid w:val="00BA37FF"/>
    <w:rsid w:val="00BC30E8"/>
    <w:rsid w:val="00BC5210"/>
    <w:rsid w:val="00BE360A"/>
    <w:rsid w:val="00BE4CA5"/>
    <w:rsid w:val="00BF3D6F"/>
    <w:rsid w:val="00BF74B7"/>
    <w:rsid w:val="00C57D7B"/>
    <w:rsid w:val="00C6444A"/>
    <w:rsid w:val="00CD4933"/>
    <w:rsid w:val="00D9092F"/>
    <w:rsid w:val="00DA2668"/>
    <w:rsid w:val="00DB1C77"/>
    <w:rsid w:val="00DD4F02"/>
    <w:rsid w:val="00DD5457"/>
    <w:rsid w:val="00E21B07"/>
    <w:rsid w:val="00E32E02"/>
    <w:rsid w:val="00E8190D"/>
    <w:rsid w:val="00E92067"/>
    <w:rsid w:val="00ED38A5"/>
    <w:rsid w:val="00ED44BB"/>
    <w:rsid w:val="00EE6AA4"/>
    <w:rsid w:val="00F92F65"/>
    <w:rsid w:val="00FB0B96"/>
    <w:rsid w:val="01F21A60"/>
    <w:rsid w:val="020C2FB1"/>
    <w:rsid w:val="026651AD"/>
    <w:rsid w:val="027033B1"/>
    <w:rsid w:val="03240ECA"/>
    <w:rsid w:val="04453648"/>
    <w:rsid w:val="07267E1E"/>
    <w:rsid w:val="07F31BEE"/>
    <w:rsid w:val="084D7413"/>
    <w:rsid w:val="08A93228"/>
    <w:rsid w:val="08FB3159"/>
    <w:rsid w:val="099F048D"/>
    <w:rsid w:val="09BB2134"/>
    <w:rsid w:val="0C366EEC"/>
    <w:rsid w:val="0FAB2FE6"/>
    <w:rsid w:val="0FEF0DE6"/>
    <w:rsid w:val="113E646F"/>
    <w:rsid w:val="117A0571"/>
    <w:rsid w:val="11DE22AB"/>
    <w:rsid w:val="147E551D"/>
    <w:rsid w:val="14D2458E"/>
    <w:rsid w:val="150B6848"/>
    <w:rsid w:val="15492582"/>
    <w:rsid w:val="169C1E93"/>
    <w:rsid w:val="17965762"/>
    <w:rsid w:val="17BE6092"/>
    <w:rsid w:val="17F73D7A"/>
    <w:rsid w:val="1968261B"/>
    <w:rsid w:val="1A624019"/>
    <w:rsid w:val="1C1F61CB"/>
    <w:rsid w:val="1C3B117F"/>
    <w:rsid w:val="1C803814"/>
    <w:rsid w:val="1C970E94"/>
    <w:rsid w:val="1CAB1D15"/>
    <w:rsid w:val="1E2566FD"/>
    <w:rsid w:val="1E7D3B34"/>
    <w:rsid w:val="20F5460F"/>
    <w:rsid w:val="212E5315"/>
    <w:rsid w:val="22490F71"/>
    <w:rsid w:val="254B33D1"/>
    <w:rsid w:val="256D2254"/>
    <w:rsid w:val="27507D70"/>
    <w:rsid w:val="29621C7E"/>
    <w:rsid w:val="2983760E"/>
    <w:rsid w:val="29B13F52"/>
    <w:rsid w:val="29ED2241"/>
    <w:rsid w:val="2ACE51FA"/>
    <w:rsid w:val="2BA4769A"/>
    <w:rsid w:val="2C654BE7"/>
    <w:rsid w:val="2C8F6BCF"/>
    <w:rsid w:val="2CC075DB"/>
    <w:rsid w:val="2CD06EF4"/>
    <w:rsid w:val="2D9D4DA5"/>
    <w:rsid w:val="2DBF18D1"/>
    <w:rsid w:val="2F47056C"/>
    <w:rsid w:val="30260A0F"/>
    <w:rsid w:val="307652F7"/>
    <w:rsid w:val="325F6EF2"/>
    <w:rsid w:val="32EF005E"/>
    <w:rsid w:val="32EF40CE"/>
    <w:rsid w:val="33A76F4E"/>
    <w:rsid w:val="34416F30"/>
    <w:rsid w:val="364D690A"/>
    <w:rsid w:val="36FA2471"/>
    <w:rsid w:val="372974AC"/>
    <w:rsid w:val="38262F47"/>
    <w:rsid w:val="39637962"/>
    <w:rsid w:val="39765334"/>
    <w:rsid w:val="39967F15"/>
    <w:rsid w:val="3AE7177F"/>
    <w:rsid w:val="3B176ED9"/>
    <w:rsid w:val="3BDC521E"/>
    <w:rsid w:val="3C5769C0"/>
    <w:rsid w:val="3EA437AD"/>
    <w:rsid w:val="3EEE22CD"/>
    <w:rsid w:val="3F081D17"/>
    <w:rsid w:val="3FCD07F4"/>
    <w:rsid w:val="41794006"/>
    <w:rsid w:val="41CF71DE"/>
    <w:rsid w:val="42067137"/>
    <w:rsid w:val="42271DDB"/>
    <w:rsid w:val="42563EC6"/>
    <w:rsid w:val="43E82B9D"/>
    <w:rsid w:val="457B1C96"/>
    <w:rsid w:val="468900BD"/>
    <w:rsid w:val="46F559ED"/>
    <w:rsid w:val="477D716C"/>
    <w:rsid w:val="48B52937"/>
    <w:rsid w:val="48C00F7D"/>
    <w:rsid w:val="48EE3EF3"/>
    <w:rsid w:val="4B2D55EB"/>
    <w:rsid w:val="4C1E2F28"/>
    <w:rsid w:val="4DE20C7C"/>
    <w:rsid w:val="4FBC1CBE"/>
    <w:rsid w:val="50C2787A"/>
    <w:rsid w:val="5115239B"/>
    <w:rsid w:val="51E332DE"/>
    <w:rsid w:val="541D6A82"/>
    <w:rsid w:val="544677EE"/>
    <w:rsid w:val="55EA1009"/>
    <w:rsid w:val="5651051D"/>
    <w:rsid w:val="57E961A8"/>
    <w:rsid w:val="581E77CF"/>
    <w:rsid w:val="58B06254"/>
    <w:rsid w:val="58B515D7"/>
    <w:rsid w:val="59311BB4"/>
    <w:rsid w:val="5A0F6184"/>
    <w:rsid w:val="5A305032"/>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C77131"/>
    <w:rsid w:val="69F84494"/>
    <w:rsid w:val="6ABB6698"/>
    <w:rsid w:val="6AC30185"/>
    <w:rsid w:val="6DC12C15"/>
    <w:rsid w:val="6F2D14A1"/>
    <w:rsid w:val="6FDF24CC"/>
    <w:rsid w:val="705F045F"/>
    <w:rsid w:val="71490407"/>
    <w:rsid w:val="7156288B"/>
    <w:rsid w:val="72B61072"/>
    <w:rsid w:val="73F12465"/>
    <w:rsid w:val="75531EF6"/>
    <w:rsid w:val="755A7A11"/>
    <w:rsid w:val="75CB3A55"/>
    <w:rsid w:val="75D0003D"/>
    <w:rsid w:val="77891BB8"/>
    <w:rsid w:val="783E1213"/>
    <w:rsid w:val="784B09E0"/>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A7EDF-EB28-4BF6-B8AF-260838EAA5D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1329</Words>
  <Characters>7576</Characters>
  <Lines>63</Lines>
  <Paragraphs>17</Paragraphs>
  <TotalTime>19</TotalTime>
  <ScaleCrop>false</ScaleCrop>
  <LinksUpToDate>false</LinksUpToDate>
  <CharactersWithSpaces>8888</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2018-01-31T02:08:00Z</cp:lastPrinted>
  <dcterms:modified xsi:type="dcterms:W3CDTF">2019-02-13T06:57:29Z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