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浉河区审计局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区审计局概况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区审计局2018年度部门预算表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区审计局2018年度部门预算情况说明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区审计局概况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widowControl/>
        <w:spacing w:line="600" w:lineRule="atLeast"/>
        <w:ind w:firstLine="640"/>
        <w:jc w:val="left"/>
        <w:textAlignment w:val="top"/>
        <w:rPr>
          <w:rFonts w:ascii="仿宋" w:hAnsi="仿宋" w:eastAsia="仿宋" w:cs="宋体"/>
          <w:sz w:val="32"/>
          <w:szCs w:val="32"/>
        </w:rPr>
      </w:pPr>
      <w:r>
        <w:rPr>
          <w:rFonts w:hint="eastAsia" w:ascii="仿宋" w:hAnsi="仿宋" w:eastAsia="仿宋"/>
          <w:sz w:val="32"/>
          <w:szCs w:val="32"/>
        </w:rPr>
        <w:t>根据《关于印发</w:t>
      </w:r>
      <w:r>
        <w:rPr>
          <w:rFonts w:hint="eastAsia" w:ascii="仿宋" w:hAnsi="仿宋" w:eastAsia="仿宋" w:cs="宋体"/>
          <w:sz w:val="32"/>
          <w:szCs w:val="32"/>
        </w:rPr>
        <w:t>浉</w:t>
      </w:r>
      <w:r>
        <w:rPr>
          <w:rFonts w:hint="eastAsia" w:ascii="仿宋" w:hAnsi="仿宋" w:eastAsia="仿宋"/>
          <w:sz w:val="32"/>
          <w:szCs w:val="32"/>
        </w:rPr>
        <w:t>河区审计局主要职责内设机构和人员编制规定的通知》（</w:t>
      </w:r>
      <w:r>
        <w:rPr>
          <w:rFonts w:hint="eastAsia" w:ascii="仿宋" w:hAnsi="仿宋" w:eastAsia="仿宋" w:cs="宋体"/>
          <w:sz w:val="32"/>
          <w:szCs w:val="32"/>
        </w:rPr>
        <w:t>浉编【2010】19号），区机构编制委员会批准区审计局内设8个股室，即办公室（电子政务办公室）、法规股、财政金融审计股、行政事业审计股、固定资产投资审计股、工商企业审计股、社会保障审计股、经济责任审计办公室。</w:t>
      </w:r>
    </w:p>
    <w:p>
      <w:pPr>
        <w:widowControl/>
        <w:numPr>
          <w:ilvl w:val="0"/>
          <w:numId w:val="2"/>
        </w:numPr>
        <w:spacing w:line="600" w:lineRule="atLeast"/>
        <w:jc w:val="left"/>
        <w:textAlignment w:val="top"/>
        <w:rPr>
          <w:rFonts w:ascii="仿宋" w:hAnsi="仿宋" w:eastAsia="仿宋"/>
          <w:color w:val="333333"/>
          <w:sz w:val="32"/>
          <w:szCs w:val="32"/>
        </w:rPr>
      </w:pPr>
      <w:r>
        <w:rPr>
          <w:rFonts w:hint="eastAsia" w:ascii="仿宋" w:hAnsi="仿宋" w:eastAsia="仿宋"/>
          <w:b/>
          <w:color w:val="333333"/>
          <w:sz w:val="32"/>
          <w:szCs w:val="32"/>
        </w:rPr>
        <w:t>主要职责范围是</w:t>
      </w:r>
      <w:r>
        <w:rPr>
          <w:rFonts w:hint="eastAsia" w:ascii="仿宋" w:hAnsi="仿宋" w:eastAsia="仿宋"/>
          <w:color w:val="333333"/>
          <w:sz w:val="32"/>
          <w:szCs w:val="32"/>
        </w:rPr>
        <w:t>：</w:t>
      </w:r>
    </w:p>
    <w:p>
      <w:pPr>
        <w:widowControl/>
        <w:numPr>
          <w:ilvl w:val="0"/>
          <w:numId w:val="3"/>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主管全区审计工作。负责对全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widowControl/>
        <w:numPr>
          <w:ilvl w:val="0"/>
          <w:numId w:val="3"/>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贯彻执行国家和省、市审计工作的法律法规和方针政策，参与起草审计、财经方面的地方性法规、规章草案，制定审计规章制度并监督执行，制定并组织实施审计工作发展规划和专业领域审计工作规划，制定并组织实施年度审计计划。对直接审计、调查和核查的事项依法进行审计评价，作出审计决定或提出审计建议。</w:t>
      </w:r>
    </w:p>
    <w:p>
      <w:pPr>
        <w:widowControl/>
        <w:numPr>
          <w:ilvl w:val="0"/>
          <w:numId w:val="3"/>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向区政府提交年度区级预算执行和其他财政收支的审计结果报告。受区政府委托向区人大常委会提交区级预算执行和其他财政收支情况的审计工作报告、审计发现问题的纠正和处理结果报告。向区政府报告其他事项专项审计调查情况及结果。依法向社会公布审计结果。向区政府有关部门通报审计情况和审计结果。</w:t>
      </w:r>
    </w:p>
    <w:p>
      <w:pPr>
        <w:widowControl/>
        <w:numPr>
          <w:ilvl w:val="0"/>
          <w:numId w:val="3"/>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、是在法定职权范围内作出审计决定或向有关主管部门提出处罚的意见。</w:t>
      </w:r>
    </w:p>
    <w:p>
      <w:pPr>
        <w:numPr>
          <w:ilvl w:val="0"/>
          <w:numId w:val="2"/>
        </w:numPr>
        <w:rPr>
          <w:rFonts w:ascii="仿宋" w:hAnsi="仿宋" w:eastAsia="仿宋"/>
          <w:b/>
          <w:bCs/>
          <w:sz w:val="32"/>
          <w:szCs w:val="32"/>
        </w:rPr>
      </w:pPr>
      <w:r>
        <w:rPr>
          <w:rFonts w:hint="eastAsia" w:ascii="仿宋" w:hAnsi="仿宋" w:eastAsia="仿宋"/>
          <w:b/>
          <w:bCs/>
          <w:sz w:val="32"/>
          <w:szCs w:val="32"/>
        </w:rPr>
        <w:t>人员编制基本情况：</w:t>
      </w:r>
    </w:p>
    <w:p>
      <w:pPr>
        <w:ind w:firstLine="960" w:firstLineChars="300"/>
        <w:rPr>
          <w:rFonts w:ascii="仿宋" w:hAnsi="仿宋" w:eastAsia="仿宋" w:cs="宋体"/>
          <w:color w:val="000000"/>
          <w:kern w:val="0"/>
          <w:sz w:val="32"/>
          <w:szCs w:val="32"/>
        </w:rPr>
      </w:pPr>
      <w:r>
        <w:rPr>
          <w:rFonts w:hint="eastAsia" w:ascii="仿宋" w:hAnsi="仿宋" w:eastAsia="仿宋" w:cs="宋体"/>
          <w:sz w:val="32"/>
          <w:szCs w:val="32"/>
        </w:rPr>
        <w:t>截至2017年12月末，共有编制人数47</w:t>
      </w:r>
      <w:r>
        <w:rPr>
          <w:rFonts w:hint="eastAsia" w:ascii="仿宋" w:hAnsi="仿宋" w:eastAsia="仿宋" w:cs="宋体"/>
          <w:color w:val="000000"/>
          <w:kern w:val="0"/>
          <w:sz w:val="32"/>
          <w:szCs w:val="32"/>
        </w:rPr>
        <w:t>人，其中：行政编制30人，事业编制16人，工勤人员1人。实有人数32人，其中：在职人员32人，退休人员15人.</w:t>
      </w:r>
    </w:p>
    <w:p>
      <w:pPr>
        <w:widowControl/>
        <w:spacing w:line="600" w:lineRule="atLeast"/>
        <w:ind w:firstLine="640"/>
        <w:jc w:val="left"/>
        <w:textAlignment w:val="top"/>
        <w:rPr>
          <w:rFonts w:ascii="仿宋" w:hAnsi="仿宋" w:eastAsia="仿宋" w:cs="楷体_GB2312"/>
          <w:b/>
          <w:sz w:val="32"/>
          <w:szCs w:val="32"/>
        </w:rPr>
      </w:pPr>
      <w:r>
        <w:rPr>
          <w:rFonts w:hint="eastAsia" w:ascii="仿宋" w:hAnsi="仿宋" w:eastAsia="仿宋" w:cs="楷体_GB2312"/>
          <w:b/>
          <w:sz w:val="32"/>
          <w:szCs w:val="32"/>
        </w:rPr>
        <w:t>四、预算年度主要工作任务</w:t>
      </w:r>
    </w:p>
    <w:p>
      <w:pPr>
        <w:ind w:firstLine="640" w:firstLineChars="200"/>
        <w:rPr>
          <w:rFonts w:ascii="仿宋" w:hAnsi="仿宋" w:eastAsia="仿宋" w:cs="宋体"/>
          <w:sz w:val="32"/>
          <w:szCs w:val="32"/>
        </w:rPr>
      </w:pPr>
      <w:r>
        <w:rPr>
          <w:rFonts w:hint="eastAsia" w:ascii="仿宋" w:hAnsi="仿宋" w:eastAsia="仿宋" w:cs="宋体"/>
          <w:sz w:val="32"/>
          <w:szCs w:val="32"/>
        </w:rPr>
        <w:t>按照上级审计机关的安排和要求，对重大专项资金进行审计监督，并按照上级安排承担异地交叉审计任务，围绕区委、区政府工作部署，对全区财政、财务收支情况进行审计监督。</w:t>
      </w:r>
    </w:p>
    <w:p>
      <w:pPr>
        <w:widowControl/>
        <w:spacing w:line="600" w:lineRule="atLeast"/>
        <w:ind w:firstLine="640"/>
        <w:jc w:val="left"/>
        <w:textAlignment w:val="top"/>
        <w:rPr>
          <w:rFonts w:ascii="仿宋" w:hAnsi="仿宋" w:eastAsia="仿宋" w:cs="楷体_GB2312"/>
          <w:b/>
          <w:sz w:val="32"/>
          <w:szCs w:val="32"/>
        </w:rPr>
      </w:pPr>
      <w:r>
        <w:rPr>
          <w:rFonts w:hint="eastAsia" w:ascii="仿宋" w:hAnsi="仿宋" w:eastAsia="仿宋" w:cs="楷体_GB2312"/>
          <w:b/>
          <w:sz w:val="32"/>
          <w:szCs w:val="32"/>
        </w:rPr>
        <w:t>五、部门预算单位构成</w:t>
      </w:r>
    </w:p>
    <w:p>
      <w:pPr>
        <w:spacing w:line="360" w:lineRule="auto"/>
        <w:ind w:firstLine="640" w:firstLineChars="200"/>
        <w:jc w:val="left"/>
        <w:rPr>
          <w:rFonts w:hint="eastAsia" w:ascii="仿宋" w:hAnsi="仿宋" w:eastAsia="仿宋" w:cs="??_GB2312"/>
          <w:sz w:val="32"/>
          <w:szCs w:val="32"/>
          <w:lang w:eastAsia="zh-CN"/>
        </w:rPr>
      </w:pPr>
      <w:r>
        <w:rPr>
          <w:rFonts w:hint="eastAsia" w:ascii="仿宋" w:hAnsi="仿宋" w:eastAsia="仿宋" w:cs="宋体"/>
          <w:sz w:val="32"/>
          <w:szCs w:val="32"/>
        </w:rPr>
        <w:t>纳入审计局</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年度部门预算编制范围的单位包括浉河区审计局</w:t>
      </w:r>
      <w:r>
        <w:rPr>
          <w:rFonts w:hint="eastAsia" w:ascii="仿宋" w:hAnsi="仿宋" w:eastAsia="仿宋" w:cs="宋体"/>
          <w:sz w:val="32"/>
          <w:szCs w:val="32"/>
          <w:lang w:eastAsia="zh-CN"/>
        </w:rPr>
        <w:t>本级，</w:t>
      </w:r>
      <w:r>
        <w:rPr>
          <w:rFonts w:hint="eastAsia" w:ascii="仿宋_GB2312" w:hAnsi="仿宋_GB2312" w:eastAsia="仿宋_GB2312" w:cs="仿宋_GB2312"/>
          <w:sz w:val="32"/>
          <w:szCs w:val="32"/>
          <w:lang w:eastAsia="zh-CN"/>
        </w:rPr>
        <w:t>无二级机构。</w:t>
      </w:r>
      <w:bookmarkStart w:id="0" w:name="_GoBack"/>
      <w:bookmarkEnd w:id="0"/>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浉河区审计局</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452.4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452.4</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452.4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452.4</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452.4</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452.4</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96" w:type="dxa"/>
        <w:tblInd w:w="-1127" w:type="dxa"/>
        <w:tblLayout w:type="fixed"/>
        <w:tblCellMar>
          <w:top w:w="15" w:type="dxa"/>
          <w:left w:w="15" w:type="dxa"/>
          <w:bottom w:w="15" w:type="dxa"/>
          <w:right w:w="15" w:type="dxa"/>
        </w:tblCellMar>
      </w:tblPr>
      <w:tblGrid>
        <w:gridCol w:w="781"/>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96"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719"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9"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428"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42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42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452.4</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452.4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2010801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4"/>
              </w:rPr>
              <w:t>150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4"/>
              </w:rPr>
            </w:pPr>
            <w:r>
              <w:rPr>
                <w:rFonts w:hint="eastAsia" w:ascii="仿宋" w:hAnsi="仿宋" w:eastAsia="仿宋"/>
                <w:sz w:val="24"/>
              </w:rPr>
              <w:t>150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4"/>
              </w:rPr>
              <w:t>62.7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4"/>
              </w:rPr>
            </w:pPr>
            <w:r>
              <w:rPr>
                <w:rFonts w:hint="eastAsia" w:ascii="仿宋" w:hAnsi="仿宋" w:eastAsia="仿宋"/>
                <w:sz w:val="24"/>
              </w:rPr>
              <w:t>62.7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2010803</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机关服务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4"/>
              </w:rPr>
              <w:t>35.6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4"/>
              </w:rPr>
            </w:pPr>
            <w:r>
              <w:rPr>
                <w:rFonts w:hint="eastAsia" w:ascii="仿宋" w:hAnsi="仿宋" w:eastAsia="仿宋"/>
                <w:sz w:val="24"/>
              </w:rPr>
              <w:t>35.6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2010804</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审计业务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4"/>
              </w:rPr>
              <w:t>69.3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69.3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审计管理</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ascii="仿宋" w:hAnsi="仿宋" w:eastAsia="仿宋" w:cs="宋体"/>
                <w:color w:val="000000"/>
                <w:sz w:val="16"/>
                <w:szCs w:val="16"/>
              </w:rPr>
            </w:pPr>
            <w:r>
              <w:rPr>
                <w:rFonts w:hint="eastAsia" w:ascii="仿宋" w:hAnsi="仿宋" w:eastAsia="仿宋" w:cs="宋体"/>
                <w:color w:val="000000"/>
                <w:sz w:val="24"/>
              </w:rPr>
              <w:t>38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ascii="仿宋" w:hAnsi="仿宋" w:eastAsia="仿宋" w:cs="宋体"/>
                <w:color w:val="000000"/>
                <w:sz w:val="24"/>
              </w:rPr>
            </w:pPr>
            <w:r>
              <w:rPr>
                <w:rFonts w:hint="eastAsia" w:ascii="仿宋" w:hAnsi="仿宋" w:eastAsia="仿宋" w:cs="宋体"/>
                <w:color w:val="000000"/>
                <w:sz w:val="24"/>
              </w:rPr>
              <w:t>38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其他审计事务支出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4"/>
              </w:rPr>
              <w:t>26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26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基本养老保险支出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4"/>
              </w:rPr>
              <w:t>34.5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34.5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仿宋" w:hAnsi="仿宋" w:eastAsia="仿宋" w:cs="宋体"/>
                <w:color w:val="000000"/>
                <w:kern w:val="0"/>
                <w:sz w:val="24"/>
              </w:rPr>
              <w:t>20.7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20.7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仿宋" w:hAnsi="仿宋" w:eastAsia="仿宋" w:cs="宋体"/>
                <w:color w:val="000000"/>
                <w:kern w:val="0"/>
                <w:sz w:val="24"/>
              </w:rPr>
              <w:t>8.2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8.2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8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2101102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仿宋" w:hAnsi="仿宋" w:eastAsia="仿宋" w:cs="宋体"/>
                <w:color w:val="000000"/>
                <w:kern w:val="0"/>
                <w:sz w:val="24"/>
              </w:rPr>
              <w:t>7.4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418" w:hRule="atLeast"/>
        </w:trPr>
        <w:tc>
          <w:tcPr>
            <w:tcW w:w="781"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418" w:hRule="atLeast"/>
        </w:trPr>
        <w:tc>
          <w:tcPr>
            <w:tcW w:w="781" w:type="dxa"/>
            <w:tcBorders>
              <w:top w:val="single" w:color="000000" w:sz="4" w:space="0"/>
              <w:left w:val="single" w:color="000000" w:sz="12"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96"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19"/>
        <w:gridCol w:w="991"/>
        <w:gridCol w:w="1516"/>
        <w:gridCol w:w="1160"/>
        <w:gridCol w:w="22"/>
        <w:gridCol w:w="975"/>
        <w:gridCol w:w="208"/>
        <w:gridCol w:w="790"/>
        <w:gridCol w:w="392"/>
        <w:gridCol w:w="605"/>
        <w:gridCol w:w="577"/>
        <w:gridCol w:w="421"/>
        <w:gridCol w:w="761"/>
        <w:gridCol w:w="1183"/>
      </w:tblGrid>
      <w:tr>
        <w:tblPrEx>
          <w:tblLayout w:type="fixed"/>
          <w:tblCellMar>
            <w:top w:w="15" w:type="dxa"/>
            <w:left w:w="15" w:type="dxa"/>
            <w:bottom w:w="15" w:type="dxa"/>
            <w:right w:w="15" w:type="dxa"/>
          </w:tblCellMar>
        </w:tblPrEx>
        <w:trPr>
          <w:trHeight w:val="689" w:hRule="atLeast"/>
        </w:trPr>
        <w:tc>
          <w:tcPr>
            <w:tcW w:w="10320"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63" w:hRule="atLeast"/>
        </w:trPr>
        <w:tc>
          <w:tcPr>
            <w:tcW w:w="1710" w:type="dxa"/>
            <w:gridSpan w:val="2"/>
            <w:vAlign w:val="center"/>
          </w:tcPr>
          <w:p>
            <w:pPr>
              <w:rPr>
                <w:rFonts w:ascii="仿宋" w:hAnsi="仿宋" w:eastAsia="仿宋" w:cs="宋体"/>
                <w:color w:val="000000"/>
                <w:sz w:val="16"/>
                <w:szCs w:val="16"/>
              </w:rPr>
            </w:pPr>
          </w:p>
        </w:tc>
        <w:tc>
          <w:tcPr>
            <w:tcW w:w="1516" w:type="dxa"/>
            <w:vAlign w:val="center"/>
          </w:tcPr>
          <w:p>
            <w:pPr>
              <w:rPr>
                <w:rFonts w:ascii="仿宋" w:hAnsi="仿宋" w:eastAsia="仿宋" w:cs="宋体"/>
                <w:color w:val="000000"/>
                <w:sz w:val="16"/>
                <w:szCs w:val="16"/>
              </w:rPr>
            </w:pPr>
          </w:p>
        </w:tc>
        <w:tc>
          <w:tcPr>
            <w:tcW w:w="1160" w:type="dxa"/>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1944"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63" w:hRule="atLeast"/>
        </w:trPr>
        <w:tc>
          <w:tcPr>
            <w:tcW w:w="1710" w:type="dxa"/>
            <w:gridSpan w:val="2"/>
            <w:vAlign w:val="center"/>
          </w:tcPr>
          <w:p>
            <w:pPr>
              <w:rPr>
                <w:rFonts w:ascii="仿宋" w:hAnsi="仿宋" w:eastAsia="仿宋" w:cs="宋体"/>
                <w:color w:val="000000"/>
                <w:sz w:val="16"/>
                <w:szCs w:val="16"/>
              </w:rPr>
            </w:pPr>
          </w:p>
        </w:tc>
        <w:tc>
          <w:tcPr>
            <w:tcW w:w="1516" w:type="dxa"/>
            <w:vAlign w:val="center"/>
          </w:tcPr>
          <w:p>
            <w:pPr>
              <w:rPr>
                <w:rFonts w:ascii="仿宋" w:hAnsi="仿宋" w:eastAsia="仿宋" w:cs="宋体"/>
                <w:color w:val="000000"/>
                <w:sz w:val="16"/>
                <w:szCs w:val="16"/>
              </w:rPr>
            </w:pPr>
          </w:p>
        </w:tc>
        <w:tc>
          <w:tcPr>
            <w:tcW w:w="1160" w:type="dxa"/>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1944"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92" w:hRule="atLeast"/>
        </w:trPr>
        <w:tc>
          <w:tcPr>
            <w:tcW w:w="3226"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3"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72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3"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70" w:hRule="atLeast"/>
        </w:trPr>
        <w:tc>
          <w:tcPr>
            <w:tcW w:w="322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70" w:hRule="atLeast"/>
        </w:trPr>
        <w:tc>
          <w:tcPr>
            <w:tcW w:w="322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hint="eastAsia" w:ascii="仿宋" w:hAnsi="仿宋" w:eastAsia="仿宋" w:cs="宋体"/>
                <w:b/>
                <w:color w:val="000000"/>
                <w:szCs w:val="21"/>
              </w:rPr>
              <w:t>452.4</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Cs w:val="21"/>
              </w:rPr>
            </w:pPr>
            <w:r>
              <w:rPr>
                <w:rFonts w:hint="eastAsia" w:ascii="仿宋" w:hAnsi="仿宋" w:eastAsia="仿宋"/>
                <w:szCs w:val="21"/>
              </w:rPr>
              <w:t>345.1</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Cs w:val="21"/>
              </w:rPr>
            </w:pPr>
            <w:r>
              <w:rPr>
                <w:rFonts w:hint="eastAsia" w:ascii="仿宋" w:hAnsi="仿宋" w:eastAsia="仿宋" w:cs="宋体"/>
                <w:bCs/>
                <w:color w:val="000000"/>
                <w:szCs w:val="21"/>
              </w:rPr>
              <w:t>107.3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2010801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Cs w:val="21"/>
              </w:rPr>
            </w:pPr>
            <w:r>
              <w:rPr>
                <w:rFonts w:hint="eastAsia" w:ascii="仿宋" w:hAnsi="仿宋" w:eastAsia="仿宋"/>
                <w:szCs w:val="21"/>
              </w:rPr>
              <w:t>150</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Cs w:val="21"/>
              </w:rPr>
            </w:pPr>
            <w:r>
              <w:rPr>
                <w:rFonts w:hint="eastAsia" w:ascii="仿宋" w:hAnsi="仿宋" w:eastAsia="仿宋"/>
                <w:szCs w:val="21"/>
              </w:rPr>
              <w:t>150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2010802</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Cs w:val="21"/>
              </w:rPr>
            </w:pPr>
            <w:r>
              <w:rPr>
                <w:rFonts w:hint="eastAsia" w:ascii="仿宋" w:hAnsi="仿宋" w:eastAsia="仿宋"/>
                <w:szCs w:val="21"/>
              </w:rPr>
              <w:t>62.7</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Cs w:val="21"/>
              </w:rPr>
            </w:pPr>
            <w:r>
              <w:rPr>
                <w:rFonts w:hint="eastAsia" w:ascii="仿宋" w:hAnsi="仿宋" w:eastAsia="仿宋"/>
                <w:szCs w:val="21"/>
              </w:rPr>
              <w:t>62.7</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3"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2010803</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机关服务</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Cs w:val="21"/>
              </w:rPr>
            </w:pPr>
            <w:r>
              <w:rPr>
                <w:rFonts w:hint="eastAsia" w:ascii="仿宋" w:hAnsi="仿宋" w:eastAsia="仿宋"/>
                <w:szCs w:val="21"/>
              </w:rPr>
              <w:t>35.6</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Cs w:val="21"/>
              </w:rPr>
            </w:pPr>
            <w:r>
              <w:rPr>
                <w:rFonts w:hint="eastAsia" w:ascii="仿宋" w:hAnsi="仿宋" w:eastAsia="仿宋"/>
                <w:szCs w:val="21"/>
              </w:rPr>
              <w:t>35.6</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3"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2010804</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审计业务</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69.3</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69.3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2010805</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审计管理</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ascii="仿宋" w:hAnsi="仿宋" w:eastAsia="仿宋" w:cs="宋体"/>
                <w:color w:val="000000"/>
                <w:szCs w:val="21"/>
              </w:rPr>
            </w:pPr>
            <w:r>
              <w:rPr>
                <w:rFonts w:hint="eastAsia" w:ascii="仿宋" w:hAnsi="仿宋" w:eastAsia="仿宋" w:cs="宋体"/>
                <w:color w:val="000000"/>
                <w:szCs w:val="21"/>
              </w:rPr>
              <w:t>38</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仿宋" w:hAnsi="仿宋" w:eastAsia="仿宋" w:cs="宋体"/>
                <w:color w:val="000000"/>
                <w:szCs w:val="21"/>
              </w:rPr>
            </w:pPr>
            <w:r>
              <w:rPr>
                <w:rFonts w:hint="eastAsia" w:ascii="仿宋" w:hAnsi="仿宋" w:eastAsia="仿宋" w:cs="宋体"/>
                <w:color w:val="000000"/>
                <w:szCs w:val="21"/>
              </w:rPr>
              <w:t>38</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2010899</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其他审计事务支出</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26</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26</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基本养老保险支出</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34.5</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34.5</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70"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2210201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住房公积金</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20.7</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20.7</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445"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8.2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8.2</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445"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2101102</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事业单位医疗</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24"/>
              </w:rPr>
              <w:t>7.4</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24"/>
              </w:rPr>
              <w:t>7.4</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421" w:hRule="atLeast"/>
        </w:trPr>
        <w:tc>
          <w:tcPr>
            <w:tcW w:w="10320"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b/>
                <w:color w:val="000000"/>
                <w:sz w:val="16"/>
                <w:szCs w:val="16"/>
              </w:rPr>
              <w:t>452.4</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b/>
                <w:color w:val="000000"/>
                <w:sz w:val="16"/>
                <w:szCs w:val="16"/>
              </w:rPr>
              <w:t>452.4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452.4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452.4</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452.4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rPr>
              <w:t>452.4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452.4</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452.4</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452.4</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sz w:val="18"/>
                <w:szCs w:val="18"/>
              </w:rPr>
              <w:t>452.4</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b/>
                <w:color w:val="000000"/>
                <w:sz w:val="18"/>
                <w:szCs w:val="18"/>
              </w:rPr>
            </w:pPr>
            <w:r>
              <w:rPr>
                <w:rFonts w:hint="eastAsia" w:ascii="仿宋" w:hAnsi="仿宋" w:eastAsia="仿宋"/>
                <w:szCs w:val="21"/>
              </w:rPr>
              <w:t>345.1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8"/>
                <w:szCs w:val="18"/>
              </w:rPr>
            </w:pPr>
            <w:r>
              <w:rPr>
                <w:rFonts w:hint="eastAsia" w:ascii="仿宋" w:hAnsi="仿宋" w:eastAsia="仿宋" w:cs="宋体"/>
                <w:bCs/>
                <w:color w:val="000000"/>
                <w:szCs w:val="21"/>
              </w:rPr>
              <w:t>86.7</w:t>
            </w:r>
          </w:p>
        </w:tc>
      </w:tr>
      <w:tr>
        <w:tblPrEx>
          <w:tblLayout w:type="fixed"/>
          <w:tblCellMar>
            <w:top w:w="15" w:type="dxa"/>
            <w:left w:w="15" w:type="dxa"/>
            <w:bottom w:w="15" w:type="dxa"/>
            <w:right w:w="15" w:type="dxa"/>
          </w:tblCellMar>
        </w:tblPrEx>
        <w:trPr>
          <w:gridAfter w:val="1"/>
          <w:wAfter w:w="30" w:type="dxa"/>
          <w:trHeight w:val="362"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2010801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hint="eastAsia" w:ascii="仿宋" w:hAnsi="仿宋" w:eastAsia="仿宋"/>
                <w:szCs w:val="21"/>
              </w:rPr>
              <w:t>150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hint="eastAsia" w:ascii="仿宋" w:hAnsi="仿宋" w:eastAsia="仿宋"/>
                <w:szCs w:val="21"/>
              </w:rPr>
              <w:t>150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hint="eastAsia" w:ascii="仿宋" w:hAnsi="仿宋" w:eastAsia="仿宋"/>
                <w:szCs w:val="21"/>
              </w:rPr>
              <w:t>62.7</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hint="eastAsia" w:ascii="仿宋" w:hAnsi="仿宋" w:eastAsia="仿宋"/>
                <w:szCs w:val="21"/>
              </w:rPr>
              <w:t>62.7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机关服务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hint="eastAsia" w:ascii="仿宋" w:hAnsi="仿宋" w:eastAsia="仿宋"/>
                <w:szCs w:val="21"/>
              </w:rPr>
              <w:t>56.2</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hint="eastAsia" w:ascii="仿宋" w:hAnsi="仿宋" w:eastAsia="仿宋"/>
                <w:szCs w:val="21"/>
              </w:rPr>
              <w:t>56.2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审计业务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Cs w:val="21"/>
              </w:rPr>
              <w:t>58.7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58.7</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审计管理</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ascii="仿宋" w:hAnsi="仿宋" w:eastAsia="仿宋" w:cs="宋体"/>
                <w:color w:val="000000"/>
                <w:sz w:val="16"/>
                <w:szCs w:val="16"/>
              </w:rPr>
            </w:pPr>
            <w:r>
              <w:rPr>
                <w:rFonts w:hint="eastAsia" w:ascii="仿宋" w:hAnsi="仿宋" w:eastAsia="仿宋" w:cs="宋体"/>
                <w:color w:val="000000"/>
                <w:szCs w:val="21"/>
              </w:rPr>
              <w:t>28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28</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2010899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其他审计事务支出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Cs w:val="21"/>
              </w:rPr>
              <w:t>26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Cs w:val="21"/>
              </w:rPr>
              <w:t>26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基本养老保险支出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Cs w:val="21"/>
              </w:rPr>
              <w:t>34.5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Cs w:val="21"/>
              </w:rPr>
              <w:t>34.5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Cs w:val="21"/>
              </w:rPr>
              <w:t>20.7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Cs w:val="21"/>
              </w:rPr>
              <w:t>20.7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86"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Cs w:val="21"/>
              </w:rPr>
              <w:t>8.2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Cs w:val="21"/>
              </w:rPr>
              <w:t>8.2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386"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事业单位医疗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24"/>
              </w:rPr>
              <w:t>7.4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24"/>
              </w:rPr>
              <w:t>7.4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296.1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63.4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16.7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42.2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18.8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2.6</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34.5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基本医疗保险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20.7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6.2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10.2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19.5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86.7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302.3</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150.1</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21.5</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21.5</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21.5</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19.5</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19.5</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19.5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说明：浉河区审计局没有政府性基金收入，也没有使用政府性基金安排的支出，故本表无数据。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浉河区审计局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rPr>
        <w:t>8年度部门预算情况说明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年度收入总计</w:t>
      </w:r>
      <w:r>
        <w:rPr>
          <w:rFonts w:hint="eastAsia" w:ascii="仿宋" w:hAnsi="仿宋" w:eastAsia="仿宋" w:cs="Courier New"/>
          <w:sz w:val="32"/>
          <w:szCs w:val="32"/>
        </w:rPr>
        <w:t>476.8</w:t>
      </w:r>
      <w:r>
        <w:rPr>
          <w:rFonts w:hint="eastAsia" w:ascii="仿宋" w:hAnsi="仿宋" w:eastAsia="仿宋" w:cs="宋体"/>
          <w:sz w:val="32"/>
          <w:szCs w:val="32"/>
        </w:rPr>
        <w:t>万元，支出总计</w:t>
      </w:r>
      <w:r>
        <w:rPr>
          <w:rFonts w:hint="eastAsia" w:ascii="仿宋" w:hAnsi="仿宋" w:eastAsia="仿宋" w:cs="Courier New"/>
          <w:sz w:val="32"/>
          <w:szCs w:val="32"/>
        </w:rPr>
        <w:t>476.8</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年相比，收入</w:t>
      </w:r>
      <w:r>
        <w:rPr>
          <w:rFonts w:hint="eastAsia" w:ascii="仿宋" w:hAnsi="仿宋" w:eastAsia="仿宋" w:cs="Courier New"/>
          <w:sz w:val="32"/>
          <w:szCs w:val="32"/>
        </w:rPr>
        <w:t>增加64.04</w:t>
      </w:r>
      <w:r>
        <w:rPr>
          <w:rFonts w:hint="eastAsia" w:ascii="仿宋" w:hAnsi="仿宋" w:eastAsia="仿宋" w:cs="宋体"/>
          <w:sz w:val="32"/>
          <w:szCs w:val="32"/>
        </w:rPr>
        <w:t>万元，</w:t>
      </w:r>
      <w:r>
        <w:rPr>
          <w:rFonts w:hint="eastAsia" w:ascii="仿宋" w:hAnsi="仿宋" w:eastAsia="仿宋" w:cs="Courier New"/>
          <w:sz w:val="32"/>
          <w:szCs w:val="32"/>
        </w:rPr>
        <w:t>支出增加64.04</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Courier New"/>
          <w:sz w:val="32"/>
          <w:szCs w:val="32"/>
        </w:rPr>
        <w:t>遵照中办、国办部署和审计署的要求，2018年在全国开展领导干部资产、资源离任审计，需要向社会聘请中介审计力量。</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年度收入合计</w:t>
      </w:r>
      <w:r>
        <w:rPr>
          <w:rFonts w:hint="eastAsia" w:ascii="仿宋" w:hAnsi="仿宋" w:eastAsia="仿宋" w:cs="Courier New"/>
          <w:sz w:val="32"/>
          <w:szCs w:val="32"/>
        </w:rPr>
        <w:t>476.8</w:t>
      </w:r>
      <w:r>
        <w:rPr>
          <w:rFonts w:hint="eastAsia" w:ascii="仿宋" w:hAnsi="仿宋" w:eastAsia="仿宋" w:cs="宋体"/>
          <w:sz w:val="32"/>
          <w:szCs w:val="32"/>
        </w:rPr>
        <w:t>万元，其中：财政拨款收入</w:t>
      </w:r>
      <w:r>
        <w:rPr>
          <w:rFonts w:hint="eastAsia" w:ascii="仿宋" w:hAnsi="仿宋" w:eastAsia="仿宋" w:cs="Courier New"/>
          <w:sz w:val="32"/>
          <w:szCs w:val="32"/>
        </w:rPr>
        <w:t>476.8</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年度支出合计</w:t>
      </w:r>
      <w:r>
        <w:rPr>
          <w:rFonts w:hint="eastAsia" w:ascii="仿宋" w:hAnsi="仿宋" w:eastAsia="仿宋" w:cs="Courier New"/>
          <w:sz w:val="32"/>
          <w:szCs w:val="32"/>
        </w:rPr>
        <w:t>476.8</w:t>
      </w:r>
      <w:r>
        <w:rPr>
          <w:rFonts w:hint="eastAsia" w:ascii="仿宋" w:hAnsi="仿宋" w:eastAsia="仿宋" w:cs="宋体"/>
          <w:sz w:val="32"/>
          <w:szCs w:val="32"/>
        </w:rPr>
        <w:t>万元，其中：基本支出</w:t>
      </w:r>
      <w:r>
        <w:rPr>
          <w:rFonts w:hint="eastAsia" w:ascii="仿宋" w:hAnsi="仿宋" w:eastAsia="仿宋" w:cs="Courier New"/>
          <w:sz w:val="32"/>
          <w:szCs w:val="32"/>
        </w:rPr>
        <w:t>390.1</w:t>
      </w:r>
      <w:r>
        <w:rPr>
          <w:rFonts w:hint="eastAsia" w:ascii="仿宋" w:hAnsi="仿宋" w:eastAsia="仿宋" w:cs="宋体"/>
          <w:sz w:val="32"/>
          <w:szCs w:val="32"/>
        </w:rPr>
        <w:t>万元，占</w:t>
      </w:r>
      <w:r>
        <w:rPr>
          <w:rFonts w:hint="eastAsia" w:ascii="仿宋" w:hAnsi="仿宋" w:eastAsia="仿宋" w:cs="Courier New"/>
          <w:sz w:val="32"/>
          <w:szCs w:val="32"/>
        </w:rPr>
        <w:t>81</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86.7</w:t>
      </w:r>
      <w:r>
        <w:rPr>
          <w:rFonts w:hint="eastAsia" w:ascii="仿宋" w:hAnsi="仿宋" w:eastAsia="仿宋" w:cs="宋体"/>
          <w:sz w:val="32"/>
          <w:szCs w:val="32"/>
        </w:rPr>
        <w:t>万元，占</w:t>
      </w:r>
      <w:r>
        <w:rPr>
          <w:rFonts w:hint="eastAsia" w:ascii="仿宋" w:hAnsi="仿宋" w:eastAsia="仿宋" w:cs="Courier New"/>
          <w:sz w:val="32"/>
          <w:szCs w:val="32"/>
        </w:rPr>
        <w:t>19</w:t>
      </w:r>
      <w:r>
        <w:rPr>
          <w:rFonts w:ascii="仿宋" w:hAnsi="仿宋" w:eastAsia="仿宋" w:cs="Courier New"/>
          <w:sz w:val="32"/>
          <w:szCs w:val="32"/>
        </w:rPr>
        <w:t>%</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476.8</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增加64.04</w:t>
      </w:r>
      <w:r>
        <w:rPr>
          <w:rFonts w:hint="eastAsia" w:ascii="仿宋" w:hAnsi="仿宋" w:eastAsia="仿宋" w:cs="宋体"/>
          <w:sz w:val="32"/>
          <w:szCs w:val="32"/>
        </w:rPr>
        <w:t>万元，</w:t>
      </w:r>
      <w:r>
        <w:rPr>
          <w:rFonts w:hint="eastAsia" w:ascii="仿宋" w:hAnsi="仿宋" w:eastAsia="仿宋" w:cs="Courier New"/>
          <w:sz w:val="32"/>
          <w:szCs w:val="32"/>
        </w:rPr>
        <w:t>因为开展领导干部资产、资源审计需要增加专业审计人员，需要向社会聘请中介审计力量。</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五、关于基本支出和项目支出</w:t>
      </w:r>
      <w:r>
        <w:rPr>
          <w:rFonts w:hint="eastAsia" w:ascii="仿宋" w:hAnsi="仿宋" w:eastAsia="仿宋" w:cs="宋体"/>
          <w:b/>
          <w:color w:val="000000"/>
          <w:kern w:val="0"/>
          <w:sz w:val="32"/>
          <w:szCs w:val="32"/>
        </w:rPr>
        <w:t>预</w:t>
      </w:r>
      <w:r>
        <w:rPr>
          <w:rFonts w:hint="eastAsia" w:ascii="仿宋" w:hAnsi="仿宋" w:eastAsia="仿宋"/>
          <w:sz w:val="32"/>
          <w:szCs w:val="32"/>
        </w:rPr>
        <w:t>算情况说明</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w:t>
      </w:r>
      <w:r>
        <w:rPr>
          <w:rFonts w:hint="eastAsia" w:ascii="仿宋" w:hAnsi="仿宋" w:eastAsia="仿宋" w:cs="宋体"/>
          <w:bCs/>
          <w:color w:val="000000"/>
          <w:kern w:val="0"/>
          <w:sz w:val="32"/>
          <w:szCs w:val="32"/>
        </w:rPr>
        <w:t>基本支出支出</w:t>
      </w:r>
      <w:r>
        <w:rPr>
          <w:rFonts w:hint="eastAsia" w:ascii="仿宋" w:hAnsi="仿宋" w:eastAsia="仿宋" w:cs="Courier New"/>
          <w:bCs/>
          <w:sz w:val="32"/>
          <w:szCs w:val="32"/>
        </w:rPr>
        <w:t>390.1</w:t>
      </w:r>
      <w:r>
        <w:rPr>
          <w:rFonts w:hint="eastAsia" w:ascii="仿宋" w:hAnsi="仿宋" w:eastAsia="仿宋" w:cs="宋体"/>
          <w:bCs/>
          <w:sz w:val="32"/>
          <w:szCs w:val="32"/>
        </w:rPr>
        <w:t>万元，占支出合计的</w:t>
      </w:r>
      <w:r>
        <w:rPr>
          <w:rFonts w:hint="eastAsia" w:ascii="仿宋" w:hAnsi="仿宋" w:eastAsia="仿宋" w:cs="Courier New"/>
          <w:bCs/>
          <w:sz w:val="32"/>
          <w:szCs w:val="32"/>
        </w:rPr>
        <w:t>81</w:t>
      </w:r>
      <w:r>
        <w:rPr>
          <w:rFonts w:ascii="仿宋" w:hAnsi="仿宋" w:eastAsia="仿宋" w:cs="Courier New"/>
          <w:bCs/>
          <w:sz w:val="32"/>
          <w:szCs w:val="32"/>
        </w:rPr>
        <w:t>%</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rPr>
        <w:t>7</w:t>
      </w:r>
      <w:r>
        <w:rPr>
          <w:rFonts w:hint="eastAsia" w:ascii="仿宋" w:hAnsi="仿宋" w:eastAsia="仿宋" w:cs="宋体"/>
          <w:bCs/>
          <w:sz w:val="32"/>
          <w:szCs w:val="32"/>
        </w:rPr>
        <w:t>年相比，</w:t>
      </w:r>
      <w:r>
        <w:rPr>
          <w:rFonts w:hint="eastAsia" w:ascii="仿宋" w:hAnsi="仿宋" w:eastAsia="仿宋" w:cs="宋体"/>
          <w:bCs/>
          <w:color w:val="000000"/>
          <w:kern w:val="0"/>
          <w:sz w:val="32"/>
          <w:szCs w:val="32"/>
        </w:rPr>
        <w:t>支出</w:t>
      </w:r>
      <w:r>
        <w:rPr>
          <w:rFonts w:hint="eastAsia" w:ascii="仿宋" w:hAnsi="仿宋" w:eastAsia="仿宋" w:cs="Courier New"/>
          <w:sz w:val="32"/>
          <w:szCs w:val="32"/>
        </w:rPr>
        <w:t>增加56</w:t>
      </w:r>
      <w:r>
        <w:rPr>
          <w:rFonts w:hint="eastAsia" w:ascii="仿宋" w:hAnsi="仿宋" w:eastAsia="仿宋" w:cs="宋体"/>
          <w:sz w:val="32"/>
          <w:szCs w:val="32"/>
        </w:rPr>
        <w:t>万元，</w:t>
      </w:r>
      <w:r>
        <w:rPr>
          <w:rFonts w:hint="eastAsia" w:ascii="仿宋" w:hAnsi="仿宋" w:eastAsia="仿宋" w:cs="Courier New"/>
          <w:sz w:val="32"/>
          <w:szCs w:val="32"/>
        </w:rPr>
        <w:t>上浮15</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因为购买服务、聘任审计人员增大。</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hint="eastAsia" w:ascii="仿宋" w:hAnsi="仿宋" w:eastAsia="仿宋" w:cs="宋体"/>
          <w:bCs/>
          <w:color w:val="000000"/>
          <w:kern w:val="0"/>
          <w:sz w:val="32"/>
          <w:szCs w:val="32"/>
        </w:rPr>
        <w:t>基本（项目）等支出</w:t>
      </w:r>
      <w:r>
        <w:rPr>
          <w:rFonts w:hint="eastAsia" w:ascii="仿宋" w:hAnsi="仿宋" w:eastAsia="仿宋" w:cs="Courier New"/>
          <w:bCs/>
          <w:sz w:val="32"/>
          <w:szCs w:val="32"/>
        </w:rPr>
        <w:t>476.8</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rPr>
        <w:t>293.3</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主要包括：基本工资、津贴补贴、绩效工资、机关事业单位基本养老保险缴费、职业年金缴费、基本医疗保险缴费、其他工资福利支出、住房公积金、其他对个人和家庭的补助支出；</w:t>
      </w:r>
      <w:r>
        <w:rPr>
          <w:rFonts w:hint="eastAsia" w:ascii="仿宋" w:hAnsi="仿宋" w:eastAsia="仿宋" w:cs="宋体"/>
          <w:b/>
          <w:spacing w:val="-1"/>
          <w:kern w:val="0"/>
          <w:sz w:val="32"/>
          <w:szCs w:val="32"/>
        </w:rPr>
        <w:t>公用经费</w:t>
      </w:r>
      <w:r>
        <w:rPr>
          <w:rFonts w:hint="eastAsia" w:ascii="仿宋" w:hAnsi="仿宋" w:eastAsia="仿宋" w:cs="??_GB2312"/>
          <w:spacing w:val="-2"/>
          <w:kern w:val="0"/>
          <w:sz w:val="32"/>
          <w:szCs w:val="32"/>
        </w:rPr>
        <w:t>183.5</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，主要包括：办公费、印刷费、水费、电费、邮电费、物业管理费、差旅费、维修(护)费、会议费、公务接待费、劳务费、委托业务费、工会经费、其他交通费用、其他商品和服务支出。</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19.5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19.5</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按逐年递减比去年减少10%</w:t>
      </w:r>
      <w:r>
        <w:rPr>
          <w:rFonts w:hint="eastAsia" w:ascii="仿宋" w:hAnsi="仿宋" w:eastAsia="仿宋" w:cs="Courier New"/>
          <w:sz w:val="32"/>
          <w:szCs w:val="32"/>
        </w:rPr>
        <w:t>。</w:t>
      </w:r>
      <w:r>
        <w:rPr>
          <w:rFonts w:hint="eastAsia" w:ascii="仿宋" w:hAnsi="仿宋" w:eastAsia="仿宋" w:cs="宋体"/>
          <w:sz w:val="32"/>
          <w:szCs w:val="32"/>
        </w:rPr>
        <w:t>减少的主要原因是，现在公务接待的标准是同城不吃饭，禁止使用高档烟酒，禁止出入高档酒店进行招待，大大减少了公务接待费用。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19.5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sz w:val="32"/>
          <w:szCs w:val="32"/>
        </w:rPr>
        <w:t>公务用车购置及运行费</w:t>
      </w:r>
      <w:r>
        <w:rPr>
          <w:rFonts w:hint="eastAsia" w:ascii="仿宋" w:hAnsi="仿宋" w:eastAsia="仿宋" w:cs="宋体"/>
          <w:sz w:val="32"/>
          <w:szCs w:val="32"/>
        </w:rPr>
        <w:t>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sz w:val="32"/>
          <w:szCs w:val="32"/>
        </w:rPr>
        <w:t>公务用车购置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sz w:val="32"/>
          <w:szCs w:val="32"/>
        </w:rPr>
        <w:t>公务用车</w:t>
      </w:r>
      <w:r>
        <w:rPr>
          <w:rFonts w:hint="eastAsia" w:ascii="仿宋" w:hAnsi="仿宋" w:eastAsia="仿宋" w:cs="宋体"/>
          <w:b/>
          <w:bCs/>
          <w:sz w:val="32"/>
          <w:szCs w:val="32"/>
        </w:rPr>
        <w:t>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现有公务用车0辆</w:t>
      </w:r>
      <w:r>
        <w:rPr>
          <w:rFonts w:hint="eastAsia" w:ascii="仿宋" w:hAnsi="仿宋" w:eastAsia="仿宋" w:cs="宋体"/>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19.5</w:t>
      </w:r>
      <w:r>
        <w:rPr>
          <w:rFonts w:hint="eastAsia" w:ascii="仿宋" w:hAnsi="仿宋" w:eastAsia="仿宋" w:cs="宋体"/>
          <w:sz w:val="32"/>
          <w:szCs w:val="32"/>
        </w:rPr>
        <w:t>万元。其中：主要用于区审计局日常的公务接待。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206.5</w:t>
      </w:r>
      <w:r>
        <w:rPr>
          <w:rFonts w:hint="eastAsia" w:ascii="仿宋" w:hAnsi="仿宋" w:eastAsia="仿宋" w:cs="宋体"/>
          <w:sz w:val="32"/>
          <w:szCs w:val="32"/>
        </w:rPr>
        <w:t>万元。</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浉河区审计局2018年没有开展项目预算绩效评价。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kern w:val="0"/>
          <w:sz w:val="32"/>
          <w:szCs w:val="32"/>
        </w:rPr>
      </w:pPr>
      <w:r>
        <w:rPr>
          <w:rFonts w:hint="eastAsia" w:ascii="仿宋" w:hAnsi="仿宋" w:eastAsia="仿宋"/>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年，区</w:t>
      </w:r>
      <w:r>
        <w:rPr>
          <w:rFonts w:hint="eastAsia" w:ascii="仿宋" w:hAnsi="仿宋" w:eastAsia="仿宋" w:cs="Courier New"/>
          <w:sz w:val="32"/>
          <w:szCs w:val="32"/>
        </w:rPr>
        <w:t>审计局</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一、一般公共预算拨款收入：指区财政当年拨付的资金。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二、事业收入：指单位开展专业业务活动及辅助活动所取得的收入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三、上年结转：指以前年度尚未完成、结转到本年仍按原规定用途继续使用的资金。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四、基本支出：指审计局为保障机构正常运转、完成日常工作任务所必需的人员经费和日常公用经费。</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五、项目支出：指审计局在基本支出之外，为完成特定的行政工作任务或事业发展目标所发生的支出。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六、结转下年：指以前年度预算安排、因客观条件发生变化 无法按原计划实施，需延迟到以后年度按原规定用途继续使用的 资金。</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七、一般公共服务支出： 指审计局行政单位用于保障机构正常运转、完成日常工作任务安排的支出，开展经常性专项业务活动、用于计算机及网络运行维护、设备更新 购置、办公用房及设备维护修缮等方面的支出。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审计局按照审计纪律“八不准”的规定，开展审计、 专项审计调查、聘请社会审计组织人员及技术专家等方面的支出 （含按规定支出的城市间交通费、市内交通费、住宿费和伙食费补助）。</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审计局用于审计课题研究、审计宣传、审计结果公告、审计法 制建设、审计业务质量控制等方面的支出。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 xml:space="preserve"> 八、</w:t>
      </w:r>
      <w:r>
        <w:rPr>
          <w:rFonts w:hint="eastAsia" w:ascii="仿宋" w:hAnsi="仿宋" w:eastAsia="仿宋" w:cs="仿宋"/>
          <w:b/>
          <w:bCs/>
          <w:sz w:val="32"/>
          <w:szCs w:val="32"/>
        </w:rPr>
        <w:t>“三公”经费：</w:t>
      </w:r>
      <w:r>
        <w:rPr>
          <w:rFonts w:hint="eastAsia" w:ascii="仿宋" w:hAnsi="仿宋" w:eastAsia="仿宋" w:cs="仿宋"/>
          <w:sz w:val="32"/>
          <w:szCs w:val="32"/>
        </w:rPr>
        <w:t>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九、机关运行经费：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F9B1B46"/>
    <w:multiLevelType w:val="singleLevel"/>
    <w:tmpl w:val="5F9B1B46"/>
    <w:lvl w:ilvl="0" w:tentative="0">
      <w:start w:val="1"/>
      <w:numFmt w:val="chineseCounting"/>
      <w:suff w:val="nothing"/>
      <w:lvlText w:val="（%1）"/>
      <w:lvlJc w:val="left"/>
      <w:rPr>
        <w:rFonts w:hint="eastAsia"/>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E0B75"/>
    <w:rsid w:val="000E35F0"/>
    <w:rsid w:val="00132E43"/>
    <w:rsid w:val="00145344"/>
    <w:rsid w:val="001679DD"/>
    <w:rsid w:val="00170110"/>
    <w:rsid w:val="0017112E"/>
    <w:rsid w:val="00172A27"/>
    <w:rsid w:val="001D3FB5"/>
    <w:rsid w:val="00217A0C"/>
    <w:rsid w:val="002A0AE7"/>
    <w:rsid w:val="002A721A"/>
    <w:rsid w:val="002D0B27"/>
    <w:rsid w:val="00334951"/>
    <w:rsid w:val="00336FCB"/>
    <w:rsid w:val="00376170"/>
    <w:rsid w:val="00402C74"/>
    <w:rsid w:val="004213CC"/>
    <w:rsid w:val="004C11C3"/>
    <w:rsid w:val="004D36BB"/>
    <w:rsid w:val="004F3C7C"/>
    <w:rsid w:val="0050293C"/>
    <w:rsid w:val="00503F16"/>
    <w:rsid w:val="005E126E"/>
    <w:rsid w:val="00630D31"/>
    <w:rsid w:val="006722F4"/>
    <w:rsid w:val="006E0C9D"/>
    <w:rsid w:val="006F22F7"/>
    <w:rsid w:val="007115FD"/>
    <w:rsid w:val="00731FE8"/>
    <w:rsid w:val="00743248"/>
    <w:rsid w:val="00787823"/>
    <w:rsid w:val="007956F5"/>
    <w:rsid w:val="007B72EA"/>
    <w:rsid w:val="007F7F87"/>
    <w:rsid w:val="009B6CAD"/>
    <w:rsid w:val="009C5CAF"/>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05B5A"/>
    <w:rsid w:val="00D9092F"/>
    <w:rsid w:val="00DB1C77"/>
    <w:rsid w:val="00DD5457"/>
    <w:rsid w:val="00DD6298"/>
    <w:rsid w:val="00E21B07"/>
    <w:rsid w:val="00E32E02"/>
    <w:rsid w:val="00E8190D"/>
    <w:rsid w:val="00E92067"/>
    <w:rsid w:val="00ED38A5"/>
    <w:rsid w:val="00ED44BB"/>
    <w:rsid w:val="00EE6AA4"/>
    <w:rsid w:val="00F85BF5"/>
    <w:rsid w:val="00F92F65"/>
    <w:rsid w:val="00FB0B96"/>
    <w:rsid w:val="00FC2843"/>
    <w:rsid w:val="01F21A60"/>
    <w:rsid w:val="026651AD"/>
    <w:rsid w:val="027033B1"/>
    <w:rsid w:val="0286013C"/>
    <w:rsid w:val="03240ECA"/>
    <w:rsid w:val="04453648"/>
    <w:rsid w:val="07F31BEE"/>
    <w:rsid w:val="084D7413"/>
    <w:rsid w:val="08A93228"/>
    <w:rsid w:val="08FB3159"/>
    <w:rsid w:val="09BB2134"/>
    <w:rsid w:val="0C366EEC"/>
    <w:rsid w:val="0E4E756F"/>
    <w:rsid w:val="0EB26B5F"/>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3156A52"/>
    <w:rsid w:val="254B33D1"/>
    <w:rsid w:val="256D2254"/>
    <w:rsid w:val="27507D70"/>
    <w:rsid w:val="27C9289C"/>
    <w:rsid w:val="29621C7E"/>
    <w:rsid w:val="2983760E"/>
    <w:rsid w:val="29B13F52"/>
    <w:rsid w:val="29ED2241"/>
    <w:rsid w:val="2ACE51FA"/>
    <w:rsid w:val="2B5F7284"/>
    <w:rsid w:val="2BA4769A"/>
    <w:rsid w:val="2C654BE7"/>
    <w:rsid w:val="2C8F6BCF"/>
    <w:rsid w:val="2CC075DB"/>
    <w:rsid w:val="2CD06EF4"/>
    <w:rsid w:val="2D9D4DA5"/>
    <w:rsid w:val="2DBF18D1"/>
    <w:rsid w:val="2F47056C"/>
    <w:rsid w:val="2FB773B6"/>
    <w:rsid w:val="307652F7"/>
    <w:rsid w:val="31B30DB0"/>
    <w:rsid w:val="325F6EF2"/>
    <w:rsid w:val="32EF005E"/>
    <w:rsid w:val="32EF40CE"/>
    <w:rsid w:val="33A76F4E"/>
    <w:rsid w:val="34416F30"/>
    <w:rsid w:val="364D690A"/>
    <w:rsid w:val="36FA2471"/>
    <w:rsid w:val="372974AC"/>
    <w:rsid w:val="38262F47"/>
    <w:rsid w:val="39637962"/>
    <w:rsid w:val="39765334"/>
    <w:rsid w:val="39967F15"/>
    <w:rsid w:val="3AD214AF"/>
    <w:rsid w:val="3AE7177F"/>
    <w:rsid w:val="3C5769C0"/>
    <w:rsid w:val="3EA437AD"/>
    <w:rsid w:val="3EEE22CD"/>
    <w:rsid w:val="3F081D17"/>
    <w:rsid w:val="3FCD07F4"/>
    <w:rsid w:val="41CF71DE"/>
    <w:rsid w:val="42271DDB"/>
    <w:rsid w:val="42563EC6"/>
    <w:rsid w:val="43E82B9D"/>
    <w:rsid w:val="457B1C96"/>
    <w:rsid w:val="45FD3DEB"/>
    <w:rsid w:val="468900BD"/>
    <w:rsid w:val="46F559ED"/>
    <w:rsid w:val="477D716C"/>
    <w:rsid w:val="48B52937"/>
    <w:rsid w:val="48C00F7D"/>
    <w:rsid w:val="48EE3EF3"/>
    <w:rsid w:val="4B2D55EB"/>
    <w:rsid w:val="4C1E2F28"/>
    <w:rsid w:val="4DA61D80"/>
    <w:rsid w:val="4DE20C7C"/>
    <w:rsid w:val="4F6A6586"/>
    <w:rsid w:val="50C2787A"/>
    <w:rsid w:val="5115239B"/>
    <w:rsid w:val="541D6A82"/>
    <w:rsid w:val="544677EE"/>
    <w:rsid w:val="55EA1009"/>
    <w:rsid w:val="5651051D"/>
    <w:rsid w:val="56EB602D"/>
    <w:rsid w:val="57E961A8"/>
    <w:rsid w:val="581E77CF"/>
    <w:rsid w:val="58B06254"/>
    <w:rsid w:val="5AF25131"/>
    <w:rsid w:val="5BCA31AA"/>
    <w:rsid w:val="5C0F3375"/>
    <w:rsid w:val="5D5C1FAD"/>
    <w:rsid w:val="5DD56AC2"/>
    <w:rsid w:val="5DE308B8"/>
    <w:rsid w:val="5E321352"/>
    <w:rsid w:val="5E886EBD"/>
    <w:rsid w:val="5EB57926"/>
    <w:rsid w:val="5ECF3FA4"/>
    <w:rsid w:val="5F130DE5"/>
    <w:rsid w:val="5F964892"/>
    <w:rsid w:val="5FB578F9"/>
    <w:rsid w:val="600176AC"/>
    <w:rsid w:val="608E7ED7"/>
    <w:rsid w:val="60B8378D"/>
    <w:rsid w:val="60F22670"/>
    <w:rsid w:val="617A16DC"/>
    <w:rsid w:val="61C94A3F"/>
    <w:rsid w:val="623B3345"/>
    <w:rsid w:val="627A693C"/>
    <w:rsid w:val="627F5F9E"/>
    <w:rsid w:val="62D27395"/>
    <w:rsid w:val="63FC5C35"/>
    <w:rsid w:val="652D7CD8"/>
    <w:rsid w:val="664A46E0"/>
    <w:rsid w:val="6796775E"/>
    <w:rsid w:val="67D84ED8"/>
    <w:rsid w:val="68500770"/>
    <w:rsid w:val="685D2A77"/>
    <w:rsid w:val="686B0051"/>
    <w:rsid w:val="687C156E"/>
    <w:rsid w:val="68E95CA0"/>
    <w:rsid w:val="68F315DE"/>
    <w:rsid w:val="69F84494"/>
    <w:rsid w:val="6ABB6698"/>
    <w:rsid w:val="6AC30185"/>
    <w:rsid w:val="6DC12C15"/>
    <w:rsid w:val="6E965A90"/>
    <w:rsid w:val="6F2D14A1"/>
    <w:rsid w:val="6FDF24CC"/>
    <w:rsid w:val="6FF6206A"/>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43551-4503-4832-B0D7-DB692566005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1389</Words>
  <Characters>7922</Characters>
  <Lines>66</Lines>
  <Paragraphs>18</Paragraphs>
  <TotalTime>0</TotalTime>
  <ScaleCrop>false</ScaleCrop>
  <LinksUpToDate>false</LinksUpToDate>
  <CharactersWithSpaces>9293</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2019-02-13T07:25:32Z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