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firstLine="3120" w:firstLineChars="600"/>
        <w:rPr>
          <w:rFonts w:ascii="仿宋_GB2312" w:hAnsi="仿宋_GB2312" w:eastAsia="仿宋_GB2312" w:cs="仿宋_GB2312"/>
          <w:sz w:val="44"/>
          <w:szCs w:val="44"/>
        </w:rPr>
      </w:pPr>
      <w:r>
        <w:rPr>
          <w:rFonts w:hint="eastAsia" w:ascii="隶书" w:hAnsi="隶书" w:eastAsia="隶书" w:cs="隶书"/>
          <w:sz w:val="52"/>
          <w:szCs w:val="52"/>
        </w:rPr>
        <w:t>区审计局</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 周进          联系方式：0376-6652310</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区审计局概况</w:t>
      </w:r>
    </w:p>
    <w:p>
      <w:pPr>
        <w:jc w:val="left"/>
        <w:rPr>
          <w:rFonts w:ascii="宋体" w:hAnsi="宋体" w:eastAsia="宋体" w:cs="宋体"/>
          <w:sz w:val="32"/>
          <w:szCs w:val="32"/>
        </w:rPr>
      </w:pPr>
      <w:r>
        <w:rPr>
          <w:rFonts w:hint="eastAsia" w:ascii="宋体" w:hAnsi="宋体" w:eastAsia="宋体" w:cs="宋体"/>
          <w:sz w:val="32"/>
          <w:szCs w:val="32"/>
        </w:rPr>
        <w:t>一、机构设置</w:t>
      </w:r>
    </w:p>
    <w:p>
      <w:pPr>
        <w:jc w:val="left"/>
        <w:rPr>
          <w:rFonts w:ascii="宋体" w:hAnsi="宋体" w:eastAsia="宋体" w:cs="宋体"/>
          <w:sz w:val="32"/>
          <w:szCs w:val="32"/>
        </w:rPr>
      </w:pPr>
      <w:r>
        <w:rPr>
          <w:rFonts w:hint="eastAsia" w:ascii="宋体" w:hAnsi="宋体" w:eastAsia="宋体" w:cs="宋体"/>
          <w:sz w:val="32"/>
          <w:szCs w:val="32"/>
        </w:rPr>
        <w:t>二、主要职能</w:t>
      </w:r>
    </w:p>
    <w:p>
      <w:pPr>
        <w:jc w:val="left"/>
        <w:rPr>
          <w:rFonts w:ascii="宋体" w:hAnsi="宋体" w:eastAsia="宋体" w:cs="宋体"/>
          <w:sz w:val="32"/>
          <w:szCs w:val="32"/>
        </w:rPr>
      </w:pPr>
      <w:r>
        <w:rPr>
          <w:rFonts w:hint="eastAsia" w:ascii="宋体" w:hAnsi="宋体" w:eastAsia="宋体" w:cs="宋体"/>
          <w:sz w:val="32"/>
          <w:szCs w:val="32"/>
        </w:rPr>
        <w:t>三、部门决算单位构成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区审计局2017年度部门决算情况说明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区审计局概况</w:t>
      </w:r>
    </w:p>
    <w:p>
      <w:pPr>
        <w:spacing w:line="360" w:lineRule="auto"/>
        <w:ind w:left="420" w:leftChars="200"/>
        <w:jc w:val="left"/>
        <w:outlineLvl w:val="1"/>
        <w:rPr>
          <w:rFonts w:ascii="黑体" w:hAnsi="黑体" w:eastAsia="黑体" w:cs="黑体"/>
          <w:sz w:val="32"/>
          <w:szCs w:val="32"/>
        </w:rPr>
      </w:pPr>
      <w:r>
        <w:rPr>
          <w:rFonts w:hint="eastAsia" w:ascii="黑体" w:hAnsi="黑体" w:eastAsia="黑体" w:cs="黑体"/>
          <w:sz w:val="32"/>
          <w:szCs w:val="32"/>
        </w:rPr>
        <w:t>一、机构设置</w:t>
      </w:r>
    </w:p>
    <w:p>
      <w:pPr>
        <w:spacing w:line="360" w:lineRule="auto"/>
        <w:ind w:firstLine="640" w:firstLineChars="200"/>
        <w:jc w:val="left"/>
        <w:outlineLvl w:val="1"/>
        <w:rPr>
          <w:rFonts w:ascii="Microsoft YaHei" w:hAnsi="Microsoft YaHei" w:eastAsia="Microsoft YaHei" w:cs="Microsoft YaHei"/>
          <w:color w:val="000000"/>
          <w:sz w:val="32"/>
          <w:szCs w:val="32"/>
        </w:rPr>
      </w:pPr>
      <w:r>
        <w:rPr>
          <w:rFonts w:ascii="Microsoft YaHei" w:hAnsi="Microsoft YaHei" w:eastAsia="Microsoft YaHei" w:cs="Microsoft YaHei"/>
          <w:color w:val="000000"/>
          <w:sz w:val="32"/>
          <w:szCs w:val="32"/>
        </w:rPr>
        <w:t>根据《关于印发浉河区审计局主要职责内设机构和人员编制规定的通知》（浉编【2010】19号），区机构编制委员会批准区审计局内设8个股室，即办公室（电子政务办公室）、法规股、财政金融审计股、行政事业审计股、固定资产投资审计股、工商企业审计股、社会保障审计股、经济责任审计办公室。</w:t>
      </w:r>
    </w:p>
    <w:p>
      <w:pPr>
        <w:spacing w:line="360" w:lineRule="auto"/>
        <w:ind w:firstLine="640" w:firstLineChars="200"/>
        <w:jc w:val="left"/>
        <w:outlineLvl w:val="1"/>
        <w:rPr>
          <w:rFonts w:hint="eastAsia" w:ascii="Microsoft YaHei" w:hAnsi="Microsoft YaHei" w:eastAsia="宋体" w:cs="Microsoft YaHei"/>
          <w:color w:val="000000"/>
          <w:sz w:val="32"/>
          <w:szCs w:val="32"/>
        </w:rPr>
      </w:pPr>
      <w:r>
        <w:rPr>
          <w:rFonts w:ascii="Microsoft YaHei" w:hAnsi="Microsoft YaHei" w:eastAsia="Microsoft YaHei" w:cs="Microsoft YaHei"/>
          <w:color w:val="000000"/>
          <w:sz w:val="32"/>
          <w:szCs w:val="32"/>
        </w:rPr>
        <w:t>截至2017年12月末，共有编制人数47人，其中：行政编制30人，事业编制16人，工勤人员1人。实有人数32人，其中：在职人员32人，退休人员15人.</w:t>
      </w:r>
    </w:p>
    <w:p>
      <w:pPr>
        <w:spacing w:line="360" w:lineRule="auto"/>
        <w:ind w:left="420" w:leftChars="200"/>
        <w:jc w:val="left"/>
        <w:outlineLvl w:val="1"/>
        <w:rPr>
          <w:rFonts w:ascii="黑体" w:hAnsi="黑体" w:eastAsia="黑体" w:cs="黑体"/>
          <w:sz w:val="32"/>
          <w:szCs w:val="32"/>
        </w:rPr>
      </w:pPr>
      <w:r>
        <w:rPr>
          <w:rFonts w:hint="eastAsia" w:ascii="黑体" w:hAnsi="黑体" w:eastAsia="黑体" w:cs="黑体"/>
          <w:sz w:val="32"/>
          <w:szCs w:val="32"/>
        </w:rPr>
        <w:t>二、主要职能</w:t>
      </w:r>
    </w:p>
    <w:p>
      <w:pPr>
        <w:widowControl/>
        <w:numPr>
          <w:ilvl w:val="0"/>
          <w:numId w:val="1"/>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主管全区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numPr>
          <w:ilvl w:val="0"/>
          <w:numId w:val="1"/>
        </w:numPr>
        <w:spacing w:line="600" w:lineRule="atLeast"/>
        <w:ind w:firstLine="640" w:firstLineChars="200"/>
        <w:jc w:val="left"/>
        <w:textAlignment w:val="top"/>
        <w:rPr>
          <w:rFonts w:ascii="仿宋" w:hAnsi="仿宋" w:eastAsia="仿宋"/>
          <w:color w:val="333333"/>
          <w:sz w:val="32"/>
          <w:szCs w:val="32"/>
        </w:rPr>
      </w:pPr>
      <w:r>
        <w:rPr>
          <w:rFonts w:hint="eastAsia" w:ascii="仿宋" w:hAnsi="仿宋" w:eastAsia="仿宋"/>
          <w:color w:val="333333"/>
          <w:sz w:val="32"/>
          <w:szCs w:val="32"/>
        </w:rPr>
        <w:t>、贯彻执行国家和省、市审计工作的法律法规和方针政策，参与起草审计、财经方面的地方性法规、规章草案，制定审计规章制度并监督执行，制定并组织实施审计工作发展规划和专业领域审计工作规划，制定并组织实施年度审计计划。对直接审计、调查和核查的事项依法进行审计评价，作出审计决定或提出审计建议。</w:t>
      </w:r>
    </w:p>
    <w:p>
      <w:pPr>
        <w:widowControl/>
        <w:numPr>
          <w:ilvl w:val="0"/>
          <w:numId w:val="1"/>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向区政府提交年度区级决算执行和其他财政收支的审计结果报告。受区政府委托向区人大常委会提交区级决算执行和其他财政收支情况的审计工作报告、审计发现问题的纠正和处理结果报告。向区政府报告其他事项专项审计调查情况及结果。依法向社会公布审计结果。向区政府有关部门通报审计情况和审计结果。</w:t>
      </w:r>
    </w:p>
    <w:p>
      <w:pPr>
        <w:widowControl/>
        <w:numPr>
          <w:ilvl w:val="0"/>
          <w:numId w:val="1"/>
        </w:numPr>
        <w:spacing w:line="600" w:lineRule="atLeast"/>
        <w:ind w:firstLine="640" w:firstLineChars="200"/>
        <w:jc w:val="left"/>
        <w:textAlignment w:val="top"/>
        <w:rPr>
          <w:rFonts w:ascii="仿宋" w:hAnsi="仿宋" w:eastAsia="仿宋" w:cs="宋体"/>
          <w:sz w:val="32"/>
          <w:szCs w:val="32"/>
        </w:rPr>
      </w:pPr>
      <w:r>
        <w:rPr>
          <w:rFonts w:hint="eastAsia" w:ascii="仿宋" w:hAnsi="仿宋" w:eastAsia="仿宋"/>
          <w:color w:val="333333"/>
          <w:sz w:val="32"/>
          <w:szCs w:val="32"/>
        </w:rPr>
        <w:t>、是在法定职权范围内作出审计决定或向有关主管部门提出处罚的意见。</w:t>
      </w:r>
    </w:p>
    <w:p>
      <w:pPr>
        <w:spacing w:line="360" w:lineRule="auto"/>
        <w:jc w:val="left"/>
        <w:outlineLvl w:val="1"/>
        <w:rPr>
          <w:rFonts w:ascii="黑体" w:hAnsi="黑体" w:eastAsia="黑体" w:cs="黑体"/>
          <w:sz w:val="32"/>
          <w:szCs w:val="32"/>
        </w:rPr>
      </w:pPr>
      <w:r>
        <w:rPr>
          <w:rFonts w:hint="eastAsia" w:ascii="黑体" w:hAnsi="黑体" w:eastAsia="黑体" w:cs="黑体"/>
          <w:sz w:val="32"/>
          <w:szCs w:val="32"/>
        </w:rPr>
        <w:t>三、部门决算单位构成</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纳入区审计局2017年度部门决算编制范围的单位包括区审计局本级</w:t>
      </w:r>
      <w:r>
        <w:rPr>
          <w:rFonts w:hint="eastAsia" w:ascii="仿宋_GB2312" w:hAnsi="仿宋_GB2312" w:eastAsia="仿宋_GB2312" w:cs="仿宋_GB2312"/>
          <w:sz w:val="32"/>
          <w:szCs w:val="32"/>
          <w:lang w:eastAsia="zh-CN"/>
        </w:rPr>
        <w:t>，</w:t>
      </w:r>
      <w:bookmarkStart w:id="0" w:name="_GoBack"/>
      <w:r>
        <w:rPr>
          <w:rFonts w:hint="eastAsia" w:ascii="仿宋_GB2312" w:hAnsi="仿宋_GB2312" w:eastAsia="仿宋_GB2312" w:cs="仿宋_GB2312"/>
          <w:sz w:val="32"/>
          <w:szCs w:val="32"/>
          <w:lang w:eastAsia="zh-CN"/>
        </w:rPr>
        <w:t>无二级机构。</w:t>
      </w:r>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区审计局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年度收入总计</w:t>
      </w:r>
      <w:r>
        <w:rPr>
          <w:rFonts w:hint="eastAsia" w:ascii="仿宋" w:hAnsi="仿宋" w:eastAsia="仿宋" w:cs="Courier New"/>
          <w:sz w:val="32"/>
          <w:szCs w:val="32"/>
        </w:rPr>
        <w:t>463.2</w:t>
      </w:r>
      <w:r>
        <w:rPr>
          <w:rFonts w:hint="eastAsia" w:ascii="仿宋" w:hAnsi="仿宋" w:eastAsia="仿宋" w:cs="宋体"/>
          <w:sz w:val="32"/>
          <w:szCs w:val="32"/>
        </w:rPr>
        <w:t>万元，支出总计</w:t>
      </w:r>
      <w:r>
        <w:rPr>
          <w:rFonts w:hint="eastAsia" w:ascii="仿宋" w:hAnsi="仿宋" w:eastAsia="仿宋" w:cs="Courier New"/>
          <w:sz w:val="32"/>
          <w:szCs w:val="32"/>
        </w:rPr>
        <w:t>463.2</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w:t>
      </w:r>
      <w:r>
        <w:rPr>
          <w:rFonts w:hint="eastAsia" w:ascii="仿宋" w:hAnsi="仿宋" w:eastAsia="仿宋" w:cs="Courier New"/>
          <w:sz w:val="32"/>
          <w:szCs w:val="32"/>
        </w:rPr>
        <w:t>增加63.8</w:t>
      </w:r>
      <w:r>
        <w:rPr>
          <w:rFonts w:hint="eastAsia" w:ascii="仿宋" w:hAnsi="仿宋" w:eastAsia="仿宋" w:cs="宋体"/>
          <w:sz w:val="32"/>
          <w:szCs w:val="32"/>
        </w:rPr>
        <w:t>万元，</w:t>
      </w:r>
      <w:r>
        <w:rPr>
          <w:rFonts w:hint="eastAsia" w:ascii="仿宋" w:hAnsi="仿宋" w:eastAsia="仿宋" w:cs="Courier New"/>
          <w:sz w:val="32"/>
          <w:szCs w:val="32"/>
        </w:rPr>
        <w:t>支出增加63.8</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遵照中办、国办部署和审计署的要求，2018年在全国开展领导干部资产、资源离任审计，需要向社会聘请中介审计力量。</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年度收入合计</w:t>
      </w:r>
      <w:r>
        <w:rPr>
          <w:rFonts w:hint="eastAsia" w:ascii="仿宋" w:hAnsi="仿宋" w:eastAsia="仿宋" w:cs="Courier New"/>
          <w:sz w:val="32"/>
          <w:szCs w:val="32"/>
        </w:rPr>
        <w:t>463.2</w:t>
      </w:r>
      <w:r>
        <w:rPr>
          <w:rFonts w:hint="eastAsia" w:ascii="仿宋" w:hAnsi="仿宋" w:eastAsia="仿宋" w:cs="宋体"/>
          <w:sz w:val="32"/>
          <w:szCs w:val="32"/>
        </w:rPr>
        <w:t>万元，其中：财政拨款收入</w:t>
      </w:r>
      <w:r>
        <w:rPr>
          <w:rFonts w:hint="eastAsia" w:ascii="仿宋" w:hAnsi="仿宋" w:eastAsia="仿宋" w:cs="Courier New"/>
          <w:sz w:val="32"/>
          <w:szCs w:val="32"/>
        </w:rPr>
        <w:t>463.2</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rPr>
          <w:rFonts w:ascii="黑体" w:hAnsi="黑体" w:eastAsia="黑体"/>
          <w:sz w:val="32"/>
          <w:szCs w:val="32"/>
        </w:rPr>
      </w:pPr>
      <w:r>
        <w:rPr>
          <w:rFonts w:hint="eastAsia" w:ascii="仿宋" w:hAnsi="仿宋" w:eastAsia="仿宋" w:cs="宋体"/>
          <w:sz w:val="32"/>
          <w:szCs w:val="32"/>
        </w:rPr>
        <w:t>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年度支出合计</w:t>
      </w:r>
      <w:r>
        <w:rPr>
          <w:rFonts w:hint="eastAsia" w:ascii="仿宋" w:hAnsi="仿宋" w:eastAsia="仿宋" w:cs="Courier New"/>
          <w:sz w:val="32"/>
          <w:szCs w:val="32"/>
        </w:rPr>
        <w:t>463.2</w:t>
      </w:r>
      <w:r>
        <w:rPr>
          <w:rFonts w:hint="eastAsia" w:ascii="仿宋" w:hAnsi="仿宋" w:eastAsia="仿宋" w:cs="宋体"/>
          <w:sz w:val="32"/>
          <w:szCs w:val="32"/>
        </w:rPr>
        <w:t>万元，其中：基本支出</w:t>
      </w:r>
      <w:r>
        <w:rPr>
          <w:rFonts w:hint="eastAsia" w:ascii="仿宋" w:hAnsi="仿宋" w:eastAsia="仿宋" w:cs="Courier New"/>
          <w:sz w:val="32"/>
          <w:szCs w:val="32"/>
        </w:rPr>
        <w:t>463.2</w:t>
      </w:r>
      <w:r>
        <w:rPr>
          <w:rFonts w:hint="eastAsia" w:ascii="仿宋" w:hAnsi="仿宋" w:eastAsia="仿宋" w:cs="宋体"/>
          <w:sz w:val="32"/>
          <w:szCs w:val="32"/>
        </w:rPr>
        <w:t>万元，占</w:t>
      </w:r>
      <w:r>
        <w:rPr>
          <w:rFonts w:hint="eastAsia" w:ascii="仿宋" w:hAnsi="仿宋" w:eastAsia="仿宋" w:cs="Courier New"/>
          <w:sz w:val="32"/>
          <w:szCs w:val="32"/>
        </w:rPr>
        <w:t>100</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0</w:t>
      </w:r>
      <w:r>
        <w:rPr>
          <w:rFonts w:hint="eastAsia" w:ascii="仿宋" w:hAnsi="仿宋" w:eastAsia="仿宋" w:cs="宋体"/>
          <w:sz w:val="32"/>
          <w:szCs w:val="32"/>
        </w:rPr>
        <w:t>万元，占</w:t>
      </w:r>
      <w:r>
        <w:rPr>
          <w:rFonts w:hint="eastAsia" w:ascii="仿宋" w:hAnsi="仿宋" w:eastAsia="仿宋" w:cs="Courier New"/>
          <w:sz w:val="32"/>
          <w:szCs w:val="32"/>
        </w:rPr>
        <w:t>0</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四、关于财政拨款收入支出决算总体情况说明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年财政拨款收支总</w:t>
      </w:r>
      <w:r>
        <w:rPr>
          <w:rFonts w:hint="eastAsia" w:ascii="仿宋" w:hAnsi="仿宋" w:eastAsia="仿宋" w:cs="Courier New"/>
          <w:sz w:val="32"/>
          <w:szCs w:val="32"/>
        </w:rPr>
        <w:t>决算463.2</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增加63.8</w:t>
      </w:r>
      <w:r>
        <w:rPr>
          <w:rFonts w:hint="eastAsia" w:ascii="仿宋" w:hAnsi="仿宋" w:eastAsia="仿宋" w:cs="宋体"/>
          <w:sz w:val="32"/>
          <w:szCs w:val="32"/>
        </w:rPr>
        <w:t>万元，</w:t>
      </w:r>
      <w:r>
        <w:rPr>
          <w:rFonts w:hint="eastAsia" w:ascii="仿宋" w:hAnsi="仿宋" w:eastAsia="仿宋" w:cs="Courier New"/>
          <w:sz w:val="32"/>
          <w:szCs w:val="32"/>
        </w:rPr>
        <w:t>因为开展领导干部资产、资源审计需要增加专业审计人员，需要向社会聘请中介审计力量。</w:t>
      </w: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五、关于一般公共预算财政拨款支出决算情况说明</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2017年一般公共预算财政拨款支出463.2万元，占支出合计的100%。与2016年相比，一般公共预算财政拨款支出增加63.8万元，增长15%。</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2017年度一般公共预算财政拨款支出463.2万元，主要用于以下方面：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支出463.2万元，占100%。</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2017年度一般公共预算财政拨款支出年初预算为412.7万元，支出决算为463.2万元，完成年初预算的112%。决算数大于预算数的主要原因：一是审计署、省、市安排的临时性市、区交叉审计的大项目较多。其中：</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年初预算为272.4万元，支出决算为304.2万元，完成年初预算的112%。决算数大于预算数的主要原因是单位职工应发工资部分得以补发。</w:t>
      </w:r>
    </w:p>
    <w:p>
      <w:pPr>
        <w:numPr>
          <w:ilvl w:val="0"/>
          <w:numId w:val="4"/>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年初预算为140.3万元，支出决算为158.1万元，完成年初预算的112%。决算数大于预算数的主要原因是近两年扶贫任务不断加大，审计人员短缺，政府购买服务支出加大。</w:t>
      </w:r>
    </w:p>
    <w:p>
      <w:pPr>
        <w:adjustRightInd w:val="0"/>
        <w:snapToGrid w:val="0"/>
        <w:spacing w:line="360" w:lineRule="auto"/>
        <w:ind w:left="929"/>
        <w:outlineLvl w:val="1"/>
        <w:rPr>
          <w:rFonts w:ascii="黑体" w:hAnsi="黑体" w:eastAsia="黑体"/>
          <w:sz w:val="32"/>
          <w:szCs w:val="32"/>
        </w:rPr>
      </w:pPr>
      <w:r>
        <w:rPr>
          <w:rFonts w:hint="eastAsia" w:ascii="黑体" w:hAnsi="黑体" w:eastAsia="黑体"/>
          <w:sz w:val="32"/>
          <w:szCs w:val="32"/>
        </w:rPr>
        <w:t>六、关于一般公共预算财政拨款基本支出决算情况说明</w:t>
      </w:r>
    </w:p>
    <w:p>
      <w:pPr>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sz w:val="32"/>
          <w:szCs w:val="32"/>
        </w:rPr>
        <w:t>2017年一般公共预算财政拨款基本支出463.2万元，其中：</w:t>
      </w:r>
      <w:r>
        <w:rPr>
          <w:rFonts w:hint="eastAsia" w:ascii="仿宋_GB2312" w:hAnsi="Times New Roman" w:eastAsia="仿宋_GB2312" w:cs="仿宋_GB2312"/>
          <w:bCs/>
          <w:spacing w:val="-1"/>
          <w:kern w:val="0"/>
          <w:sz w:val="32"/>
          <w:szCs w:val="32"/>
        </w:rPr>
        <w:t>人员经费277万元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宋体" w:eastAsia="仿宋_GB2312" w:cs="Courier New"/>
          <w:color w:val="000000" w:themeColor="text1"/>
          <w:sz w:val="32"/>
          <w:szCs w:val="32"/>
        </w:rPr>
        <w:t>；</w:t>
      </w:r>
      <w:r>
        <w:rPr>
          <w:rFonts w:hint="eastAsia" w:ascii="仿宋_GB2312" w:hAnsi="Times New Roman" w:eastAsia="仿宋_GB2312" w:cs="仿宋_GB2312"/>
          <w:b/>
          <w:color w:val="000000" w:themeColor="text1"/>
          <w:spacing w:val="-1"/>
          <w:kern w:val="0"/>
          <w:sz w:val="32"/>
          <w:szCs w:val="32"/>
        </w:rPr>
        <w:t>公用经费</w:t>
      </w:r>
      <w:r>
        <w:rPr>
          <w:rFonts w:hint="eastAsia" w:ascii="仿宋_GB2312" w:hAnsi="Times New Roman" w:eastAsia="仿宋_GB2312" w:cs="仿宋_GB2312"/>
          <w:color w:val="000000" w:themeColor="text1"/>
          <w:spacing w:val="-2"/>
          <w:kern w:val="0"/>
          <w:sz w:val="32"/>
          <w:szCs w:val="32"/>
        </w:rPr>
        <w:t>147万元</w:t>
      </w:r>
      <w:r>
        <w:rPr>
          <w:rFonts w:hint="eastAsia" w:ascii="仿宋_GB2312" w:hAnsi="宋体" w:eastAsia="仿宋_GB2312" w:cs="Courier New"/>
          <w:color w:val="000000" w:themeColor="text1"/>
          <w:sz w:val="32"/>
          <w:szCs w:val="32"/>
        </w:rPr>
        <w:t>，主要包括：办公费等。</w:t>
      </w:r>
    </w:p>
    <w:p>
      <w:pPr>
        <w:adjustRightInd w:val="0"/>
        <w:snapToGrid w:val="0"/>
        <w:spacing w:line="360" w:lineRule="auto"/>
        <w:ind w:left="929"/>
        <w:outlineLvl w:val="1"/>
        <w:rPr>
          <w:rFonts w:ascii="黑体" w:hAnsi="黑体" w:eastAsia="黑体"/>
          <w:sz w:val="32"/>
          <w:szCs w:val="32"/>
        </w:rPr>
      </w:pPr>
      <w:r>
        <w:rPr>
          <w:rFonts w:hint="eastAsia" w:ascii="黑体" w:hAnsi="黑体" w:eastAsia="黑体"/>
          <w:sz w:val="32"/>
          <w:szCs w:val="32"/>
        </w:rPr>
        <w:t>七、关于一般公共预算财政拨款“三公”经费支出决算情况说明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2017年度“三公”经费财政拨款支出预算为19.3万元，支出决算为19.1万元，完成预算的98%，其中：公务接待费支出决算为19.1万元，完成预算的98%。2017年度“三公”经费支出决算数大于预算数的主要原因是</w:t>
      </w:r>
      <w:r>
        <w:rPr>
          <w:rFonts w:hint="eastAsia" w:ascii="仿宋" w:hAnsi="仿宋" w:eastAsia="仿宋" w:cs="宋体"/>
          <w:sz w:val="32"/>
          <w:szCs w:val="32"/>
        </w:rPr>
        <w:t>现在公务接待的标准是同城不吃饭，禁止使用高档烟酒，禁止出入高档酒店进行招待，大大减少了公务接待费用。</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2017年度“三公”经费财政拨款支出决算数比2016年减少3万元，下降14%，其中：公务接待费支出决算减少3万元，下降3%。</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2017年度“三公”经费财政拨款支出决算中，因公出国（境）费支出决算0万元，占0%；公务用车购置及运行费支出决算0万元，占0%；公务接待费支出决算19.1万元，占100%。具体情况如下：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支出0万元。全年安排厅（局）机关、团组0个，累计0人次。开支内容包括：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支出0万元，主要用于参加以下国际会议：无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支出支出0万元，主要用于为提高财政管理水平而举办的公共财政支出结构比较研究、社会保障政策等。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支出0万元。2017年期末，区审计局单位开支财政拨款的公务用车保有量为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量。</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支出19.1万元。其中：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支出为0万元。主要用于0。区审计局（局）2017年度共接待国（境）外来访团组0个、来访外宾0人次（不包括陪同人员），主要包括：无。</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支出为19.1万元，共计110批次980人次。主要用于</w:t>
      </w:r>
      <w:r>
        <w:rPr>
          <w:rFonts w:hint="eastAsia" w:ascii="仿宋" w:hAnsi="仿宋" w:eastAsia="仿宋" w:cs="宋体"/>
          <w:sz w:val="32"/>
          <w:szCs w:val="32"/>
        </w:rPr>
        <w:t>主要用于区审计局日常的公务接待。</w:t>
      </w:r>
    </w:p>
    <w:p>
      <w:pPr>
        <w:adjustRightInd w:val="0"/>
        <w:snapToGrid w:val="0"/>
        <w:spacing w:line="360" w:lineRule="auto"/>
        <w:ind w:left="709"/>
        <w:outlineLvl w:val="1"/>
        <w:rPr>
          <w:rFonts w:ascii="黑体" w:hAnsi="黑体" w:eastAsia="黑体"/>
          <w:sz w:val="32"/>
          <w:szCs w:val="32"/>
        </w:rPr>
      </w:pPr>
      <w:r>
        <w:rPr>
          <w:rFonts w:hint="eastAsia" w:ascii="黑体" w:hAnsi="黑体" w:eastAsia="黑体"/>
          <w:sz w:val="32"/>
          <w:szCs w:val="32"/>
        </w:rPr>
        <w:t>八、关于预算绩效情况说明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320" w:firstLineChars="1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根据财政预算管理要求，区审计局对2017年度一般公共预算项目支出全面开展绩效自评。其中，一级项目8个，二级项目5个，共涉及预算资金56万元，自评覆盖率达到100%。</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pStyle w:val="4"/>
        <w:widowControl/>
        <w:spacing w:line="450" w:lineRule="atLeast"/>
        <w:ind w:left="450" w:right="450" w:firstLine="640"/>
        <w:rPr>
          <w:rFonts w:ascii="仿宋_GB2312" w:hAnsi="宋体" w:eastAsia="仿宋_GB2312" w:cs="Courier New"/>
          <w:sz w:val="32"/>
          <w:szCs w:val="32"/>
        </w:rPr>
      </w:pPr>
      <w:r>
        <w:rPr>
          <w:rFonts w:hint="eastAsia" w:ascii="仿宋_GB2312" w:hAnsi="宋体" w:eastAsia="仿宋_GB2312" w:cs="Courier New"/>
          <w:sz w:val="32"/>
          <w:szCs w:val="32"/>
        </w:rPr>
        <w:t>区审计局在2017年度部门决算中增加“重大审计”项目绩效评价结果。根据2017年年初设定的绩效目标，“重大审计”项目自评得分为90分。发现的主要问题：1、审计资源有待优化、2、计算机审计作用没能发挥。下一步改进措施：</w:t>
      </w:r>
      <w:r>
        <w:rPr>
          <w:rFonts w:ascii="仿宋_GB2312" w:hAnsi="微软雅黑" w:eastAsia="仿宋_GB2312" w:cs="仿宋_GB2312"/>
          <w:sz w:val="32"/>
          <w:szCs w:val="32"/>
        </w:rPr>
        <w:t>整合全</w:t>
      </w:r>
      <w:r>
        <w:rPr>
          <w:rFonts w:hint="eastAsia" w:ascii="仿宋_GB2312" w:hAnsi="微软雅黑" w:eastAsia="仿宋_GB2312" w:cs="仿宋_GB2312"/>
          <w:sz w:val="32"/>
          <w:szCs w:val="32"/>
        </w:rPr>
        <w:t>区</w:t>
      </w:r>
      <w:r>
        <w:rPr>
          <w:rFonts w:ascii="仿宋_GB2312" w:hAnsi="微软雅黑" w:eastAsia="仿宋_GB2312" w:cs="仿宋_GB2312"/>
          <w:sz w:val="32"/>
          <w:szCs w:val="32"/>
        </w:rPr>
        <w:t>审计资源，建立行业审计人才数据库，根据项目需要和人员特长，从中合理抽调配置人员，充分发挥上下协同作战的整体优势。建立法律法规储备库，为行业审计提供相关法律法规支持</w:t>
      </w:r>
      <w:r>
        <w:rPr>
          <w:rFonts w:hint="eastAsia" w:ascii="仿宋_GB2312" w:hAnsi="微软雅黑" w:eastAsia="仿宋_GB2312" w:cs="仿宋_GB2312"/>
          <w:sz w:val="32"/>
          <w:szCs w:val="32"/>
        </w:rPr>
        <w:t>。积极加强计算机综合素质培训</w:t>
      </w:r>
      <w:r>
        <w:rPr>
          <w:rFonts w:hint="eastAsia" w:ascii="仿宋_GB2312" w:hAnsi="宋体" w:eastAsia="仿宋_GB2312" w:cs="Courier New"/>
          <w:sz w:val="32"/>
          <w:szCs w:val="32"/>
        </w:rPr>
        <w:t>。</w:t>
      </w:r>
    </w:p>
    <w:p>
      <w:pPr>
        <w:adjustRightInd w:val="0"/>
        <w:snapToGrid w:val="0"/>
        <w:spacing w:line="360" w:lineRule="auto"/>
        <w:ind w:left="929"/>
        <w:outlineLvl w:val="1"/>
        <w:rPr>
          <w:rFonts w:ascii="黑体" w:hAnsi="黑体" w:eastAsia="黑体"/>
          <w:sz w:val="32"/>
          <w:szCs w:val="32"/>
        </w:rPr>
      </w:pPr>
      <w:r>
        <w:rPr>
          <w:rFonts w:hint="eastAsia" w:ascii="黑体" w:hAnsi="黑体" w:eastAsia="黑体"/>
          <w:sz w:val="32"/>
          <w:szCs w:val="32"/>
        </w:rPr>
        <w:t>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adjustRightInd w:val="0"/>
        <w:snapToGrid w:val="0"/>
        <w:spacing w:line="360" w:lineRule="auto"/>
        <w:ind w:left="929"/>
        <w:outlineLvl w:val="1"/>
        <w:rPr>
          <w:rFonts w:ascii="黑体" w:hAnsi="黑体" w:eastAsia="黑体"/>
          <w:sz w:val="32"/>
          <w:szCs w:val="32"/>
        </w:rPr>
      </w:pPr>
      <w:r>
        <w:rPr>
          <w:rFonts w:hint="eastAsia" w:ascii="黑体" w:hAnsi="黑体" w:eastAsia="黑体"/>
          <w:sz w:val="32"/>
          <w:szCs w:val="32"/>
        </w:rPr>
        <w:t>十、其他重要事项的情况说明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2017年度机关运行经费支出82.8万元，比2016年增加20万元，增长30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区审计局共有车辆0辆，其中：省级领导干部用车0辆、一般公务用车0辆、一般执法执勤用车0辆、特种专业技术用车0辆，其他用车0辆，其他用车主要是无；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一、一般公共决算拨款收入：指区财政当年拨付的资金。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二、事业收入：指单位开展专业业务活动及辅助活动所取得的收入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三、上年结转：指以前年度尚未完成、结转到本年仍按原规定用途继续使用的资金。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四、基本支出：指审计局为保障机构正常运转、完成日常工作任务所必需的人员经费和日常公用经费。</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五、项目支出：指审计局在基本支出之外，为完成特定的行政工作任务或事业发展目标所发生的支出。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六、结转下年：指以前年度决算安排、因客观条件发生变化 无法按原计划实施，需延迟到以后年度按原规定用途继续使用的 资金。</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七、一般公共服务支出： 指审计局行政单位用于保障机构正常运转、完成日常工作任务安排的支出，开展经常性专项业务活动、用于计算机及网络运行维护、设备更新 购置、办公用房及设备维护修缮等方面的支出。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审计局按照审计纪律“八不准”的规定，开展审计、 专项审计调查、聘请社会审计组织人员及技术专家等方面的支出 （含按规定支出的城市间交通费、市内交通费、住宿费和伙食费补助）。</w:t>
      </w:r>
    </w:p>
    <w:p>
      <w:pPr>
        <w:kinsoku w:val="0"/>
        <w:overflowPunct w:val="0"/>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审计局用于审计课题研究、审计宣传、审计结果公告、审计法 制建设、审计业务质量控制等方面的支出。 </w:t>
      </w:r>
    </w:p>
    <w:p>
      <w:pPr>
        <w:kinsoku w:val="0"/>
        <w:overflowPunct w:val="0"/>
        <w:autoSpaceDE w:val="0"/>
        <w:autoSpaceDN w:val="0"/>
        <w:adjustRightInd w:val="0"/>
        <w:snapToGrid w:val="0"/>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 xml:space="preserve"> 八、</w:t>
      </w:r>
      <w:r>
        <w:rPr>
          <w:rFonts w:hint="eastAsia" w:ascii="仿宋" w:hAnsi="仿宋" w:eastAsia="仿宋" w:cs="仿宋"/>
          <w:b/>
          <w:bCs/>
          <w:sz w:val="32"/>
          <w:szCs w:val="32"/>
        </w:rPr>
        <w:t>“三公”经费：</w:t>
      </w:r>
      <w:r>
        <w:rPr>
          <w:rFonts w:hint="eastAsia" w:ascii="仿宋" w:hAnsi="仿宋" w:eastAsia="仿宋" w:cs="仿宋"/>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九、机关运行经费：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icrosoft YaHei">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DAC2"/>
    <w:multiLevelType w:val="singleLevel"/>
    <w:tmpl w:val="5971DAC2"/>
    <w:lvl w:ilvl="0" w:tentative="0">
      <w:start w:val="1"/>
      <w:numFmt w:val="chineseCounting"/>
      <w:suff w:val="nothing"/>
      <w:lvlText w:val="%1、"/>
      <w:lvlJc w:val="left"/>
      <w:pPr>
        <w:ind w:left="289" w:firstLine="420"/>
      </w:pPr>
      <w:rPr>
        <w:rFonts w:hint="eastAsia"/>
      </w:rPr>
    </w:lvl>
  </w:abstractNum>
  <w:abstractNum w:abstractNumId="1">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2">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3">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4">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5">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6">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7">
    <w:nsid w:val="5F9B1B46"/>
    <w:multiLevelType w:val="singleLevel"/>
    <w:tmpl w:val="5F9B1B46"/>
    <w:lvl w:ilvl="0" w:tentative="0">
      <w:start w:val="1"/>
      <w:numFmt w:val="chineseCounting"/>
      <w:suff w:val="nothing"/>
      <w:lvlText w:val="（%1）"/>
      <w:lvlJc w:val="left"/>
      <w:rPr>
        <w:rFonts w:hint="eastAsia"/>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2BD4"/>
    <w:rsid w:val="00172A27"/>
    <w:rsid w:val="00473688"/>
    <w:rsid w:val="00525D84"/>
    <w:rsid w:val="005354F6"/>
    <w:rsid w:val="00630D31"/>
    <w:rsid w:val="00717124"/>
    <w:rsid w:val="00753CE0"/>
    <w:rsid w:val="00783862"/>
    <w:rsid w:val="009A719C"/>
    <w:rsid w:val="00A13C40"/>
    <w:rsid w:val="00A6413C"/>
    <w:rsid w:val="00AE4B58"/>
    <w:rsid w:val="00B54309"/>
    <w:rsid w:val="00B76F3F"/>
    <w:rsid w:val="00B84FB0"/>
    <w:rsid w:val="00BA4E25"/>
    <w:rsid w:val="00BD142A"/>
    <w:rsid w:val="00C71F13"/>
    <w:rsid w:val="00D31183"/>
    <w:rsid w:val="00DB35CE"/>
    <w:rsid w:val="00E952FE"/>
    <w:rsid w:val="00EE0BEE"/>
    <w:rsid w:val="00F230D0"/>
    <w:rsid w:val="00F93487"/>
    <w:rsid w:val="00FA5CEE"/>
    <w:rsid w:val="00FC1B92"/>
    <w:rsid w:val="01064770"/>
    <w:rsid w:val="0277096F"/>
    <w:rsid w:val="04453648"/>
    <w:rsid w:val="04F0274C"/>
    <w:rsid w:val="09BB2134"/>
    <w:rsid w:val="11E47A00"/>
    <w:rsid w:val="13DA4090"/>
    <w:rsid w:val="15492582"/>
    <w:rsid w:val="1BB26345"/>
    <w:rsid w:val="1E7D3B34"/>
    <w:rsid w:val="209C4FF0"/>
    <w:rsid w:val="21621BA2"/>
    <w:rsid w:val="2540603D"/>
    <w:rsid w:val="258F34D6"/>
    <w:rsid w:val="27DC0220"/>
    <w:rsid w:val="2BA4769A"/>
    <w:rsid w:val="2C35347A"/>
    <w:rsid w:val="2CD06EF4"/>
    <w:rsid w:val="32EF40CE"/>
    <w:rsid w:val="372974AC"/>
    <w:rsid w:val="3CE47224"/>
    <w:rsid w:val="42271DDB"/>
    <w:rsid w:val="43893744"/>
    <w:rsid w:val="48036E61"/>
    <w:rsid w:val="48B52937"/>
    <w:rsid w:val="48EE3EF3"/>
    <w:rsid w:val="4C1E2F28"/>
    <w:rsid w:val="4CF438DD"/>
    <w:rsid w:val="4EC101B2"/>
    <w:rsid w:val="51AD42DE"/>
    <w:rsid w:val="53E9756D"/>
    <w:rsid w:val="5651051D"/>
    <w:rsid w:val="57BB5F84"/>
    <w:rsid w:val="57E961A8"/>
    <w:rsid w:val="581E77CF"/>
    <w:rsid w:val="58B06254"/>
    <w:rsid w:val="59E3092F"/>
    <w:rsid w:val="5AF25131"/>
    <w:rsid w:val="5C7D7718"/>
    <w:rsid w:val="5F3A0145"/>
    <w:rsid w:val="600176AC"/>
    <w:rsid w:val="61C57599"/>
    <w:rsid w:val="627358F6"/>
    <w:rsid w:val="6431638A"/>
    <w:rsid w:val="65B148C6"/>
    <w:rsid w:val="664A46E0"/>
    <w:rsid w:val="674E08EC"/>
    <w:rsid w:val="6A2415C4"/>
    <w:rsid w:val="6C2F3976"/>
    <w:rsid w:val="737A5BE5"/>
    <w:rsid w:val="73F1196C"/>
    <w:rsid w:val="746A2CA0"/>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2B2B2B"/>
      <w:u w:val="none"/>
    </w:rPr>
  </w:style>
  <w:style w:type="character" w:customStyle="1" w:styleId="9">
    <w:name w:val="font31"/>
    <w:basedOn w:val="5"/>
    <w:qFormat/>
    <w:uiPriority w:val="0"/>
    <w:rPr>
      <w:rFonts w:ascii="Arial" w:hAnsi="Arial" w:cs="Arial"/>
      <w:color w:val="000000"/>
      <w:sz w:val="16"/>
      <w:szCs w:val="16"/>
      <w:u w:val="none"/>
    </w:rPr>
  </w:style>
  <w:style w:type="character" w:customStyle="1" w:styleId="10">
    <w:name w:val="font01"/>
    <w:basedOn w:val="5"/>
    <w:qFormat/>
    <w:uiPriority w:val="0"/>
    <w:rPr>
      <w:rFonts w:hint="default" w:ascii="Arial" w:hAnsi="Arial" w:cs="Arial"/>
      <w:color w:val="000000"/>
      <w:sz w:val="16"/>
      <w:szCs w:val="16"/>
      <w:u w:val="none"/>
    </w:rPr>
  </w:style>
  <w:style w:type="character" w:customStyle="1" w:styleId="11">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676</Words>
  <Characters>3854</Characters>
  <Lines>32</Lines>
  <Paragraphs>9</Paragraphs>
  <TotalTime>24</TotalTime>
  <ScaleCrop>false</ScaleCrop>
  <LinksUpToDate>false</LinksUpToDate>
  <CharactersWithSpaces>4521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2019-02-13T07:25:12Z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