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52"/>
          <w:szCs w:val="52"/>
        </w:rPr>
      </w:pPr>
    </w:p>
    <w:p>
      <w:pPr>
        <w:tabs>
          <w:tab w:val="left" w:pos="630"/>
        </w:tabs>
        <w:jc w:val="center"/>
        <w:rPr>
          <w:rFonts w:hint="eastAsia" w:ascii="黑体" w:hAnsi="黑体" w:eastAsia="黑体" w:cs="黑体"/>
          <w:b/>
          <w:bCs/>
          <w:sz w:val="72"/>
          <w:szCs w:val="72"/>
          <w:lang w:val="en-US" w:eastAsia="zh-CN"/>
        </w:rPr>
      </w:pPr>
    </w:p>
    <w:p>
      <w:pPr>
        <w:tabs>
          <w:tab w:val="left" w:pos="630"/>
        </w:tabs>
        <w:jc w:val="center"/>
        <w:rPr>
          <w:rFonts w:hint="eastAsia" w:ascii="黑体" w:hAnsi="黑体" w:eastAsia="黑体" w:cs="黑体"/>
          <w:b/>
          <w:bCs/>
          <w:sz w:val="72"/>
          <w:szCs w:val="72"/>
          <w:lang w:val="en-US" w:eastAsia="zh-CN"/>
        </w:rPr>
      </w:pPr>
    </w:p>
    <w:p>
      <w:pPr>
        <w:tabs>
          <w:tab w:val="left" w:pos="630"/>
        </w:tabs>
        <w:jc w:val="center"/>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浉河区粮食局</w:t>
      </w:r>
    </w:p>
    <w:p>
      <w:pPr>
        <w:keepNext w:val="0"/>
        <w:keepLines w:val="0"/>
        <w:pageBreakBefore w:val="0"/>
        <w:widowControl w:val="0"/>
        <w:tabs>
          <w:tab w:val="left" w:pos="630"/>
        </w:tabs>
        <w:kinsoku/>
        <w:wordWrap/>
        <w:overflowPunct/>
        <w:topLinePunct w:val="0"/>
        <w:autoSpaceDE/>
        <w:autoSpaceDN/>
        <w:bidi w:val="0"/>
        <w:adjustRightInd/>
        <w:snapToGrid/>
        <w:spacing w:line="960" w:lineRule="exact"/>
        <w:ind w:left="0" w:leftChars="0" w:right="0" w:rightChars="0" w:firstLine="0" w:firstLineChars="0"/>
        <w:jc w:val="center"/>
        <w:textAlignment w:val="auto"/>
        <w:outlineLvl w:val="9"/>
        <w:rPr>
          <w:rFonts w:hint="eastAsia" w:ascii="黑体" w:hAnsi="黑体" w:eastAsia="黑体" w:cs="黑体"/>
          <w:b/>
          <w:bCs/>
          <w:sz w:val="72"/>
          <w:szCs w:val="72"/>
          <w:lang w:val="en-US" w:eastAsia="zh-CN"/>
        </w:rPr>
      </w:pPr>
    </w:p>
    <w:p>
      <w:pPr>
        <w:tabs>
          <w:tab w:val="left" w:pos="630"/>
        </w:tabs>
        <w:jc w:val="center"/>
        <w:rPr>
          <w:rFonts w:hint="eastAsia" w:ascii="黑体" w:hAnsi="黑体" w:eastAsia="黑体" w:cs="黑体"/>
          <w:b/>
          <w:bCs/>
          <w:sz w:val="72"/>
          <w:szCs w:val="72"/>
        </w:rPr>
      </w:pPr>
      <w:r>
        <w:rPr>
          <w:rFonts w:hint="eastAsia" w:ascii="黑体" w:hAnsi="黑体" w:eastAsia="黑体" w:cs="黑体"/>
          <w:b/>
          <w:bCs/>
          <w:sz w:val="72"/>
          <w:szCs w:val="72"/>
        </w:rPr>
        <w:t>201</w:t>
      </w:r>
      <w:r>
        <w:rPr>
          <w:rFonts w:hint="eastAsia" w:ascii="黑体" w:hAnsi="黑体" w:eastAsia="黑体" w:cs="黑体"/>
          <w:b/>
          <w:bCs/>
          <w:sz w:val="72"/>
          <w:szCs w:val="72"/>
          <w:lang w:val="en-US" w:eastAsia="zh-CN"/>
        </w:rPr>
        <w:t>7</w:t>
      </w:r>
      <w:r>
        <w:rPr>
          <w:rFonts w:hint="eastAsia" w:ascii="黑体" w:hAnsi="黑体" w:eastAsia="黑体" w:cs="黑体"/>
          <w:b/>
          <w:bCs/>
          <w:sz w:val="72"/>
          <w:szCs w:val="72"/>
        </w:rPr>
        <w:t>年度部门决算</w:t>
      </w:r>
    </w:p>
    <w:p>
      <w:pPr>
        <w:tabs>
          <w:tab w:val="left" w:pos="630"/>
        </w:tabs>
        <w:jc w:val="center"/>
        <w:rPr>
          <w:rFonts w:hint="eastAsia" w:ascii="黑体" w:hAnsi="黑体" w:eastAsia="黑体" w:cs="黑体"/>
          <w:b/>
          <w:bCs/>
          <w:sz w:val="72"/>
          <w:szCs w:val="72"/>
        </w:rPr>
      </w:pPr>
    </w:p>
    <w:p>
      <w:pPr>
        <w:tabs>
          <w:tab w:val="left" w:pos="630"/>
        </w:tabs>
        <w:jc w:val="center"/>
        <w:rPr>
          <w:rFonts w:hint="eastAsia" w:ascii="黑体" w:hAnsi="黑体" w:eastAsia="黑体" w:cs="黑体"/>
          <w:b/>
          <w:bCs/>
          <w:sz w:val="72"/>
          <w:szCs w:val="72"/>
        </w:rPr>
      </w:pPr>
    </w:p>
    <w:p>
      <w:pPr>
        <w:tabs>
          <w:tab w:val="left" w:pos="630"/>
        </w:tabs>
        <w:jc w:val="center"/>
        <w:rPr>
          <w:rFonts w:hint="eastAsia" w:ascii="黑体" w:hAnsi="黑体" w:eastAsia="黑体" w:cs="黑体"/>
          <w:b w:val="0"/>
          <w:bCs w:val="0"/>
          <w:sz w:val="30"/>
          <w:szCs w:val="30"/>
          <w:lang w:val="en-US" w:eastAsia="zh-CN"/>
        </w:rPr>
      </w:pPr>
    </w:p>
    <w:p>
      <w:pPr>
        <w:tabs>
          <w:tab w:val="left" w:pos="630"/>
        </w:tabs>
        <w:jc w:val="center"/>
        <w:rPr>
          <w:rFonts w:hint="eastAsia" w:ascii="黑体" w:hAnsi="黑体" w:eastAsia="黑体" w:cs="黑体"/>
          <w:b/>
          <w:bCs/>
          <w:sz w:val="32"/>
          <w:szCs w:val="32"/>
          <w:lang w:val="en-US" w:eastAsia="zh-CN"/>
        </w:rPr>
      </w:pPr>
    </w:p>
    <w:p>
      <w:pPr>
        <w:tabs>
          <w:tab w:val="left" w:pos="630"/>
        </w:tabs>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公开单位联系人：董少玲</w:t>
      </w:r>
    </w:p>
    <w:p>
      <w:pPr>
        <w:tabs>
          <w:tab w:val="left" w:pos="630"/>
        </w:tabs>
        <w:ind w:firstLine="2891" w:firstLineChars="9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联系电话：6225661</w:t>
      </w:r>
    </w:p>
    <w:p>
      <w:pPr>
        <w:tabs>
          <w:tab w:val="left" w:pos="630"/>
        </w:tabs>
        <w:jc w:val="center"/>
        <w:rPr>
          <w:rFonts w:hint="eastAsia" w:ascii="黑体" w:hAnsi="黑体" w:eastAsia="黑体" w:cs="黑体"/>
          <w:b/>
          <w:bCs/>
          <w:sz w:val="72"/>
          <w:szCs w:val="72"/>
        </w:rPr>
      </w:pPr>
    </w:p>
    <w:p>
      <w:pPr>
        <w:tabs>
          <w:tab w:val="left" w:pos="630"/>
        </w:tabs>
        <w:jc w:val="center"/>
        <w:rPr>
          <w:rFonts w:hint="eastAsia" w:ascii="黑体" w:hAnsi="黑体" w:eastAsia="黑体" w:cs="黑体"/>
          <w:b/>
          <w:bCs/>
          <w:sz w:val="72"/>
          <w:szCs w:val="72"/>
        </w:rPr>
      </w:pPr>
    </w:p>
    <w:p>
      <w:pPr>
        <w:tabs>
          <w:tab w:val="left" w:pos="630"/>
        </w:tabs>
        <w:jc w:val="center"/>
        <w:rPr>
          <w:rFonts w:hint="eastAsia" w:ascii="黑体" w:hAnsi="黑体" w:eastAsia="黑体" w:cs="黑体"/>
          <w:b/>
          <w:bCs/>
          <w:sz w:val="72"/>
          <w:szCs w:val="72"/>
        </w:rPr>
      </w:pPr>
    </w:p>
    <w:p>
      <w:pPr>
        <w:tabs>
          <w:tab w:val="left" w:pos="630"/>
        </w:tabs>
        <w:jc w:val="center"/>
        <w:rPr>
          <w:rFonts w:hint="eastAsia" w:ascii="黑体" w:hAnsi="黑体" w:eastAsia="黑体" w:cs="黑体"/>
          <w:b/>
          <w:bCs/>
          <w:sz w:val="72"/>
          <w:szCs w:val="72"/>
        </w:rPr>
      </w:pPr>
    </w:p>
    <w:p>
      <w:pPr>
        <w:tabs>
          <w:tab w:val="left" w:pos="630"/>
        </w:tabs>
        <w:jc w:val="center"/>
        <w:rPr>
          <w:rFonts w:hint="eastAsia" w:ascii="黑体" w:hAnsi="黑体" w:eastAsia="黑体" w:cs="黑体"/>
          <w:b/>
          <w:bCs/>
          <w:sz w:val="72"/>
          <w:szCs w:val="72"/>
        </w:rPr>
      </w:pPr>
    </w:p>
    <w:p>
      <w:pPr>
        <w:tabs>
          <w:tab w:val="left" w:pos="630"/>
        </w:tabs>
        <w:jc w:val="center"/>
        <w:rPr>
          <w:rFonts w:hint="eastAsia" w:ascii="黑体" w:hAnsi="黑体" w:eastAsia="黑体" w:cs="黑体"/>
          <w:b/>
          <w:bCs/>
          <w:sz w:val="72"/>
          <w:szCs w:val="72"/>
        </w:rPr>
      </w:pPr>
    </w:p>
    <w:p>
      <w:pPr>
        <w:tabs>
          <w:tab w:val="left" w:pos="630"/>
        </w:tabs>
        <w:jc w:val="center"/>
        <w:rPr>
          <w:rFonts w:hint="eastAsia" w:ascii="黑体" w:hAnsi="黑体" w:eastAsia="黑体" w:cs="黑体"/>
          <w:b/>
          <w:bCs/>
          <w:sz w:val="72"/>
          <w:szCs w:val="72"/>
        </w:rPr>
      </w:pPr>
    </w:p>
    <w:p>
      <w:pPr>
        <w:tabs>
          <w:tab w:val="left" w:pos="630"/>
        </w:tabs>
        <w:jc w:val="center"/>
        <w:rPr>
          <w:rFonts w:hint="eastAsia" w:ascii="黑体" w:hAnsi="黑体" w:eastAsia="黑体" w:cs="黑体"/>
          <w:b/>
          <w:bCs/>
          <w:sz w:val="72"/>
          <w:szCs w:val="7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p>
    <w:p>
      <w:pPr>
        <w:jc w:val="center"/>
        <w:rPr>
          <w:rFonts w:ascii="黑体" w:hAnsi="黑体" w:eastAsia="黑体" w:cs="黑体"/>
          <w:sz w:val="32"/>
          <w:szCs w:val="32"/>
        </w:rPr>
      </w:pPr>
    </w:p>
    <w:p>
      <w:pPr>
        <w:tabs>
          <w:tab w:val="left" w:pos="840"/>
          <w:tab w:val="left" w:pos="3863"/>
          <w:tab w:val="center" w:pos="4692"/>
        </w:tabs>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目　　录</w:t>
      </w:r>
    </w:p>
    <w:p>
      <w:pPr>
        <w:tabs>
          <w:tab w:val="left" w:pos="2213"/>
          <w:tab w:val="center" w:pos="4692"/>
        </w:tabs>
        <w:jc w:val="left"/>
        <w:rPr>
          <w:rFonts w:hint="eastAsia" w:ascii="仿宋" w:hAnsi="仿宋" w:eastAsia="仿宋" w:cs="仿宋"/>
          <w:sz w:val="32"/>
          <w:szCs w:val="32"/>
          <w:lang w:eastAsia="zh-CN"/>
        </w:rPr>
      </w:pPr>
    </w:p>
    <w:p>
      <w:pPr>
        <w:keepNext w:val="0"/>
        <w:keepLines w:val="0"/>
        <w:pageBreakBefore w:val="0"/>
        <w:widowControl w:val="0"/>
        <w:tabs>
          <w:tab w:val="left" w:pos="2213"/>
          <w:tab w:val="center" w:pos="4692"/>
        </w:tabs>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第一</w:t>
      </w:r>
      <w:r>
        <w:rPr>
          <w:rFonts w:hint="eastAsia" w:ascii="仿宋" w:hAnsi="仿宋" w:eastAsia="仿宋" w:cs="仿宋"/>
          <w:b/>
          <w:bCs/>
          <w:sz w:val="32"/>
          <w:szCs w:val="32"/>
        </w:rPr>
        <w:t>部分　　</w:t>
      </w:r>
      <w:r>
        <w:rPr>
          <w:rFonts w:hint="eastAsia" w:ascii="仿宋" w:hAnsi="仿宋" w:eastAsia="仿宋" w:cs="仿宋"/>
          <w:b/>
          <w:bCs/>
          <w:sz w:val="32"/>
          <w:szCs w:val="32"/>
          <w:lang w:eastAsia="zh-CN"/>
        </w:rPr>
        <w:t>粮食局</w:t>
      </w:r>
      <w:r>
        <w:rPr>
          <w:rFonts w:hint="eastAsia" w:ascii="仿宋" w:hAnsi="仿宋" w:eastAsia="仿宋" w:cs="仿宋"/>
          <w:b/>
          <w:bCs/>
          <w:sz w:val="32"/>
          <w:szCs w:val="32"/>
        </w:rPr>
        <w:t>概况</w:t>
      </w:r>
    </w:p>
    <w:p>
      <w:pPr>
        <w:keepNext w:val="0"/>
        <w:keepLines w:val="0"/>
        <w:pageBreakBefore w:val="0"/>
        <w:widowControl w:val="0"/>
        <w:numPr>
          <w:ilvl w:val="0"/>
          <w:numId w:val="1"/>
        </w:numPr>
        <w:tabs>
          <w:tab w:val="left" w:pos="7388"/>
        </w:tabs>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主要职能</w:t>
      </w:r>
      <w:r>
        <w:rPr>
          <w:rFonts w:hint="eastAsia" w:ascii="仿宋" w:hAnsi="仿宋" w:eastAsia="仿宋" w:cs="仿宋"/>
          <w:sz w:val="32"/>
          <w:szCs w:val="32"/>
          <w:lang w:eastAsia="zh-CN"/>
        </w:rPr>
        <w:tab/>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部门决算单位构成</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第二部分　　区</w:t>
      </w:r>
      <w:r>
        <w:rPr>
          <w:rFonts w:hint="eastAsia" w:ascii="仿宋" w:hAnsi="仿宋" w:eastAsia="仿宋" w:cs="仿宋"/>
          <w:b/>
          <w:bCs/>
          <w:sz w:val="32"/>
          <w:szCs w:val="32"/>
          <w:lang w:eastAsia="zh-CN"/>
        </w:rPr>
        <w:t>粮食局</w:t>
      </w:r>
      <w:r>
        <w:rPr>
          <w:rFonts w:hint="eastAsia" w:ascii="仿宋" w:hAnsi="仿宋" w:eastAsia="仿宋" w:cs="仿宋"/>
          <w:b/>
          <w:bCs/>
          <w:sz w:val="32"/>
          <w:szCs w:val="32"/>
        </w:rPr>
        <w:t>201</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年度部门决算</w:t>
      </w:r>
      <w:r>
        <w:rPr>
          <w:rFonts w:hint="eastAsia" w:ascii="仿宋" w:hAnsi="仿宋" w:eastAsia="仿宋" w:cs="仿宋"/>
          <w:b/>
          <w:bCs/>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关于</w:t>
      </w:r>
      <w:r>
        <w:rPr>
          <w:rFonts w:hint="eastAsia" w:ascii="仿宋" w:hAnsi="仿宋" w:eastAsia="仿宋" w:cs="仿宋"/>
          <w:sz w:val="32"/>
          <w:szCs w:val="32"/>
        </w:rPr>
        <w:t>收入支出决算总</w:t>
      </w:r>
      <w:r>
        <w:rPr>
          <w:rFonts w:hint="eastAsia" w:ascii="仿宋" w:hAnsi="仿宋" w:eastAsia="仿宋" w:cs="仿宋"/>
          <w:sz w:val="32"/>
          <w:szCs w:val="32"/>
          <w:lang w:eastAsia="zh-CN"/>
        </w:rPr>
        <w:t>体情况说明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关于</w:t>
      </w:r>
      <w:r>
        <w:rPr>
          <w:rFonts w:hint="eastAsia" w:ascii="仿宋" w:hAnsi="仿宋" w:eastAsia="仿宋" w:cs="仿宋"/>
          <w:sz w:val="32"/>
          <w:szCs w:val="32"/>
        </w:rPr>
        <w:t>收入决算</w:t>
      </w:r>
      <w:r>
        <w:rPr>
          <w:rFonts w:hint="eastAsia" w:ascii="仿宋" w:hAnsi="仿宋" w:eastAsia="仿宋" w:cs="仿宋"/>
          <w:sz w:val="32"/>
          <w:szCs w:val="32"/>
          <w:lang w:eastAsia="zh-CN"/>
        </w:rPr>
        <w:t>表情况说明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三、</w:t>
      </w:r>
      <w:r>
        <w:rPr>
          <w:rFonts w:hint="eastAsia" w:ascii="仿宋" w:hAnsi="仿宋" w:eastAsia="仿宋" w:cs="仿宋"/>
          <w:sz w:val="32"/>
          <w:szCs w:val="32"/>
          <w:lang w:eastAsia="zh-CN"/>
        </w:rPr>
        <w:t>关于</w:t>
      </w:r>
      <w:r>
        <w:rPr>
          <w:rFonts w:hint="eastAsia" w:ascii="仿宋" w:hAnsi="仿宋" w:eastAsia="仿宋" w:cs="仿宋"/>
          <w:sz w:val="32"/>
          <w:szCs w:val="32"/>
        </w:rPr>
        <w:t>支出决算表</w:t>
      </w:r>
      <w:r>
        <w:rPr>
          <w:rFonts w:hint="eastAsia" w:ascii="仿宋" w:hAnsi="仿宋" w:eastAsia="仿宋" w:cs="仿宋"/>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关于</w:t>
      </w:r>
      <w:r>
        <w:rPr>
          <w:rFonts w:hint="eastAsia" w:ascii="仿宋" w:hAnsi="仿宋" w:eastAsia="仿宋" w:cs="仿宋"/>
          <w:sz w:val="32"/>
          <w:szCs w:val="32"/>
        </w:rPr>
        <w:t>财政拨款收入支出决算总</w:t>
      </w:r>
      <w:r>
        <w:rPr>
          <w:rFonts w:hint="eastAsia" w:ascii="仿宋" w:hAnsi="仿宋" w:eastAsia="仿宋" w:cs="仿宋"/>
          <w:sz w:val="32"/>
          <w:szCs w:val="32"/>
          <w:lang w:eastAsia="zh-CN"/>
        </w:rPr>
        <w:t>体情况说明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关于</w:t>
      </w:r>
      <w:r>
        <w:rPr>
          <w:rFonts w:hint="eastAsia" w:ascii="仿宋" w:hAnsi="仿宋" w:eastAsia="仿宋" w:cs="仿宋"/>
          <w:sz w:val="32"/>
          <w:szCs w:val="32"/>
        </w:rPr>
        <w:t>一般公共预算财政拨款支出决算</w:t>
      </w:r>
      <w:r>
        <w:rPr>
          <w:rFonts w:hint="eastAsia" w:ascii="仿宋" w:hAnsi="仿宋" w:eastAsia="仿宋" w:cs="仿宋"/>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关于</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七、</w:t>
      </w:r>
      <w:r>
        <w:rPr>
          <w:rFonts w:hint="eastAsia" w:ascii="仿宋" w:hAnsi="仿宋" w:eastAsia="仿宋" w:cs="仿宋"/>
          <w:sz w:val="32"/>
          <w:szCs w:val="32"/>
          <w:lang w:eastAsia="zh-CN"/>
        </w:rPr>
        <w:t>关于</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八、关于预算绩效情况说明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九、关于政府性基金预算财政拨款收入支出决算情况说明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部分　　名词解释</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numPr>
          <w:ilvl w:val="0"/>
          <w:numId w:val="2"/>
        </w:numPr>
        <w:tabs>
          <w:tab w:val="left" w:pos="983"/>
          <w:tab w:val="center" w:pos="4692"/>
        </w:tabs>
        <w:jc w:val="center"/>
        <w:rPr>
          <w:rFonts w:hint="eastAsia" w:ascii="仿宋" w:hAnsi="仿宋" w:eastAsia="仿宋" w:cs="仿宋"/>
          <w:b/>
          <w:bCs/>
          <w:sz w:val="48"/>
          <w:szCs w:val="48"/>
          <w:lang w:eastAsia="zh-CN"/>
        </w:rPr>
      </w:pPr>
    </w:p>
    <w:p>
      <w:pPr>
        <w:numPr>
          <w:ilvl w:val="0"/>
          <w:numId w:val="0"/>
        </w:numPr>
        <w:tabs>
          <w:tab w:val="left" w:pos="983"/>
          <w:tab w:val="center" w:pos="4692"/>
        </w:tabs>
        <w:jc w:val="center"/>
        <w:rPr>
          <w:rFonts w:hint="eastAsia" w:ascii="仿宋" w:hAnsi="仿宋" w:eastAsia="仿宋" w:cs="仿宋"/>
          <w:sz w:val="48"/>
          <w:szCs w:val="48"/>
          <w:lang w:eastAsia="zh-CN"/>
        </w:rPr>
      </w:pPr>
    </w:p>
    <w:p>
      <w:pPr>
        <w:numPr>
          <w:ilvl w:val="0"/>
          <w:numId w:val="0"/>
        </w:numPr>
        <w:tabs>
          <w:tab w:val="left" w:pos="983"/>
          <w:tab w:val="center" w:pos="4692"/>
        </w:tabs>
        <w:jc w:val="center"/>
        <w:rPr>
          <w:rFonts w:hint="eastAsia" w:ascii="仿宋" w:hAnsi="仿宋" w:eastAsia="仿宋" w:cs="仿宋"/>
          <w:sz w:val="48"/>
          <w:szCs w:val="48"/>
          <w:lang w:eastAsia="zh-CN"/>
        </w:rPr>
      </w:pPr>
    </w:p>
    <w:p>
      <w:pPr>
        <w:numPr>
          <w:ilvl w:val="0"/>
          <w:numId w:val="0"/>
        </w:numPr>
        <w:tabs>
          <w:tab w:val="left" w:pos="983"/>
          <w:tab w:val="center" w:pos="4692"/>
        </w:tabs>
        <w:jc w:val="center"/>
        <w:rPr>
          <w:rFonts w:hint="eastAsia" w:ascii="仿宋" w:hAnsi="仿宋" w:eastAsia="仿宋" w:cs="仿宋"/>
          <w:sz w:val="48"/>
          <w:szCs w:val="48"/>
          <w:lang w:eastAsia="zh-CN"/>
        </w:rPr>
      </w:pPr>
    </w:p>
    <w:p>
      <w:pPr>
        <w:numPr>
          <w:ilvl w:val="0"/>
          <w:numId w:val="0"/>
        </w:numPr>
        <w:tabs>
          <w:tab w:val="left" w:pos="983"/>
          <w:tab w:val="center" w:pos="4692"/>
        </w:tabs>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浉河区粮食局概况</w:t>
      </w:r>
    </w:p>
    <w:p>
      <w:pPr>
        <w:numPr>
          <w:ilvl w:val="0"/>
          <w:numId w:val="0"/>
        </w:numPr>
        <w:tabs>
          <w:tab w:val="left" w:pos="983"/>
          <w:tab w:val="center" w:pos="4692"/>
        </w:tabs>
        <w:jc w:val="both"/>
        <w:rPr>
          <w:rFonts w:hint="eastAsia" w:ascii="仿宋" w:hAnsi="仿宋" w:eastAsia="仿宋" w:cs="仿宋"/>
          <w:sz w:val="48"/>
          <w:szCs w:val="48"/>
          <w:lang w:eastAsia="zh-CN"/>
        </w:rPr>
      </w:pPr>
    </w:p>
    <w:p>
      <w:pPr>
        <w:jc w:val="center"/>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964" w:firstLineChars="300"/>
        <w:jc w:val="both"/>
        <w:textAlignment w:val="auto"/>
        <w:outlineLvl w:val="9"/>
        <w:rPr>
          <w:rFonts w:hint="eastAsia" w:ascii="仿宋" w:hAnsi="仿宋" w:eastAsia="仿宋" w:cs="仿宋"/>
          <w:b/>
          <w:bCs/>
          <w:color w:val="0000FF"/>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信阳市浉河区粮食局的主要职责是：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（一）贯彻执行国家粮食流通和粮油储备的方针、政策及法律、法规，拟定全区粮食流通体制及地方粮油储备管理体制，并监督执行。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（二）负责全区粮油收购资格的核查、管理工作。配合相关部门搞好辖区粮油市场管理；拟定区级储备粮油轮换计划的管理并监督实施。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（三）拟定并组织实施全区粮食流通和地方粮油储备中长期规划、粮油总量平衡、宏观调控和进出口计划，承担辖区粮油监测、预警、应急行政管理责任。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（四）承担国家、省、市粮油惠农政策的落实。按政策收购、储备、管理国家、省、市储备粮。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（五）负责辖区军队粮油供给，执行省军供粮油产销合同。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20" w:firstLineChars="22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（六）指导和初审辖区粮油仓储、加工粮食流通设施投资项目。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20" w:firstLineChars="22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（七）负责粮食系统国有及控股企业的财务、会计管理、内部审计、人事管理及职工教育培训工作。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20" w:firstLineChars="22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（八）监管全区粮食行业协会及合类专业协会等社团组织，为农民及合作组织提供粮油信息服务。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20" w:firstLineChars="22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（九）负责全社会粮食流通统计工作。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20" w:firstLineChars="22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（十）承担区政府交办的其它事项。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sz w:val="32"/>
          <w:szCs w:val="32"/>
        </w:rPr>
        <w:t>部门决算单位构成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浉河区</w:t>
      </w:r>
      <w:r>
        <w:rPr>
          <w:rFonts w:hint="eastAsia" w:ascii="仿宋" w:hAnsi="仿宋" w:eastAsia="仿宋" w:cs="仿宋"/>
          <w:sz w:val="32"/>
          <w:szCs w:val="32"/>
          <w:lang w:eastAsia="zh-CN"/>
        </w:rPr>
        <w:t>粮食局</w:t>
      </w:r>
      <w:r>
        <w:rPr>
          <w:rFonts w:hint="eastAsia" w:ascii="仿宋" w:hAnsi="仿宋" w:eastAsia="仿宋" w:cs="仿宋"/>
          <w:sz w:val="32"/>
          <w:szCs w:val="32"/>
        </w:rPr>
        <w:t>内设行政管理办公室、业务管理科、财务基建科、监察审计科、企业改革办公室共三科二室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6"/>
          <w:szCs w:val="36"/>
          <w:lang w:eastAsia="zh-CN"/>
        </w:rPr>
      </w:pPr>
      <w:r>
        <w:rPr>
          <w:rFonts w:hint="eastAsia" w:ascii="仿宋" w:hAnsi="仿宋" w:eastAsia="仿宋" w:cs="仿宋"/>
          <w:sz w:val="32"/>
          <w:szCs w:val="32"/>
        </w:rPr>
        <w:t>纳入</w:t>
      </w:r>
      <w:r>
        <w:rPr>
          <w:rFonts w:hint="eastAsia" w:ascii="仿宋" w:hAnsi="仿宋" w:eastAsia="仿宋" w:cs="仿宋"/>
          <w:sz w:val="32"/>
          <w:szCs w:val="32"/>
          <w:lang w:eastAsia="zh-CN"/>
        </w:rPr>
        <w:t>区粮食局</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年度部门决算编制范围的单位包括</w:t>
      </w:r>
      <w:r>
        <w:rPr>
          <w:rFonts w:hint="eastAsia" w:ascii="仿宋" w:hAnsi="仿宋" w:eastAsia="仿宋" w:cs="仿宋"/>
          <w:sz w:val="32"/>
          <w:szCs w:val="32"/>
          <w:lang w:eastAsia="zh-CN"/>
        </w:rPr>
        <w:t>浉河区粮食局</w:t>
      </w:r>
      <w:r>
        <w:rPr>
          <w:rFonts w:hint="eastAsia" w:ascii="仿宋" w:hAnsi="仿宋" w:eastAsia="仿宋" w:cs="仿宋"/>
          <w:sz w:val="32"/>
          <w:szCs w:val="32"/>
          <w:lang w:val="en-US" w:eastAsia="zh-CN"/>
        </w:rPr>
        <w:t>本级，无二级机构。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eastAsia" w:ascii="仿宋" w:hAnsi="仿宋" w:eastAsia="仿宋" w:cs="仿宋"/>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964" w:firstLineChars="200"/>
        <w:jc w:val="both"/>
        <w:textAlignment w:val="auto"/>
        <w:outlineLvl w:val="9"/>
        <w:rPr>
          <w:rFonts w:hint="eastAsia" w:ascii="仿宋" w:hAnsi="仿宋" w:eastAsia="仿宋" w:cs="仿宋"/>
          <w:b/>
          <w:bCs/>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964" w:firstLineChars="200"/>
        <w:jc w:val="both"/>
        <w:textAlignment w:val="auto"/>
        <w:outlineLvl w:val="9"/>
        <w:rPr>
          <w:rFonts w:hint="eastAsia" w:ascii="仿宋" w:hAnsi="仿宋" w:eastAsia="仿宋" w:cs="仿宋"/>
          <w:b/>
          <w:bCs/>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964" w:firstLineChars="200"/>
        <w:jc w:val="both"/>
        <w:textAlignment w:val="auto"/>
        <w:outlineLvl w:val="9"/>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浉河区粮食局2017年度部门决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 w:hAnsi="仿宋" w:eastAsia="仿宋" w:cs="仿宋"/>
          <w:b/>
          <w:bCs/>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 w:hAnsi="仿宋" w:eastAsia="仿宋" w:cs="仿宋"/>
          <w:b/>
          <w:bCs/>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 w:hAnsi="仿宋" w:eastAsia="仿宋" w:cs="仿宋"/>
          <w:b/>
          <w:bCs/>
          <w:sz w:val="36"/>
          <w:szCs w:val="36"/>
          <w:lang w:eastAsia="zh-CN"/>
        </w:rPr>
      </w:pPr>
      <w:r>
        <w:rPr>
          <w:rFonts w:hint="eastAsia" w:ascii="仿宋" w:hAnsi="仿宋" w:eastAsia="仿宋" w:cs="仿宋"/>
          <w:b/>
          <w:bCs/>
          <w:sz w:val="48"/>
          <w:szCs w:val="48"/>
          <w:lang w:val="en-US" w:eastAsia="zh-CN"/>
        </w:rPr>
        <w:t>算情况说明</w:t>
      </w:r>
    </w:p>
    <w:p>
      <w:pPr>
        <w:pStyle w:val="2"/>
        <w:spacing w:line="560" w:lineRule="exact"/>
        <w:rPr>
          <w:rFonts w:hint="eastAsia" w:ascii="仿宋" w:hAnsi="仿宋" w:eastAsia="仿宋" w:cs="仿宋"/>
          <w:sz w:val="32"/>
          <w:szCs w:val="32"/>
        </w:rPr>
      </w:pPr>
    </w:p>
    <w:p>
      <w:pPr>
        <w:pStyle w:val="2"/>
        <w:spacing w:line="560" w:lineRule="exact"/>
        <w:rPr>
          <w:rFonts w:hint="eastAsia" w:ascii="仿宋" w:hAnsi="仿宋" w:eastAsia="仿宋" w:cs="仿宋"/>
          <w:sz w:val="32"/>
          <w:szCs w:val="32"/>
        </w:rPr>
      </w:pPr>
    </w:p>
    <w:p>
      <w:pPr>
        <w:pStyle w:val="2"/>
        <w:spacing w:line="560" w:lineRule="exact"/>
        <w:rPr>
          <w:rFonts w:hint="eastAsia" w:ascii="仿宋" w:hAnsi="仿宋" w:eastAsia="仿宋" w:cs="仿宋"/>
          <w:sz w:val="32"/>
          <w:szCs w:val="32"/>
        </w:rPr>
      </w:pPr>
    </w:p>
    <w:p>
      <w:pPr>
        <w:pStyle w:val="2"/>
        <w:spacing w:line="560" w:lineRule="exact"/>
        <w:rPr>
          <w:rFonts w:hint="eastAsia" w:ascii="仿宋" w:hAnsi="仿宋" w:eastAsia="仿宋" w:cs="仿宋"/>
          <w:sz w:val="32"/>
          <w:szCs w:val="32"/>
        </w:rPr>
      </w:pPr>
    </w:p>
    <w:p>
      <w:pPr>
        <w:jc w:val="both"/>
        <w:outlineLvl w:val="0"/>
        <w:rPr>
          <w:rFonts w:hint="eastAsia" w:ascii="仿宋" w:hAnsi="仿宋" w:eastAsia="仿宋" w:cs="仿宋"/>
          <w:sz w:val="48"/>
          <w:szCs w:val="48"/>
        </w:rPr>
      </w:pPr>
    </w:p>
    <w:p>
      <w:pPr>
        <w:tabs>
          <w:tab w:val="left" w:pos="3383"/>
          <w:tab w:val="center" w:pos="4692"/>
        </w:tabs>
        <w:jc w:val="left"/>
        <w:outlineLvl w:val="0"/>
        <w:rPr>
          <w:rFonts w:hint="eastAsia" w:ascii="仿宋" w:hAnsi="仿宋" w:eastAsia="仿宋" w:cs="仿宋"/>
          <w:sz w:val="48"/>
          <w:szCs w:val="48"/>
          <w:lang w:eastAsia="zh-CN"/>
        </w:rPr>
      </w:pPr>
      <w:r>
        <w:rPr>
          <w:rFonts w:hint="eastAsia" w:ascii="仿宋" w:hAnsi="仿宋" w:eastAsia="仿宋" w:cs="仿宋"/>
          <w:sz w:val="48"/>
          <w:szCs w:val="48"/>
          <w:lang w:eastAsia="zh-CN"/>
        </w:rPr>
        <w:tab/>
      </w:r>
    </w:p>
    <w:p>
      <w:pPr>
        <w:tabs>
          <w:tab w:val="left" w:pos="3383"/>
          <w:tab w:val="center" w:pos="4692"/>
        </w:tabs>
        <w:jc w:val="left"/>
        <w:outlineLvl w:val="0"/>
        <w:rPr>
          <w:rFonts w:hint="eastAsia" w:ascii="仿宋" w:hAnsi="仿宋" w:eastAsia="仿宋" w:cs="仿宋"/>
          <w:sz w:val="48"/>
          <w:szCs w:val="48"/>
          <w:lang w:eastAsia="zh-CN"/>
        </w:rPr>
      </w:pPr>
    </w:p>
    <w:p>
      <w:pPr>
        <w:tabs>
          <w:tab w:val="left" w:pos="3383"/>
          <w:tab w:val="center" w:pos="4692"/>
        </w:tabs>
        <w:jc w:val="left"/>
        <w:outlineLvl w:val="0"/>
        <w:rPr>
          <w:rFonts w:hint="eastAsia" w:ascii="仿宋" w:hAnsi="仿宋" w:eastAsia="仿宋" w:cs="仿宋"/>
          <w:sz w:val="48"/>
          <w:szCs w:val="48"/>
          <w:lang w:eastAsia="zh-CN"/>
        </w:rPr>
      </w:pPr>
    </w:p>
    <w:p>
      <w:pPr>
        <w:tabs>
          <w:tab w:val="left" w:pos="3383"/>
          <w:tab w:val="center" w:pos="4692"/>
        </w:tabs>
        <w:jc w:val="left"/>
        <w:outlineLvl w:val="0"/>
        <w:rPr>
          <w:rFonts w:hint="eastAsia" w:ascii="仿宋" w:hAnsi="仿宋" w:eastAsia="仿宋" w:cs="仿宋"/>
          <w:sz w:val="48"/>
          <w:szCs w:val="48"/>
          <w:lang w:eastAsia="zh-CN"/>
        </w:rPr>
      </w:pPr>
    </w:p>
    <w:p>
      <w:pPr>
        <w:tabs>
          <w:tab w:val="left" w:pos="3383"/>
          <w:tab w:val="center" w:pos="4692"/>
        </w:tabs>
        <w:jc w:val="left"/>
        <w:outlineLvl w:val="0"/>
        <w:rPr>
          <w:rFonts w:hint="eastAsia" w:ascii="仿宋" w:hAnsi="仿宋" w:eastAsia="仿宋" w:cs="仿宋"/>
          <w:sz w:val="48"/>
          <w:szCs w:val="48"/>
          <w:lang w:eastAsia="zh-CN"/>
        </w:rPr>
      </w:pPr>
    </w:p>
    <w:p>
      <w:pPr>
        <w:tabs>
          <w:tab w:val="left" w:pos="3383"/>
          <w:tab w:val="center" w:pos="4692"/>
        </w:tabs>
        <w:jc w:val="left"/>
        <w:outlineLvl w:val="0"/>
        <w:rPr>
          <w:rFonts w:hint="eastAsia" w:ascii="仿宋" w:hAnsi="仿宋" w:eastAsia="仿宋" w:cs="仿宋"/>
          <w:sz w:val="48"/>
          <w:szCs w:val="48"/>
          <w:lang w:eastAsia="zh-CN"/>
        </w:rPr>
      </w:pPr>
    </w:p>
    <w:p>
      <w:pPr>
        <w:tabs>
          <w:tab w:val="left" w:pos="3383"/>
          <w:tab w:val="center" w:pos="4692"/>
        </w:tabs>
        <w:jc w:val="left"/>
        <w:outlineLvl w:val="0"/>
        <w:rPr>
          <w:rFonts w:hint="eastAsia" w:ascii="仿宋" w:hAnsi="仿宋" w:eastAsia="仿宋" w:cs="仿宋"/>
          <w:sz w:val="48"/>
          <w:szCs w:val="48"/>
          <w:lang w:eastAsia="zh-CN"/>
        </w:rPr>
      </w:pPr>
    </w:p>
    <w:p>
      <w:pPr>
        <w:tabs>
          <w:tab w:val="left" w:pos="3383"/>
          <w:tab w:val="center" w:pos="4692"/>
        </w:tabs>
        <w:jc w:val="left"/>
        <w:outlineLvl w:val="0"/>
        <w:rPr>
          <w:rFonts w:hint="eastAsia" w:ascii="仿宋" w:hAnsi="仿宋" w:eastAsia="仿宋" w:cs="仿宋"/>
          <w:sz w:val="48"/>
          <w:szCs w:val="48"/>
          <w:lang w:eastAsia="zh-CN"/>
        </w:rPr>
      </w:pPr>
      <w:r>
        <w:rPr>
          <w:rFonts w:hint="eastAsia" w:ascii="仿宋" w:hAnsi="仿宋" w:eastAsia="仿宋" w:cs="仿宋"/>
          <w:sz w:val="48"/>
          <w:szCs w:val="48"/>
          <w:lang w:eastAsia="zh-CN"/>
        </w:rPr>
        <w:tab/>
      </w:r>
    </w:p>
    <w:p>
      <w:pPr>
        <w:keepNext w:val="0"/>
        <w:keepLines w:val="0"/>
        <w:pageBreakBefore w:val="0"/>
        <w:widowControl/>
        <w:wordWrap/>
        <w:topLinePunct w:val="0"/>
        <w:bidi w:val="0"/>
        <w:adjustRightInd w:val="0"/>
        <w:snapToGrid w:val="0"/>
        <w:spacing w:line="540" w:lineRule="exact"/>
        <w:ind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wordWrap/>
        <w:topLinePunct w:val="0"/>
        <w:bidi w:val="0"/>
        <w:adjustRightInd w:val="0"/>
        <w:snapToGrid w:val="0"/>
        <w:spacing w:line="540" w:lineRule="exact"/>
        <w:ind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wordWrap/>
        <w:topLinePunct w:val="0"/>
        <w:bidi w:val="0"/>
        <w:adjustRightInd w:val="0"/>
        <w:snapToGrid w:val="0"/>
        <w:spacing w:line="54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一、关于收入支出决算总体情况说明</w:t>
      </w:r>
    </w:p>
    <w:p>
      <w:pPr>
        <w:keepNext w:val="0"/>
        <w:keepLines w:val="0"/>
        <w:pageBreakBefore w:val="0"/>
        <w:widowControl/>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年度收入总计</w:t>
      </w:r>
      <w:r>
        <w:rPr>
          <w:rFonts w:hint="eastAsia" w:ascii="仿宋" w:hAnsi="仿宋" w:eastAsia="仿宋" w:cs="仿宋"/>
          <w:sz w:val="32"/>
          <w:szCs w:val="32"/>
          <w:lang w:val="en-US" w:eastAsia="zh-CN"/>
        </w:rPr>
        <w:t>707.17</w:t>
      </w:r>
      <w:r>
        <w:rPr>
          <w:rFonts w:hint="eastAsia" w:ascii="仿宋" w:hAnsi="仿宋" w:eastAsia="仿宋" w:cs="仿宋"/>
          <w:sz w:val="32"/>
          <w:szCs w:val="32"/>
        </w:rPr>
        <w:t>万元，</w:t>
      </w:r>
      <w:r>
        <w:rPr>
          <w:rFonts w:hint="eastAsia" w:ascii="仿宋" w:hAnsi="仿宋" w:eastAsia="仿宋" w:cs="仿宋"/>
          <w:sz w:val="32"/>
          <w:szCs w:val="32"/>
          <w:lang w:eastAsia="zh-CN"/>
        </w:rPr>
        <w:t>属财政拨款收入，</w:t>
      </w:r>
      <w:r>
        <w:rPr>
          <w:rFonts w:hint="eastAsia" w:ascii="仿宋" w:hAnsi="仿宋" w:eastAsia="仿宋" w:cs="仿宋"/>
          <w:sz w:val="32"/>
          <w:szCs w:val="32"/>
          <w:lang w:val="en-US" w:eastAsia="zh-CN"/>
        </w:rPr>
        <w:t>年初结转结余776.07万元。</w:t>
      </w:r>
      <w:r>
        <w:rPr>
          <w:rFonts w:hint="eastAsia" w:ascii="仿宋" w:hAnsi="仿宋" w:eastAsia="仿宋" w:cs="仿宋"/>
          <w:sz w:val="32"/>
          <w:szCs w:val="32"/>
        </w:rPr>
        <w:t>支出总计</w:t>
      </w:r>
      <w:r>
        <w:rPr>
          <w:rFonts w:hint="eastAsia" w:ascii="仿宋" w:hAnsi="仿宋" w:eastAsia="仿宋" w:cs="仿宋"/>
          <w:sz w:val="32"/>
          <w:szCs w:val="32"/>
          <w:lang w:val="en-US" w:eastAsia="zh-CN"/>
        </w:rPr>
        <w:t>905.22</w:t>
      </w:r>
      <w:r>
        <w:rPr>
          <w:rFonts w:hint="eastAsia" w:ascii="仿宋" w:hAnsi="仿宋" w:eastAsia="仿宋" w:cs="仿宋"/>
          <w:sz w:val="32"/>
          <w:szCs w:val="32"/>
        </w:rPr>
        <w:t>万元，与201</w:t>
      </w:r>
      <w:r>
        <w:rPr>
          <w:rFonts w:hint="eastAsia" w:ascii="仿宋" w:hAnsi="仿宋" w:eastAsia="仿宋" w:cs="仿宋"/>
          <w:sz w:val="32"/>
          <w:szCs w:val="32"/>
          <w:lang w:val="en-US" w:eastAsia="zh-CN"/>
        </w:rPr>
        <w:t>6</w:t>
      </w:r>
      <w:r>
        <w:rPr>
          <w:rFonts w:hint="eastAsia" w:ascii="仿宋" w:hAnsi="仿宋" w:eastAsia="仿宋" w:cs="仿宋"/>
          <w:sz w:val="32"/>
          <w:szCs w:val="32"/>
        </w:rPr>
        <w:t>年相比，收入</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626.94</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47%，</w:t>
      </w:r>
      <w:r>
        <w:rPr>
          <w:rFonts w:hint="eastAsia" w:ascii="仿宋" w:hAnsi="仿宋" w:eastAsia="仿宋" w:cs="仿宋"/>
          <w:sz w:val="32"/>
          <w:szCs w:val="32"/>
        </w:rPr>
        <w:t>支出</w:t>
      </w:r>
      <w:r>
        <w:rPr>
          <w:rFonts w:hint="eastAsia" w:ascii="仿宋" w:hAnsi="仿宋" w:eastAsia="仿宋" w:cs="仿宋"/>
          <w:sz w:val="32"/>
          <w:szCs w:val="32"/>
          <w:lang w:val="en-US" w:eastAsia="zh-CN"/>
        </w:rPr>
        <w:t>905.22万元</w:t>
      </w:r>
      <w:r>
        <w:rPr>
          <w:rFonts w:hint="eastAsia" w:ascii="仿宋" w:hAnsi="仿宋" w:eastAsia="仿宋" w:cs="仿宋"/>
          <w:sz w:val="32"/>
          <w:szCs w:val="32"/>
        </w:rPr>
        <w:t>，</w:t>
      </w:r>
      <w:r>
        <w:rPr>
          <w:rFonts w:hint="eastAsia" w:ascii="仿宋" w:hAnsi="仿宋" w:eastAsia="仿宋" w:cs="仿宋"/>
          <w:sz w:val="32"/>
          <w:szCs w:val="32"/>
          <w:lang w:eastAsia="zh-CN"/>
        </w:rPr>
        <w:t>较上年</w:t>
      </w:r>
      <w:r>
        <w:rPr>
          <w:rFonts w:hint="eastAsia" w:ascii="仿宋" w:hAnsi="仿宋" w:eastAsia="仿宋" w:cs="仿宋"/>
          <w:sz w:val="32"/>
          <w:szCs w:val="32"/>
          <w:lang w:val="en-US" w:eastAsia="zh-CN"/>
        </w:rPr>
        <w:t>555.98万元增长62%</w:t>
      </w:r>
      <w:r>
        <w:rPr>
          <w:rFonts w:hint="eastAsia" w:ascii="仿宋" w:hAnsi="仿宋" w:eastAsia="仿宋" w:cs="仿宋"/>
          <w:sz w:val="32"/>
          <w:szCs w:val="32"/>
        </w:rPr>
        <w:t>。</w:t>
      </w:r>
    </w:p>
    <w:p>
      <w:pPr>
        <w:keepNext w:val="0"/>
        <w:keepLines w:val="0"/>
        <w:pageBreakBefore w:val="0"/>
        <w:widowControl/>
        <w:numPr>
          <w:ilvl w:val="0"/>
          <w:numId w:val="0"/>
        </w:numPr>
        <w:tabs>
          <w:tab w:val="left" w:pos="938"/>
        </w:tabs>
        <w:wordWrap/>
        <w:topLinePunct w:val="0"/>
        <w:bidi w:val="0"/>
        <w:adjustRightInd w:val="0"/>
        <w:snapToGrid w:val="0"/>
        <w:spacing w:line="540" w:lineRule="exact"/>
        <w:ind w:leftChars="200"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关于收入决算情况说明</w:t>
      </w:r>
    </w:p>
    <w:p>
      <w:pPr>
        <w:keepNext w:val="0"/>
        <w:keepLines w:val="0"/>
        <w:pageBreakBefore w:val="0"/>
        <w:widowControl/>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707.17</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707.17</w:t>
      </w:r>
      <w:r>
        <w:rPr>
          <w:rFonts w:hint="eastAsia" w:ascii="仿宋" w:hAnsi="仿宋" w:eastAsia="仿宋" w:cs="仿宋"/>
          <w:sz w:val="32"/>
          <w:szCs w:val="32"/>
        </w:rPr>
        <w:t>万元，占100 %；事业收入0 万元，占 0 %；经营收入0万元，占 0 %；其他收入0万元，占0 %。</w:t>
      </w:r>
    </w:p>
    <w:p>
      <w:pPr>
        <w:keepNext w:val="0"/>
        <w:keepLines w:val="0"/>
        <w:pageBreakBefore w:val="0"/>
        <w:widowControl/>
        <w:numPr>
          <w:ilvl w:val="0"/>
          <w:numId w:val="0"/>
        </w:numPr>
        <w:wordWrap/>
        <w:topLinePunct w:val="0"/>
        <w:bidi w:val="0"/>
        <w:adjustRightInd w:val="0"/>
        <w:snapToGrid w:val="0"/>
        <w:spacing w:line="540" w:lineRule="exact"/>
        <w:ind w:leftChars="200"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关于支出决算情况说明</w:t>
      </w:r>
    </w:p>
    <w:p>
      <w:pPr>
        <w:keepNext w:val="0"/>
        <w:keepLines w:val="0"/>
        <w:pageBreakBefore w:val="0"/>
        <w:widowControl/>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905.22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389.91</w:t>
      </w:r>
      <w:r>
        <w:rPr>
          <w:rFonts w:hint="eastAsia" w:ascii="仿宋" w:hAnsi="仿宋" w:eastAsia="仿宋" w:cs="仿宋"/>
          <w:sz w:val="32"/>
          <w:szCs w:val="32"/>
        </w:rPr>
        <w:t>万元，占</w:t>
      </w:r>
      <w:r>
        <w:rPr>
          <w:rFonts w:hint="eastAsia" w:ascii="仿宋" w:hAnsi="仿宋" w:eastAsia="仿宋" w:cs="仿宋"/>
          <w:sz w:val="32"/>
          <w:szCs w:val="32"/>
          <w:lang w:val="en-US" w:eastAsia="zh-CN"/>
        </w:rPr>
        <w:t>43%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515.31</w:t>
      </w:r>
      <w:r>
        <w:rPr>
          <w:rFonts w:hint="eastAsia" w:ascii="仿宋" w:hAnsi="仿宋" w:eastAsia="仿宋" w:cs="仿宋"/>
          <w:sz w:val="32"/>
          <w:szCs w:val="32"/>
        </w:rPr>
        <w:t>万元，</w:t>
      </w:r>
      <w:r>
        <w:rPr>
          <w:rFonts w:hint="eastAsia" w:ascii="仿宋" w:hAnsi="仿宋" w:eastAsia="仿宋" w:cs="仿宋"/>
          <w:sz w:val="32"/>
          <w:szCs w:val="32"/>
          <w:lang w:eastAsia="zh-CN"/>
        </w:rPr>
        <w:t>占支出总额</w:t>
      </w:r>
      <w:r>
        <w:rPr>
          <w:rFonts w:hint="eastAsia" w:ascii="仿宋" w:hAnsi="仿宋" w:eastAsia="仿宋" w:cs="仿宋"/>
          <w:sz w:val="32"/>
          <w:szCs w:val="32"/>
          <w:lang w:val="en-US" w:eastAsia="zh-CN"/>
        </w:rPr>
        <w:t>57</w:t>
      </w:r>
      <w:r>
        <w:rPr>
          <w:rFonts w:hint="eastAsia" w:ascii="仿宋" w:hAnsi="仿宋" w:eastAsia="仿宋" w:cs="仿宋"/>
          <w:sz w:val="32"/>
          <w:szCs w:val="32"/>
        </w:rPr>
        <w:t>%；经营支出0万元，占0%。</w:t>
      </w:r>
    </w:p>
    <w:p>
      <w:pPr>
        <w:keepNext w:val="0"/>
        <w:keepLines w:val="0"/>
        <w:pageBreakBefore w:val="0"/>
        <w:widowControl/>
        <w:numPr>
          <w:ilvl w:val="0"/>
          <w:numId w:val="0"/>
        </w:numPr>
        <w:tabs>
          <w:tab w:val="left" w:pos="608"/>
        </w:tabs>
        <w:wordWrap/>
        <w:topLinePunct w:val="0"/>
        <w:bidi w:val="0"/>
        <w:adjustRightInd w:val="0"/>
        <w:snapToGrid w:val="0"/>
        <w:spacing w:line="540" w:lineRule="exact"/>
        <w:ind w:left="0" w:leftChars="0" w:right="0" w:rightChars="0" w:firstLine="960" w:firstLineChars="3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关于财政拨款收入支出决算总体情况说明</w:t>
      </w:r>
    </w:p>
    <w:p>
      <w:pPr>
        <w:keepNext w:val="0"/>
        <w:keepLines w:val="0"/>
        <w:pageBreakBefore w:val="0"/>
        <w:widowControl/>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年财政拨款收</w:t>
      </w:r>
      <w:r>
        <w:rPr>
          <w:rFonts w:hint="eastAsia" w:ascii="仿宋" w:hAnsi="仿宋" w:eastAsia="仿宋" w:cs="仿宋"/>
          <w:sz w:val="32"/>
          <w:szCs w:val="32"/>
          <w:lang w:eastAsia="zh-CN"/>
        </w:rPr>
        <w:t>入</w:t>
      </w:r>
      <w:r>
        <w:rPr>
          <w:rFonts w:hint="eastAsia" w:ascii="仿宋" w:hAnsi="仿宋" w:eastAsia="仿宋" w:cs="仿宋"/>
          <w:sz w:val="32"/>
          <w:szCs w:val="32"/>
          <w:lang w:val="en-US" w:eastAsia="zh-CN"/>
        </w:rPr>
        <w:t>707.17万元，与2016年相比减少47%。</w:t>
      </w:r>
      <w:r>
        <w:rPr>
          <w:rFonts w:hint="eastAsia" w:ascii="仿宋" w:hAnsi="仿宋" w:eastAsia="仿宋" w:cs="仿宋"/>
          <w:sz w:val="32"/>
          <w:szCs w:val="32"/>
        </w:rPr>
        <w:t>支</w:t>
      </w:r>
      <w:r>
        <w:rPr>
          <w:rFonts w:hint="eastAsia" w:ascii="仿宋" w:hAnsi="仿宋" w:eastAsia="仿宋" w:cs="仿宋"/>
          <w:sz w:val="32"/>
          <w:szCs w:val="32"/>
          <w:lang w:eastAsia="zh-CN"/>
        </w:rPr>
        <w:t>出</w:t>
      </w:r>
      <w:r>
        <w:rPr>
          <w:rFonts w:hint="eastAsia" w:ascii="仿宋" w:hAnsi="仿宋" w:eastAsia="仿宋" w:cs="仿宋"/>
          <w:sz w:val="32"/>
          <w:szCs w:val="32"/>
        </w:rPr>
        <w:t>总决算</w:t>
      </w:r>
      <w:r>
        <w:rPr>
          <w:rFonts w:hint="eastAsia" w:ascii="仿宋" w:hAnsi="仿宋" w:eastAsia="仿宋" w:cs="仿宋"/>
          <w:sz w:val="32"/>
          <w:szCs w:val="32"/>
          <w:lang w:val="en-US" w:eastAsia="zh-CN"/>
        </w:rPr>
        <w:t>905.22</w:t>
      </w:r>
      <w:r>
        <w:rPr>
          <w:rFonts w:hint="eastAsia" w:ascii="仿宋" w:hAnsi="仿宋" w:eastAsia="仿宋" w:cs="仿宋"/>
          <w:sz w:val="32"/>
          <w:szCs w:val="32"/>
        </w:rPr>
        <w:t>万元。与201</w:t>
      </w:r>
      <w:r>
        <w:rPr>
          <w:rFonts w:hint="eastAsia" w:ascii="仿宋" w:hAnsi="仿宋" w:eastAsia="仿宋" w:cs="仿宋"/>
          <w:sz w:val="32"/>
          <w:szCs w:val="32"/>
          <w:lang w:val="en-US" w:eastAsia="zh-CN"/>
        </w:rPr>
        <w:t>6</w:t>
      </w:r>
      <w:r>
        <w:rPr>
          <w:rFonts w:hint="eastAsia" w:ascii="仿宋" w:hAnsi="仿宋" w:eastAsia="仿宋" w:cs="仿宋"/>
          <w:sz w:val="32"/>
          <w:szCs w:val="32"/>
        </w:rPr>
        <w:t>年相比支</w:t>
      </w:r>
      <w:r>
        <w:rPr>
          <w:rFonts w:hint="eastAsia" w:ascii="仿宋" w:hAnsi="仿宋" w:eastAsia="仿宋" w:cs="仿宋"/>
          <w:sz w:val="32"/>
          <w:szCs w:val="32"/>
          <w:lang w:eastAsia="zh-CN"/>
        </w:rPr>
        <w:t>出增加</w:t>
      </w:r>
      <w:r>
        <w:rPr>
          <w:rFonts w:hint="eastAsia" w:ascii="仿宋" w:hAnsi="仿宋" w:eastAsia="仿宋" w:cs="仿宋"/>
          <w:sz w:val="32"/>
          <w:szCs w:val="32"/>
          <w:lang w:val="en-US" w:eastAsia="zh-CN"/>
        </w:rPr>
        <w:t>349.24</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62</w:t>
      </w:r>
      <w:r>
        <w:rPr>
          <w:rFonts w:hint="eastAsia" w:ascii="仿宋" w:hAnsi="仿宋" w:eastAsia="仿宋" w:cs="仿宋"/>
          <w:sz w:val="32"/>
          <w:szCs w:val="32"/>
        </w:rPr>
        <w:t>%。</w:t>
      </w:r>
    </w:p>
    <w:p>
      <w:pPr>
        <w:keepNext w:val="0"/>
        <w:keepLines w:val="0"/>
        <w:pageBreakBefore w:val="0"/>
        <w:widowControl/>
        <w:numPr>
          <w:ilvl w:val="0"/>
          <w:numId w:val="0"/>
        </w:numPr>
        <w:tabs>
          <w:tab w:val="left" w:pos="1013"/>
        </w:tabs>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关于一般公共预算财政拨款支出决算情况说明</w:t>
      </w:r>
    </w:p>
    <w:p>
      <w:pPr>
        <w:keepNext w:val="0"/>
        <w:keepLines w:val="0"/>
        <w:pageBreakBefore w:val="0"/>
        <w:widowControl/>
        <w:numPr>
          <w:ilvl w:val="0"/>
          <w:numId w:val="3"/>
        </w:numPr>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财政拨款支出决算总体情况。</w:t>
      </w:r>
    </w:p>
    <w:p>
      <w:pPr>
        <w:keepNext w:val="0"/>
        <w:keepLines w:val="0"/>
        <w:pageBreakBefore w:val="0"/>
        <w:widowControl/>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905.22</w:t>
      </w:r>
      <w:r>
        <w:rPr>
          <w:rFonts w:hint="eastAsia" w:ascii="仿宋" w:hAnsi="仿宋" w:eastAsia="仿宋" w:cs="仿宋"/>
          <w:sz w:val="32"/>
          <w:szCs w:val="32"/>
        </w:rPr>
        <w:t>万元，占支出合计的100%。与201</w:t>
      </w:r>
      <w:r>
        <w:rPr>
          <w:rFonts w:hint="eastAsia" w:ascii="仿宋" w:hAnsi="仿宋" w:eastAsia="仿宋" w:cs="仿宋"/>
          <w:sz w:val="32"/>
          <w:szCs w:val="32"/>
          <w:lang w:val="en-US" w:eastAsia="zh-CN"/>
        </w:rPr>
        <w:t>6</w:t>
      </w:r>
      <w:r>
        <w:rPr>
          <w:rFonts w:hint="eastAsia" w:ascii="仿宋" w:hAnsi="仿宋" w:eastAsia="仿宋" w:cs="仿宋"/>
          <w:sz w:val="32"/>
          <w:szCs w:val="32"/>
        </w:rPr>
        <w:t>年相比，一般公共预算财政拨款支出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349.24</w:t>
      </w:r>
      <w:r>
        <w:rPr>
          <w:rFonts w:hint="eastAsia" w:ascii="仿宋" w:hAnsi="仿宋" w:eastAsia="仿宋" w:cs="仿宋"/>
          <w:sz w:val="32"/>
          <w:szCs w:val="32"/>
        </w:rPr>
        <w:t>万元，</w:t>
      </w:r>
      <w:r>
        <w:rPr>
          <w:rFonts w:hint="eastAsia" w:ascii="仿宋" w:hAnsi="仿宋" w:eastAsia="仿宋" w:cs="仿宋"/>
          <w:sz w:val="32"/>
          <w:szCs w:val="32"/>
          <w:lang w:val="en-US" w:eastAsia="zh-CN"/>
        </w:rPr>
        <w:t>增长62</w:t>
      </w:r>
      <w:r>
        <w:rPr>
          <w:rFonts w:hint="eastAsia" w:ascii="仿宋" w:hAnsi="仿宋" w:eastAsia="仿宋" w:cs="仿宋"/>
          <w:sz w:val="32"/>
          <w:szCs w:val="32"/>
        </w:rPr>
        <w:t>%。</w:t>
      </w:r>
    </w:p>
    <w:p>
      <w:pPr>
        <w:keepNext w:val="0"/>
        <w:keepLines w:val="0"/>
        <w:pageBreakBefore w:val="0"/>
        <w:widowControl/>
        <w:numPr>
          <w:ilvl w:val="0"/>
          <w:numId w:val="3"/>
        </w:numPr>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财政拨款支出决算结构情况。</w:t>
      </w:r>
    </w:p>
    <w:p>
      <w:pPr>
        <w:keepNext w:val="0"/>
        <w:keepLines w:val="0"/>
        <w:pageBreakBefore w:val="0"/>
        <w:widowControl/>
        <w:wordWrap/>
        <w:topLinePunct w:val="0"/>
        <w:bidi w:val="0"/>
        <w:adjustRightInd w:val="0"/>
        <w:snapToGrid w:val="0"/>
        <w:spacing w:line="540" w:lineRule="exact"/>
        <w:ind w:left="319" w:leftChars="152" w:right="0" w:rightChars="0" w:firstLine="320" w:firstLineChars="1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905.22</w:t>
      </w:r>
      <w:r>
        <w:rPr>
          <w:rFonts w:hint="eastAsia" w:ascii="仿宋" w:hAnsi="仿宋" w:eastAsia="仿宋" w:cs="仿宋"/>
          <w:sz w:val="32"/>
          <w:szCs w:val="32"/>
        </w:rPr>
        <w:t>万元，主要用于以下方面：一般公共服务（类）支出</w:t>
      </w:r>
      <w:r>
        <w:rPr>
          <w:rFonts w:hint="eastAsia" w:ascii="仿宋" w:hAnsi="仿宋" w:eastAsia="仿宋" w:cs="仿宋"/>
          <w:sz w:val="32"/>
          <w:szCs w:val="32"/>
          <w:lang w:val="en-US" w:eastAsia="zh-CN"/>
        </w:rPr>
        <w:t>905.22</w:t>
      </w:r>
      <w:r>
        <w:rPr>
          <w:rFonts w:hint="eastAsia" w:ascii="仿宋" w:hAnsi="仿宋" w:eastAsia="仿宋" w:cs="仿宋"/>
          <w:sz w:val="32"/>
          <w:szCs w:val="32"/>
        </w:rPr>
        <w:t>万元，占100%；外交类支出0万元，占0%</w:t>
      </w:r>
      <w:r>
        <w:rPr>
          <w:rFonts w:hint="eastAsia" w:ascii="仿宋" w:hAnsi="仿宋" w:eastAsia="仿宋" w:cs="仿宋"/>
          <w:sz w:val="32"/>
          <w:szCs w:val="32"/>
          <w:lang w:eastAsia="zh-CN"/>
        </w:rPr>
        <w:t>。</w:t>
      </w:r>
    </w:p>
    <w:p>
      <w:pPr>
        <w:keepNext w:val="0"/>
        <w:keepLines w:val="0"/>
        <w:pageBreakBefore w:val="0"/>
        <w:widowControl/>
        <w:numPr>
          <w:ilvl w:val="0"/>
          <w:numId w:val="3"/>
        </w:numPr>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财政拨款支出决算具体情况</w:t>
      </w:r>
    </w:p>
    <w:p>
      <w:pPr>
        <w:keepNext w:val="0"/>
        <w:keepLines w:val="0"/>
        <w:pageBreakBefore w:val="0"/>
        <w:widowControl/>
        <w:numPr>
          <w:ilvl w:val="0"/>
          <w:numId w:val="0"/>
        </w:numPr>
        <w:wordWrap/>
        <w:topLinePunct w:val="0"/>
        <w:bidi w:val="0"/>
        <w:adjustRightInd w:val="0"/>
        <w:snapToGrid w:val="0"/>
        <w:spacing w:line="540" w:lineRule="exact"/>
        <w:ind w:left="319" w:leftChars="152" w:right="0" w:rightChars="0" w:firstLine="652" w:firstLineChars="204"/>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2017年度一般公共预算财政拨款支出年初预算为434.01 万元，支出决算为 905.22万元，完成年初预算的208 %。决算数大于预算数的主要原因一是粮食财务挂账利息补贴292万元未纳入年初预算，二是2016年度应急仓房改造维修资金在本年支出所致。其中：</w:t>
      </w:r>
    </w:p>
    <w:p>
      <w:pPr>
        <w:keepNext w:val="0"/>
        <w:keepLines w:val="0"/>
        <w:pageBreakBefore w:val="0"/>
        <w:widowControl/>
        <w:numPr>
          <w:ilvl w:val="0"/>
          <w:numId w:val="4"/>
        </w:numPr>
        <w:wordWrap/>
        <w:topLinePunct w:val="0"/>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一般公共服务（类）财政事务（款）行政运行（项）。年初预算为 181.41 万元，支出决算为  227.43万元，完成年初预算的 125 %。决算大于预算的主要原因是人员工资调整。</w:t>
      </w:r>
    </w:p>
    <w:p>
      <w:pPr>
        <w:keepNext w:val="0"/>
        <w:keepLines w:val="0"/>
        <w:pageBreakBefore w:val="0"/>
        <w:widowControl/>
        <w:numPr>
          <w:ilvl w:val="0"/>
          <w:numId w:val="4"/>
        </w:numPr>
        <w:wordWrap/>
        <w:topLinePunct w:val="0"/>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一般公共服务（类）财政事务（款）一般行政管理事务（项）。年初预算为 30.56 万元，支出决算为  40.78万元，完成年初预算的 133 %。决算大于预算的主要原因是属增加粮食专项管理经费。</w:t>
      </w:r>
    </w:p>
    <w:p>
      <w:pPr>
        <w:keepNext w:val="0"/>
        <w:keepLines w:val="0"/>
        <w:pageBreakBefore w:val="0"/>
        <w:widowControl/>
        <w:numPr>
          <w:ilvl w:val="0"/>
          <w:numId w:val="0"/>
        </w:numPr>
        <w:wordWrap/>
        <w:topLinePunct w:val="0"/>
        <w:bidi w:val="0"/>
        <w:adjustRightInd w:val="0"/>
        <w:snapToGrid w:val="0"/>
        <w:spacing w:line="54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numPr>
          <w:ilvl w:val="0"/>
          <w:numId w:val="0"/>
        </w:numPr>
        <w:wordWrap/>
        <w:topLinePunct w:val="0"/>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wordWrap/>
        <w:topLinePunct w:val="0"/>
        <w:bidi w:val="0"/>
        <w:adjustRightInd w:val="0"/>
        <w:snapToGrid w:val="0"/>
        <w:spacing w:line="54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、关于一般公共预算财政拨款基本支出决算情况说明</w:t>
      </w:r>
    </w:p>
    <w:p>
      <w:pPr>
        <w:keepNext w:val="0"/>
        <w:keepLines w:val="0"/>
        <w:pageBreakBefore w:val="0"/>
        <w:widowControl/>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年一般公共预算财政拨款基本支出</w:t>
      </w:r>
      <w:r>
        <w:rPr>
          <w:rFonts w:hint="eastAsia" w:ascii="仿宋" w:hAnsi="仿宋" w:eastAsia="仿宋" w:cs="仿宋"/>
          <w:sz w:val="32"/>
          <w:szCs w:val="32"/>
          <w:lang w:val="en-US" w:eastAsia="zh-CN"/>
        </w:rPr>
        <w:t>389.91</w:t>
      </w:r>
      <w:r>
        <w:rPr>
          <w:rFonts w:hint="eastAsia" w:ascii="仿宋" w:hAnsi="仿宋" w:eastAsia="仿宋" w:cs="仿宋"/>
          <w:sz w:val="32"/>
          <w:szCs w:val="32"/>
        </w:rPr>
        <w:t>万元，其中：</w:t>
      </w:r>
      <w:r>
        <w:rPr>
          <w:rFonts w:hint="eastAsia" w:ascii="仿宋" w:hAnsi="仿宋" w:eastAsia="仿宋" w:cs="仿宋"/>
          <w:bCs/>
          <w:spacing w:val="-1"/>
          <w:kern w:val="0"/>
          <w:sz w:val="32"/>
          <w:szCs w:val="32"/>
        </w:rPr>
        <w:t>人员经费</w:t>
      </w:r>
      <w:r>
        <w:rPr>
          <w:rFonts w:hint="eastAsia" w:ascii="仿宋" w:hAnsi="仿宋" w:eastAsia="仿宋" w:cs="仿宋"/>
          <w:bCs/>
          <w:spacing w:val="-1"/>
          <w:kern w:val="0"/>
          <w:sz w:val="32"/>
          <w:szCs w:val="32"/>
          <w:lang w:val="en-US" w:eastAsia="zh-CN"/>
        </w:rPr>
        <w:t>227.43</w:t>
      </w:r>
      <w:r>
        <w:rPr>
          <w:rFonts w:hint="eastAsia" w:ascii="仿宋" w:hAnsi="仿宋" w:eastAsia="仿宋" w:cs="仿宋"/>
          <w:bCs/>
          <w:spacing w:val="-1"/>
          <w:kern w:val="0"/>
          <w:sz w:val="32"/>
          <w:szCs w:val="32"/>
        </w:rPr>
        <w:t>万元</w:t>
      </w:r>
      <w:r>
        <w:rPr>
          <w:rFonts w:hint="eastAsia" w:ascii="仿宋" w:hAnsi="仿宋" w:eastAsia="仿宋" w:cs="仿宋"/>
          <w:bCs/>
          <w:sz w:val="32"/>
          <w:szCs w:val="32"/>
        </w:rPr>
        <w:t>，</w:t>
      </w:r>
      <w:r>
        <w:rPr>
          <w:rFonts w:hint="eastAsia" w:ascii="仿宋" w:hAnsi="仿宋" w:eastAsia="仿宋" w:cs="仿宋"/>
          <w:sz w:val="32"/>
          <w:szCs w:val="32"/>
        </w:rPr>
        <w:t>主要包括：基本工资、津贴补贴、伙食补助费、绩效工资</w:t>
      </w:r>
      <w:r>
        <w:rPr>
          <w:rFonts w:hint="eastAsia" w:ascii="仿宋" w:hAnsi="仿宋" w:eastAsia="仿宋" w:cs="仿宋"/>
          <w:sz w:val="32"/>
          <w:szCs w:val="32"/>
          <w:lang w:val="en-US" w:eastAsia="zh-CN"/>
        </w:rPr>
        <w:t>等</w:t>
      </w:r>
      <w:r>
        <w:rPr>
          <w:rFonts w:hint="eastAsia" w:ascii="仿宋" w:hAnsi="仿宋" w:eastAsia="仿宋" w:cs="仿宋"/>
          <w:sz w:val="32"/>
          <w:szCs w:val="32"/>
        </w:rPr>
        <w:t>；</w:t>
      </w:r>
      <w:r>
        <w:rPr>
          <w:rFonts w:hint="eastAsia" w:ascii="仿宋" w:hAnsi="仿宋" w:eastAsia="仿宋" w:cs="仿宋"/>
          <w:b/>
          <w:spacing w:val="-1"/>
          <w:kern w:val="0"/>
          <w:sz w:val="32"/>
          <w:szCs w:val="32"/>
        </w:rPr>
        <w:t>公用经费</w:t>
      </w:r>
      <w:r>
        <w:rPr>
          <w:rFonts w:hint="eastAsia" w:ascii="仿宋" w:hAnsi="仿宋" w:eastAsia="仿宋" w:cs="仿宋"/>
          <w:b/>
          <w:spacing w:val="-1"/>
          <w:kern w:val="0"/>
          <w:sz w:val="32"/>
          <w:szCs w:val="32"/>
          <w:lang w:val="en-US" w:eastAsia="zh-CN"/>
        </w:rPr>
        <w:t>162.48</w:t>
      </w:r>
      <w:r>
        <w:rPr>
          <w:rFonts w:hint="eastAsia" w:ascii="仿宋" w:hAnsi="仿宋" w:eastAsia="仿宋" w:cs="仿宋"/>
          <w:spacing w:val="-2"/>
          <w:kern w:val="0"/>
          <w:sz w:val="32"/>
          <w:szCs w:val="32"/>
        </w:rPr>
        <w:t>万元</w:t>
      </w:r>
      <w:r>
        <w:rPr>
          <w:rFonts w:hint="eastAsia" w:ascii="仿宋" w:hAnsi="仿宋" w:eastAsia="仿宋" w:cs="仿宋"/>
          <w:sz w:val="32"/>
          <w:szCs w:val="32"/>
        </w:rPr>
        <w:t>，主要包括：办公费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水电费、邮电费等</w:t>
      </w:r>
      <w:r>
        <w:rPr>
          <w:rFonts w:hint="eastAsia" w:ascii="仿宋" w:hAnsi="仿宋" w:eastAsia="仿宋" w:cs="仿宋"/>
          <w:sz w:val="32"/>
          <w:szCs w:val="32"/>
        </w:rPr>
        <w:t>。</w:t>
      </w:r>
    </w:p>
    <w:p>
      <w:pPr>
        <w:keepNext w:val="0"/>
        <w:keepLines w:val="0"/>
        <w:pageBreakBefore w:val="0"/>
        <w:widowControl/>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、关于一般公共预算财政拨款“三公”经费支出决算情况说明</w:t>
      </w:r>
    </w:p>
    <w:p>
      <w:pPr>
        <w:keepNext w:val="0"/>
        <w:keepLines w:val="0"/>
        <w:pageBreakBefore w:val="0"/>
        <w:widowControl/>
        <w:numPr>
          <w:ilvl w:val="0"/>
          <w:numId w:val="5"/>
        </w:numPr>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“三公”经费财政拨款支出决算总体情况说明。</w:t>
      </w: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年度“三公”经费财政拨款支出</w:t>
      </w:r>
      <w:r>
        <w:rPr>
          <w:rFonts w:hint="eastAsia" w:ascii="仿宋" w:hAnsi="仿宋" w:eastAsia="仿宋" w:cs="仿宋"/>
          <w:sz w:val="32"/>
          <w:szCs w:val="32"/>
          <w:lang w:eastAsia="zh-CN"/>
        </w:rPr>
        <w:t>预算为</w:t>
      </w:r>
      <w:r>
        <w:rPr>
          <w:rFonts w:hint="eastAsia" w:ascii="仿宋" w:hAnsi="仿宋" w:eastAsia="仿宋" w:cs="仿宋"/>
          <w:sz w:val="32"/>
          <w:szCs w:val="32"/>
          <w:lang w:val="en-US" w:eastAsia="zh-CN"/>
        </w:rPr>
        <w:t>4.9万元。支出4.64万元，完成95%，其中：因公出国费支出0元，预算为0元；完成100%；</w:t>
      </w:r>
      <w:r>
        <w:rPr>
          <w:rFonts w:hint="eastAsia" w:ascii="仿宋" w:hAnsi="仿宋" w:eastAsia="仿宋" w:cs="仿宋"/>
          <w:sz w:val="32"/>
          <w:szCs w:val="32"/>
        </w:rPr>
        <w:t>公务用车购置及运行费支出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万元，公务接待费支出决算</w:t>
      </w:r>
      <w:r>
        <w:rPr>
          <w:rFonts w:hint="eastAsia" w:ascii="仿宋" w:hAnsi="仿宋" w:eastAsia="仿宋" w:cs="仿宋"/>
          <w:sz w:val="32"/>
          <w:szCs w:val="32"/>
          <w:lang w:val="en-US" w:eastAsia="zh-CN"/>
        </w:rPr>
        <w:t>4.64万元</w:t>
      </w:r>
      <w:r>
        <w:rPr>
          <w:rFonts w:hint="eastAsia" w:ascii="仿宋" w:hAnsi="仿宋" w:eastAsia="仿宋" w:cs="仿宋"/>
          <w:sz w:val="32"/>
          <w:szCs w:val="32"/>
        </w:rPr>
        <w:t>，</w:t>
      </w:r>
      <w:r>
        <w:rPr>
          <w:rFonts w:hint="eastAsia" w:ascii="仿宋" w:hAnsi="仿宋" w:eastAsia="仿宋" w:cs="仿宋"/>
          <w:sz w:val="32"/>
          <w:szCs w:val="32"/>
          <w:lang w:eastAsia="zh-CN"/>
        </w:rPr>
        <w:t>完成预算</w:t>
      </w:r>
      <w:r>
        <w:rPr>
          <w:rFonts w:hint="eastAsia" w:ascii="仿宋" w:hAnsi="仿宋" w:eastAsia="仿宋" w:cs="仿宋"/>
          <w:sz w:val="32"/>
          <w:szCs w:val="32"/>
          <w:lang w:val="en-US" w:eastAsia="zh-CN"/>
        </w:rPr>
        <w:t>95%。2017度“三</w:t>
      </w:r>
      <w:r>
        <w:rPr>
          <w:rFonts w:hint="eastAsia" w:ascii="仿宋" w:hAnsi="仿宋" w:eastAsia="仿宋" w:cs="仿宋"/>
          <w:sz w:val="32"/>
          <w:szCs w:val="32"/>
        </w:rPr>
        <w:t>公</w:t>
      </w:r>
      <w:r>
        <w:rPr>
          <w:rFonts w:hint="eastAsia" w:ascii="仿宋" w:hAnsi="仿宋" w:eastAsia="仿宋" w:cs="仿宋"/>
          <w:sz w:val="32"/>
          <w:szCs w:val="32"/>
          <w:lang w:eastAsia="zh-CN"/>
        </w:rPr>
        <w:t>”经费支出决算数小于预算数的主要原因是我局严格执行纪检部门规定</w:t>
      </w:r>
      <w:r>
        <w:rPr>
          <w:rFonts w:hint="eastAsia" w:ascii="仿宋" w:hAnsi="仿宋" w:eastAsia="仿宋" w:cs="仿宋"/>
          <w:sz w:val="32"/>
          <w:szCs w:val="32"/>
        </w:rPr>
        <w:t>公务接待的标准是同城不吃饭，禁止</w:t>
      </w:r>
      <w:r>
        <w:rPr>
          <w:rFonts w:hint="eastAsia" w:ascii="仿宋" w:hAnsi="仿宋" w:eastAsia="仿宋" w:cs="仿宋"/>
          <w:sz w:val="32"/>
          <w:szCs w:val="32"/>
          <w:lang w:eastAsia="zh-CN"/>
        </w:rPr>
        <w:t>烟酒招待</w:t>
      </w:r>
      <w:r>
        <w:rPr>
          <w:rFonts w:hint="eastAsia" w:ascii="仿宋" w:hAnsi="仿宋" w:eastAsia="仿宋" w:cs="仿宋"/>
          <w:sz w:val="32"/>
          <w:szCs w:val="32"/>
        </w:rPr>
        <w:t>，禁止出入高档酒店进行招待，减少了公务接待费用。</w:t>
      </w:r>
    </w:p>
    <w:p>
      <w:pPr>
        <w:keepNext w:val="0"/>
        <w:keepLines w:val="0"/>
        <w:pageBreakBefore w:val="0"/>
        <w:widowControl/>
        <w:numPr>
          <w:ilvl w:val="0"/>
          <w:numId w:val="5"/>
        </w:numPr>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“三公”经费财政拨款支出决算具体情况说明。</w:t>
      </w: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319" w:leftChars="152" w:right="0" w:rightChars="0" w:firstLine="320"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年度“三公”经费财政拨款支出决算中，</w:t>
      </w:r>
      <w:r>
        <w:rPr>
          <w:rFonts w:hint="eastAsia" w:ascii="仿宋" w:hAnsi="仿宋" w:eastAsia="仿宋" w:cs="仿宋"/>
          <w:sz w:val="32"/>
          <w:szCs w:val="32"/>
          <w:lang w:eastAsia="zh-CN"/>
        </w:rPr>
        <w:t>因公出国费支出</w:t>
      </w:r>
      <w:r>
        <w:rPr>
          <w:rFonts w:hint="eastAsia" w:ascii="仿宋" w:hAnsi="仿宋" w:eastAsia="仿宋" w:cs="仿宋"/>
          <w:sz w:val="32"/>
          <w:szCs w:val="32"/>
          <w:lang w:val="en-US" w:eastAsia="zh-CN"/>
        </w:rPr>
        <w:t>0元，公务用车购置及运行费支出决算0元；公务接待费支出决算4.64万元。占“三公”经费支出的100%。具体情况如下：</w:t>
      </w:r>
    </w:p>
    <w:p>
      <w:pPr>
        <w:keepNext w:val="0"/>
        <w:keepLines w:val="0"/>
        <w:pageBreakBefore w:val="0"/>
        <w:widowControl/>
        <w:numPr>
          <w:ilvl w:val="0"/>
          <w:numId w:val="6"/>
        </w:numPr>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因公出国费支出0元。</w:t>
      </w:r>
    </w:p>
    <w:p>
      <w:pPr>
        <w:keepNext w:val="0"/>
        <w:keepLines w:val="0"/>
        <w:pageBreakBefore w:val="0"/>
        <w:widowControl/>
        <w:numPr>
          <w:ilvl w:val="0"/>
          <w:numId w:val="6"/>
        </w:numPr>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公务用车购置及运行费支出0元。</w:t>
      </w:r>
    </w:p>
    <w:p>
      <w:pPr>
        <w:keepNext w:val="0"/>
        <w:keepLines w:val="0"/>
        <w:pageBreakBefore w:val="0"/>
        <w:widowControl/>
        <w:numPr>
          <w:ilvl w:val="0"/>
          <w:numId w:val="6"/>
        </w:numPr>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公务接待费支出4.64万元，主要用于日常业务接待共接待      </w:t>
      </w:r>
      <w:r>
        <w:rPr>
          <w:rFonts w:hint="eastAsia" w:ascii="仿宋" w:hAnsi="仿宋" w:eastAsia="仿宋" w:cs="仿宋"/>
          <w:spacing w:val="20"/>
          <w:sz w:val="32"/>
          <w:szCs w:val="32"/>
          <w:lang w:val="en-US" w:eastAsia="zh-CN"/>
        </w:rPr>
        <w:t>60批580人次</w:t>
      </w:r>
      <w:r>
        <w:rPr>
          <w:rFonts w:hint="eastAsia" w:ascii="仿宋" w:hAnsi="仿宋" w:eastAsia="仿宋" w:cs="仿宋"/>
          <w:spacing w:val="20"/>
          <w:sz w:val="32"/>
          <w:szCs w:val="32"/>
          <w:lang w:eastAsia="zh-CN"/>
        </w:rPr>
        <w:t>。</w:t>
      </w:r>
    </w:p>
    <w:p>
      <w:pPr>
        <w:keepNext w:val="0"/>
        <w:keepLines w:val="0"/>
        <w:pageBreakBefore w:val="0"/>
        <w:widowControl/>
        <w:numPr>
          <w:ilvl w:val="0"/>
          <w:numId w:val="7"/>
        </w:numPr>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关于预算绩效情况说明</w:t>
      </w:r>
    </w:p>
    <w:p>
      <w:pPr>
        <w:keepNext w:val="0"/>
        <w:keepLines w:val="0"/>
        <w:pageBreakBefore w:val="0"/>
        <w:widowControl/>
        <w:numPr>
          <w:ilvl w:val="0"/>
          <w:numId w:val="8"/>
        </w:numPr>
        <w:kinsoku w:val="0"/>
        <w:wordWrap/>
        <w:overflowPunct w:val="0"/>
        <w:topLinePunct w:val="0"/>
        <w:autoSpaceDE w:val="0"/>
        <w:autoSpaceDN w:val="0"/>
        <w:bidi w:val="0"/>
        <w:adjustRightInd w:val="0"/>
        <w:snapToGrid w:val="0"/>
        <w:spacing w:line="540" w:lineRule="exact"/>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绩效管理工作开展情况</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财政预算管理要求，为做好预算绩效管理工作，我单位按照要求，积极开展预算绩效管理评价工作。在评价中主要遵循适用性原则、可操作性原则、产出与效果相结合原则。重点考虑产出与效果相结合，既考虑设计效果指标，反眏专项资金绩效水平，又要设计效果指标，反映项目预算执行、管理的好坏。在绩效评价指标中主要采用的指标包括：社会效益指标、资金使用指标和资金管理指标等，统过设定产出指标和效果指标，分别根据自评项目填写确定的各项具体指标。粮食局对2017年度一般公共预算支出项目开展绩效自评。其中主食产业化及粮油深加工项目项目设计预算资金30万元，区级储备补贴  136.5 万元，共涉及预算资金166.5  万元。自评覆盖率达到 100 %。</w:t>
      </w:r>
    </w:p>
    <w:p>
      <w:pPr>
        <w:keepNext w:val="0"/>
        <w:keepLines w:val="0"/>
        <w:pageBreakBefore w:val="0"/>
        <w:widowControl/>
        <w:numPr>
          <w:ilvl w:val="0"/>
          <w:numId w:val="8"/>
        </w:numPr>
        <w:kinsoku w:val="0"/>
        <w:wordWrap/>
        <w:overflowPunct w:val="0"/>
        <w:topLinePunct w:val="0"/>
        <w:autoSpaceDE w:val="0"/>
        <w:autoSpaceDN w:val="0"/>
        <w:bidi w:val="0"/>
        <w:adjustRightInd w:val="0"/>
        <w:snapToGrid w:val="0"/>
        <w:spacing w:line="540" w:lineRule="exact"/>
        <w:ind w:left="420" w:leftChars="20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部门决算中项目绩效自评结果。</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4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粮食局在2017年度部门决算中增加主食产业化项目绩效评价从评价情况来看，我单位项目立项符合相关规定，绩效目标合理，绩效指标体系比较清晰、评价标准较为科学，项目绩效运行跟踪监控机制初步建立，项目管理、财务管理制度较为健全，任务质量完成较高，经济社会效益明显，群众满意度较好，按照设定的评价指标，已实现项目绩效目标，我单位绩效自评结果为良好。认真贯彻“政策引导，政府推动，企业主导，稳步推进，有序发展”的指导思想，有力推动了我区放心粮油主食产业化和粮油深加工向纵深发展，在市政府单项目考核中成绩名列前茅。</w:t>
      </w:r>
    </w:p>
    <w:p>
      <w:pPr>
        <w:keepNext w:val="0"/>
        <w:keepLines w:val="0"/>
        <w:pageBreakBefore w:val="0"/>
        <w:widowControl/>
        <w:numPr>
          <w:ilvl w:val="0"/>
          <w:numId w:val="0"/>
        </w:numPr>
        <w:tabs>
          <w:tab w:val="left" w:pos="848"/>
          <w:tab w:val="left" w:pos="1088"/>
        </w:tabs>
        <w:wordWrap/>
        <w:topLinePunct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关于政府性基金预算财政拨款支出决算情况说明</w:t>
      </w: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年度政府性基金预算财政拨款支出年初预算为0万元，支出决算为0万元，完成年初预算的0%。</w:t>
      </w:r>
    </w:p>
    <w:p>
      <w:pPr>
        <w:keepNext w:val="0"/>
        <w:keepLines w:val="0"/>
        <w:pageBreakBefore w:val="0"/>
        <w:widowControl/>
        <w:numPr>
          <w:ilvl w:val="0"/>
          <w:numId w:val="0"/>
        </w:numPr>
        <w:wordWrap/>
        <w:topLinePunct w:val="0"/>
        <w:bidi w:val="0"/>
        <w:adjustRightInd w:val="0"/>
        <w:snapToGrid w:val="0"/>
        <w:spacing w:line="540" w:lineRule="exact"/>
        <w:ind w:leftChars="20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其他重要事项的情况说明</w:t>
      </w:r>
    </w:p>
    <w:p>
      <w:pPr>
        <w:keepNext w:val="0"/>
        <w:keepLines w:val="0"/>
        <w:pageBreakBefore w:val="0"/>
        <w:widowControl/>
        <w:numPr>
          <w:ilvl w:val="0"/>
          <w:numId w:val="9"/>
        </w:numPr>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机关运行经费支出情况。</w:t>
      </w: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年度机关运行经费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40.78万元。比2016年增加20.52万元。增长101%。</w:t>
      </w: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（二）政府采购支出情况。</w:t>
      </w: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2017年粮食局机关没有政府采购支出。</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40" w:lineRule="exact"/>
        <w:ind w:right="0" w:rightChars="0" w:firstLine="640" w:firstLineChars="200"/>
        <w:jc w:val="both"/>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（三）</w:t>
      </w:r>
      <w:r>
        <w:rPr>
          <w:rFonts w:hint="eastAsia" w:ascii="仿宋" w:hAnsi="仿宋" w:eastAsia="仿宋" w:cs="仿宋"/>
          <w:bCs/>
          <w:kern w:val="0"/>
          <w:sz w:val="32"/>
          <w:szCs w:val="32"/>
        </w:rPr>
        <w:t>国有资产占用情况。</w:t>
      </w: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年期末，</w:t>
      </w:r>
      <w:r>
        <w:rPr>
          <w:rFonts w:hint="eastAsia" w:ascii="仿宋" w:hAnsi="仿宋" w:eastAsia="仿宋" w:cs="仿宋"/>
          <w:sz w:val="32"/>
          <w:szCs w:val="32"/>
          <w:lang w:eastAsia="zh-CN"/>
        </w:rPr>
        <w:t>区粮食局</w:t>
      </w:r>
      <w:r>
        <w:rPr>
          <w:rFonts w:hint="eastAsia" w:ascii="仿宋" w:hAnsi="仿宋" w:eastAsia="仿宋" w:cs="仿宋"/>
          <w:sz w:val="32"/>
          <w:szCs w:val="32"/>
        </w:rPr>
        <w:t>车辆0辆，其中：一般公务用车0辆、一般执法执勤用车0辆、特种专业技术用车0辆，其他用车0辆。单价50万元以上通用设备0台（套），单位价值100万元以上专用设备0台（套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sectPr>
          <w:pgSz w:w="11905" w:h="16840"/>
          <w:pgMar w:top="1580" w:right="1240" w:bottom="1180" w:left="1400" w:header="0" w:footer="982" w:gutter="0"/>
          <w:pgNumType w:fmt="numberInDash"/>
          <w:cols w:space="720" w:num="1"/>
        </w:sectPr>
      </w:pPr>
    </w:p>
    <w:p>
      <w:pPr>
        <w:numPr>
          <w:ilvl w:val="0"/>
          <w:numId w:val="0"/>
        </w:numPr>
        <w:tabs>
          <w:tab w:val="left" w:pos="1528"/>
          <w:tab w:val="center" w:pos="4153"/>
        </w:tabs>
        <w:jc w:val="both"/>
        <w:outlineLvl w:val="0"/>
        <w:rPr>
          <w:rFonts w:hint="eastAsia" w:ascii="仿宋" w:hAnsi="仿宋" w:eastAsia="仿宋" w:cs="仿宋"/>
          <w:kern w:val="2"/>
          <w:sz w:val="48"/>
          <w:szCs w:val="48"/>
          <w:lang w:val="en-US" w:eastAsia="zh-CN" w:bidi="ar-SA"/>
        </w:rPr>
      </w:pPr>
    </w:p>
    <w:p>
      <w:pPr>
        <w:numPr>
          <w:ilvl w:val="0"/>
          <w:numId w:val="0"/>
        </w:numPr>
        <w:tabs>
          <w:tab w:val="left" w:pos="1528"/>
          <w:tab w:val="center" w:pos="4153"/>
        </w:tabs>
        <w:ind w:firstLine="2880" w:firstLineChars="600"/>
        <w:jc w:val="left"/>
        <w:outlineLvl w:val="0"/>
        <w:rPr>
          <w:rFonts w:hint="eastAsia" w:ascii="仿宋" w:hAnsi="仿宋" w:eastAsia="仿宋" w:cs="仿宋"/>
          <w:sz w:val="48"/>
          <w:szCs w:val="48"/>
          <w:lang w:val="en-US" w:eastAsia="zh-CN"/>
        </w:rPr>
      </w:pPr>
    </w:p>
    <w:p>
      <w:pPr>
        <w:numPr>
          <w:ilvl w:val="0"/>
          <w:numId w:val="0"/>
        </w:numPr>
        <w:tabs>
          <w:tab w:val="left" w:pos="1528"/>
          <w:tab w:val="center" w:pos="4153"/>
        </w:tabs>
        <w:ind w:firstLine="2880" w:firstLineChars="600"/>
        <w:jc w:val="left"/>
        <w:outlineLvl w:val="0"/>
        <w:rPr>
          <w:rFonts w:hint="eastAsia" w:ascii="仿宋" w:hAnsi="仿宋" w:eastAsia="仿宋" w:cs="仿宋"/>
          <w:sz w:val="48"/>
          <w:szCs w:val="48"/>
          <w:lang w:val="en-US" w:eastAsia="zh-CN"/>
        </w:rPr>
      </w:pPr>
    </w:p>
    <w:p>
      <w:pPr>
        <w:numPr>
          <w:ilvl w:val="0"/>
          <w:numId w:val="0"/>
        </w:numPr>
        <w:tabs>
          <w:tab w:val="left" w:pos="1528"/>
          <w:tab w:val="center" w:pos="4153"/>
        </w:tabs>
        <w:ind w:firstLine="2880" w:firstLineChars="600"/>
        <w:jc w:val="left"/>
        <w:outlineLvl w:val="0"/>
        <w:rPr>
          <w:rFonts w:hint="eastAsia" w:ascii="仿宋" w:hAnsi="仿宋" w:eastAsia="仿宋" w:cs="仿宋"/>
          <w:sz w:val="48"/>
          <w:szCs w:val="48"/>
          <w:lang w:val="en-US" w:eastAsia="zh-CN"/>
        </w:rPr>
      </w:pPr>
    </w:p>
    <w:p>
      <w:pPr>
        <w:numPr>
          <w:ilvl w:val="0"/>
          <w:numId w:val="0"/>
        </w:numPr>
        <w:tabs>
          <w:tab w:val="left" w:pos="1528"/>
          <w:tab w:val="center" w:pos="4153"/>
        </w:tabs>
        <w:ind w:firstLine="2880" w:firstLineChars="600"/>
        <w:jc w:val="left"/>
        <w:outlineLvl w:val="0"/>
        <w:rPr>
          <w:rFonts w:hint="eastAsia" w:ascii="仿宋" w:hAnsi="仿宋" w:eastAsia="仿宋" w:cs="仿宋"/>
          <w:sz w:val="48"/>
          <w:szCs w:val="48"/>
          <w:lang w:val="en-US" w:eastAsia="zh-CN"/>
        </w:rPr>
      </w:pPr>
    </w:p>
    <w:p>
      <w:pPr>
        <w:numPr>
          <w:ilvl w:val="0"/>
          <w:numId w:val="0"/>
        </w:numPr>
        <w:tabs>
          <w:tab w:val="left" w:pos="1528"/>
          <w:tab w:val="center" w:pos="4153"/>
        </w:tabs>
        <w:ind w:firstLine="2880" w:firstLineChars="600"/>
        <w:jc w:val="left"/>
        <w:outlineLvl w:val="0"/>
        <w:rPr>
          <w:rFonts w:hint="eastAsia" w:ascii="仿宋" w:hAnsi="仿宋" w:eastAsia="仿宋" w:cs="仿宋"/>
          <w:sz w:val="48"/>
          <w:szCs w:val="48"/>
          <w:lang w:val="en-US" w:eastAsia="zh-CN"/>
        </w:rPr>
      </w:pPr>
    </w:p>
    <w:p>
      <w:pPr>
        <w:numPr>
          <w:ilvl w:val="0"/>
          <w:numId w:val="0"/>
        </w:numPr>
        <w:tabs>
          <w:tab w:val="left" w:pos="1528"/>
          <w:tab w:val="center" w:pos="4153"/>
        </w:tabs>
        <w:ind w:firstLine="2880" w:firstLineChars="600"/>
        <w:jc w:val="left"/>
        <w:outlineLvl w:val="0"/>
        <w:rPr>
          <w:rFonts w:hint="eastAsia" w:ascii="仿宋" w:hAnsi="仿宋" w:eastAsia="仿宋" w:cs="仿宋"/>
          <w:sz w:val="48"/>
          <w:szCs w:val="48"/>
          <w:lang w:val="en-US" w:eastAsia="zh-CN"/>
        </w:rPr>
      </w:pPr>
    </w:p>
    <w:p>
      <w:pPr>
        <w:numPr>
          <w:ilvl w:val="0"/>
          <w:numId w:val="0"/>
        </w:numPr>
        <w:tabs>
          <w:tab w:val="left" w:pos="1528"/>
          <w:tab w:val="center" w:pos="4153"/>
        </w:tabs>
        <w:ind w:firstLine="2880" w:firstLineChars="600"/>
        <w:jc w:val="left"/>
        <w:outlineLvl w:val="0"/>
        <w:rPr>
          <w:rFonts w:hint="eastAsia" w:ascii="仿宋" w:hAnsi="仿宋" w:eastAsia="仿宋" w:cs="仿宋"/>
          <w:sz w:val="48"/>
          <w:szCs w:val="48"/>
          <w:lang w:val="en-US" w:eastAsia="zh-CN"/>
        </w:rPr>
      </w:pPr>
    </w:p>
    <w:p>
      <w:pPr>
        <w:numPr>
          <w:ilvl w:val="0"/>
          <w:numId w:val="0"/>
        </w:numPr>
        <w:tabs>
          <w:tab w:val="left" w:pos="1528"/>
          <w:tab w:val="center" w:pos="4153"/>
        </w:tabs>
        <w:ind w:firstLine="2880" w:firstLineChars="600"/>
        <w:jc w:val="left"/>
        <w:outlineLvl w:val="0"/>
        <w:rPr>
          <w:rFonts w:hint="eastAsia" w:ascii="仿宋" w:hAnsi="仿宋" w:eastAsia="仿宋" w:cs="仿宋"/>
          <w:sz w:val="48"/>
          <w:szCs w:val="48"/>
          <w:lang w:val="en-US" w:eastAsia="zh-CN"/>
        </w:rPr>
      </w:pPr>
    </w:p>
    <w:p>
      <w:pPr>
        <w:numPr>
          <w:ilvl w:val="0"/>
          <w:numId w:val="0"/>
        </w:numPr>
        <w:tabs>
          <w:tab w:val="left" w:pos="1528"/>
          <w:tab w:val="center" w:pos="4153"/>
        </w:tabs>
        <w:ind w:firstLine="2880" w:firstLineChars="600"/>
        <w:jc w:val="left"/>
        <w:outlineLvl w:val="0"/>
        <w:rPr>
          <w:rFonts w:hint="eastAsia" w:ascii="仿宋" w:hAnsi="仿宋" w:eastAsia="仿宋" w:cs="仿宋"/>
          <w:sz w:val="48"/>
          <w:szCs w:val="48"/>
          <w:lang w:val="en-US" w:eastAsia="zh-CN"/>
        </w:rPr>
      </w:pPr>
    </w:p>
    <w:p>
      <w:pPr>
        <w:numPr>
          <w:ilvl w:val="0"/>
          <w:numId w:val="0"/>
        </w:numPr>
        <w:tabs>
          <w:tab w:val="left" w:pos="1528"/>
          <w:tab w:val="center" w:pos="4153"/>
        </w:tabs>
        <w:ind w:firstLine="2891" w:firstLineChars="600"/>
        <w:jc w:val="left"/>
        <w:outlineLvl w:val="0"/>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 xml:space="preserve">第三部分 </w:t>
      </w:r>
    </w:p>
    <w:p>
      <w:pPr>
        <w:numPr>
          <w:ilvl w:val="0"/>
          <w:numId w:val="0"/>
        </w:numPr>
        <w:tabs>
          <w:tab w:val="left" w:pos="1528"/>
          <w:tab w:val="center" w:pos="4153"/>
        </w:tabs>
        <w:ind w:firstLine="2891" w:firstLineChars="600"/>
        <w:jc w:val="left"/>
        <w:outlineLvl w:val="0"/>
        <w:rPr>
          <w:rFonts w:hint="eastAsia" w:ascii="仿宋" w:hAnsi="仿宋" w:eastAsia="仿宋" w:cs="仿宋"/>
          <w:b/>
          <w:bCs/>
          <w:sz w:val="48"/>
          <w:szCs w:val="48"/>
          <w:lang w:val="en-US" w:eastAsia="zh-CN"/>
        </w:rPr>
      </w:pPr>
    </w:p>
    <w:p>
      <w:pPr>
        <w:numPr>
          <w:ilvl w:val="0"/>
          <w:numId w:val="0"/>
        </w:numPr>
        <w:tabs>
          <w:tab w:val="left" w:pos="1528"/>
          <w:tab w:val="center" w:pos="4153"/>
        </w:tabs>
        <w:ind w:firstLine="2891" w:firstLineChars="600"/>
        <w:jc w:val="left"/>
        <w:outlineLvl w:val="0"/>
        <w:rPr>
          <w:rFonts w:hint="eastAsia" w:ascii="仿宋" w:hAnsi="仿宋" w:eastAsia="仿宋" w:cs="仿宋"/>
          <w:b/>
          <w:bCs/>
          <w:kern w:val="2"/>
          <w:sz w:val="48"/>
          <w:szCs w:val="48"/>
          <w:lang w:val="en-US" w:eastAsia="zh-CN" w:bidi="ar-SA"/>
        </w:rPr>
      </w:pPr>
      <w:r>
        <w:rPr>
          <w:rFonts w:hint="eastAsia" w:ascii="仿宋" w:hAnsi="仿宋" w:eastAsia="仿宋" w:cs="仿宋"/>
          <w:b/>
          <w:bCs/>
          <w:kern w:val="2"/>
          <w:sz w:val="48"/>
          <w:szCs w:val="48"/>
          <w:lang w:val="en-US" w:eastAsia="zh-CN" w:bidi="ar-SA"/>
        </w:rPr>
        <w:t>名词解释</w:t>
      </w:r>
    </w:p>
    <w:p>
      <w:pPr>
        <w:widowControl w:val="0"/>
        <w:numPr>
          <w:ilvl w:val="0"/>
          <w:numId w:val="0"/>
        </w:numPr>
        <w:tabs>
          <w:tab w:val="left" w:pos="1528"/>
          <w:tab w:val="center" w:pos="4153"/>
        </w:tabs>
        <w:jc w:val="left"/>
        <w:outlineLvl w:val="0"/>
        <w:rPr>
          <w:rFonts w:hint="eastAsia" w:ascii="仿宋" w:hAnsi="仿宋" w:eastAsia="仿宋" w:cs="仿宋"/>
          <w:kern w:val="2"/>
          <w:sz w:val="48"/>
          <w:szCs w:val="48"/>
          <w:lang w:val="en-US" w:eastAsia="zh-CN" w:bidi="ar-SA"/>
        </w:rPr>
      </w:pP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jc w:val="both"/>
        <w:textAlignment w:val="auto"/>
        <w:outlineLvl w:val="9"/>
        <w:rPr>
          <w:rFonts w:hint="eastAsia" w:ascii="仿宋" w:hAnsi="仿宋" w:eastAsia="仿宋" w:cs="仿宋"/>
          <w:b/>
          <w:bCs/>
          <w:sz w:val="32"/>
          <w:szCs w:val="32"/>
          <w:lang w:eastAsia="zh-CN"/>
        </w:rPr>
      </w:pP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jc w:val="both"/>
        <w:textAlignment w:val="auto"/>
        <w:outlineLvl w:val="9"/>
        <w:rPr>
          <w:rFonts w:hint="eastAsia" w:ascii="仿宋" w:hAnsi="仿宋" w:eastAsia="仿宋" w:cs="仿宋"/>
          <w:b/>
          <w:bCs/>
          <w:sz w:val="32"/>
          <w:szCs w:val="32"/>
          <w:lang w:eastAsia="zh-CN"/>
        </w:rPr>
      </w:pP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jc w:val="both"/>
        <w:textAlignment w:val="auto"/>
        <w:outlineLvl w:val="9"/>
        <w:rPr>
          <w:rFonts w:hint="eastAsia" w:ascii="仿宋" w:hAnsi="仿宋" w:eastAsia="仿宋" w:cs="仿宋"/>
          <w:b/>
          <w:bCs/>
          <w:sz w:val="32"/>
          <w:szCs w:val="32"/>
          <w:lang w:eastAsia="zh-CN"/>
        </w:rPr>
      </w:pP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jc w:val="both"/>
        <w:textAlignment w:val="auto"/>
        <w:outlineLvl w:val="9"/>
        <w:rPr>
          <w:rFonts w:hint="eastAsia" w:ascii="仿宋" w:hAnsi="仿宋" w:eastAsia="仿宋" w:cs="仿宋"/>
          <w:b/>
          <w:bCs/>
          <w:sz w:val="32"/>
          <w:szCs w:val="32"/>
          <w:lang w:eastAsia="zh-CN"/>
        </w:rPr>
      </w:pP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jc w:val="both"/>
        <w:textAlignment w:val="auto"/>
        <w:outlineLvl w:val="9"/>
        <w:rPr>
          <w:rFonts w:hint="eastAsia" w:ascii="仿宋" w:hAnsi="仿宋" w:eastAsia="仿宋" w:cs="仿宋"/>
          <w:b/>
          <w:bCs/>
          <w:sz w:val="32"/>
          <w:szCs w:val="32"/>
          <w:lang w:eastAsia="zh-CN"/>
        </w:rPr>
      </w:pP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jc w:val="both"/>
        <w:textAlignment w:val="auto"/>
        <w:outlineLvl w:val="9"/>
        <w:rPr>
          <w:rFonts w:hint="eastAsia" w:ascii="仿宋" w:hAnsi="仿宋" w:eastAsia="仿宋" w:cs="仿宋"/>
          <w:b/>
          <w:bCs/>
          <w:sz w:val="32"/>
          <w:szCs w:val="32"/>
          <w:lang w:eastAsia="zh-CN"/>
        </w:rPr>
      </w:pP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jc w:val="both"/>
        <w:textAlignment w:val="auto"/>
        <w:outlineLvl w:val="9"/>
        <w:rPr>
          <w:rFonts w:hint="eastAsia" w:ascii="仿宋" w:hAnsi="仿宋" w:eastAsia="仿宋" w:cs="仿宋"/>
          <w:b/>
          <w:bCs/>
          <w:sz w:val="32"/>
          <w:szCs w:val="32"/>
          <w:lang w:eastAsia="zh-CN"/>
        </w:rPr>
      </w:pP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jc w:val="both"/>
        <w:textAlignment w:val="auto"/>
        <w:outlineLvl w:val="9"/>
        <w:rPr>
          <w:rFonts w:hint="eastAsia" w:ascii="仿宋" w:hAnsi="仿宋" w:eastAsia="仿宋" w:cs="仿宋"/>
          <w:b/>
          <w:bCs/>
          <w:sz w:val="32"/>
          <w:szCs w:val="32"/>
          <w:lang w:eastAsia="zh-CN"/>
        </w:rPr>
      </w:pP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jc w:val="both"/>
        <w:textAlignment w:val="auto"/>
        <w:outlineLvl w:val="9"/>
        <w:rPr>
          <w:rFonts w:hint="eastAsia" w:ascii="仿宋" w:hAnsi="仿宋" w:eastAsia="仿宋" w:cs="仿宋"/>
          <w:b/>
          <w:bCs/>
          <w:sz w:val="32"/>
          <w:szCs w:val="32"/>
          <w:lang w:eastAsia="zh-CN"/>
        </w:rPr>
      </w:pP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319" w:leftChars="152" w:right="0" w:rightChars="0" w:firstLine="321" w:firstLineChars="1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一、</w:t>
      </w:r>
      <w:r>
        <w:rPr>
          <w:rFonts w:hint="eastAsia" w:ascii="仿宋" w:hAnsi="仿宋" w:eastAsia="仿宋" w:cs="仿宋"/>
          <w:b/>
          <w:bCs/>
          <w:sz w:val="32"/>
          <w:szCs w:val="30"/>
        </w:rPr>
        <w:t>财政拨款收入：</w:t>
      </w:r>
      <w:r>
        <w:rPr>
          <w:rFonts w:hint="eastAsia" w:ascii="仿宋" w:hAnsi="仿宋" w:eastAsia="仿宋" w:cs="仿宋"/>
          <w:sz w:val="32"/>
          <w:szCs w:val="30"/>
        </w:rPr>
        <w:t>是指省</w:t>
      </w:r>
      <w:r>
        <w:rPr>
          <w:rFonts w:hint="eastAsia" w:ascii="仿宋" w:hAnsi="仿宋" w:eastAsia="仿宋" w:cs="仿宋"/>
          <w:sz w:val="32"/>
          <w:szCs w:val="30"/>
          <w:lang w:eastAsia="zh-CN"/>
        </w:rPr>
        <w:t>、市、区</w:t>
      </w:r>
      <w:r>
        <w:rPr>
          <w:rFonts w:hint="eastAsia" w:ascii="仿宋" w:hAnsi="仿宋" w:eastAsia="仿宋" w:cs="仿宋"/>
          <w:sz w:val="32"/>
          <w:szCs w:val="30"/>
        </w:rPr>
        <w:t>财政当年拨付的资金。</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319" w:leftChars="152" w:right="0" w:rightChars="0" w:firstLine="321" w:firstLineChars="1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二、</w:t>
      </w:r>
      <w:r>
        <w:rPr>
          <w:rFonts w:hint="eastAsia" w:ascii="仿宋" w:hAnsi="仿宋" w:eastAsia="仿宋" w:cs="仿宋"/>
          <w:b/>
          <w:bCs/>
          <w:sz w:val="32"/>
          <w:szCs w:val="30"/>
        </w:rPr>
        <w:t>事业收入：</w:t>
      </w:r>
      <w:r>
        <w:rPr>
          <w:rFonts w:hint="eastAsia" w:ascii="仿宋" w:hAnsi="仿宋" w:eastAsia="仿宋" w:cs="仿宋"/>
          <w:sz w:val="32"/>
          <w:szCs w:val="30"/>
        </w:rPr>
        <w:t>是指事业单位开展专业业务活动及辅助活动所取得的收入。</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三、</w:t>
      </w:r>
      <w:r>
        <w:rPr>
          <w:rFonts w:hint="eastAsia" w:ascii="仿宋" w:hAnsi="仿宋" w:eastAsia="仿宋" w:cs="仿宋"/>
          <w:b/>
          <w:bCs/>
          <w:sz w:val="32"/>
          <w:szCs w:val="30"/>
        </w:rPr>
        <w:t>经营收入：</w:t>
      </w:r>
      <w:r>
        <w:rPr>
          <w:rFonts w:hint="eastAsia" w:ascii="仿宋" w:hAnsi="仿宋" w:eastAsia="仿宋" w:cs="仿宋"/>
          <w:sz w:val="32"/>
          <w:szCs w:val="30"/>
        </w:rPr>
        <w:t>指事业单位在专业业务活动及其辅助活动之外开展非独立核算经营活动取得的收入。</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四、</w:t>
      </w:r>
      <w:r>
        <w:rPr>
          <w:rFonts w:hint="eastAsia" w:ascii="仿宋" w:hAnsi="仿宋" w:eastAsia="仿宋" w:cs="仿宋"/>
          <w:b/>
          <w:bCs/>
          <w:sz w:val="32"/>
          <w:szCs w:val="30"/>
        </w:rPr>
        <w:t>其他收入：</w:t>
      </w:r>
      <w:r>
        <w:rPr>
          <w:rFonts w:hint="eastAsia" w:ascii="仿宋" w:hAnsi="仿宋" w:eastAsia="仿宋" w:cs="仿宋"/>
          <w:sz w:val="32"/>
          <w:szCs w:val="30"/>
        </w:rPr>
        <w:t>指除上述“财政拨款收入”、“事业收入”、“事业单位经营收入”、“经营收入”等以外的收入。主要是按规定动用的售房收入、存款利息收入等。</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五、</w:t>
      </w:r>
      <w:r>
        <w:rPr>
          <w:rFonts w:hint="eastAsia" w:ascii="仿宋" w:hAnsi="仿宋" w:eastAsia="仿宋" w:cs="仿宋"/>
          <w:b/>
          <w:bCs/>
          <w:sz w:val="32"/>
          <w:szCs w:val="30"/>
        </w:rPr>
        <w:t>用事业基金弥补收支差额：</w:t>
      </w:r>
      <w:r>
        <w:rPr>
          <w:rFonts w:hint="eastAsia" w:ascii="仿宋" w:hAnsi="仿宋" w:eastAsia="仿宋" w:cs="仿宋"/>
          <w:sz w:val="32"/>
          <w:szCs w:val="30"/>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仿宋"/>
          <w:b/>
          <w:bCs/>
          <w:sz w:val="32"/>
          <w:szCs w:val="30"/>
        </w:rPr>
        <w:t>。</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六、</w:t>
      </w:r>
      <w:r>
        <w:rPr>
          <w:rFonts w:hint="eastAsia" w:ascii="仿宋" w:hAnsi="仿宋" w:eastAsia="仿宋" w:cs="仿宋"/>
          <w:b/>
          <w:bCs/>
          <w:sz w:val="32"/>
          <w:szCs w:val="30"/>
        </w:rPr>
        <w:t>年初结转和结余：</w:t>
      </w:r>
      <w:r>
        <w:rPr>
          <w:rFonts w:hint="eastAsia" w:ascii="仿宋" w:hAnsi="仿宋" w:eastAsia="仿宋" w:cs="仿宋"/>
          <w:sz w:val="32"/>
          <w:szCs w:val="30"/>
        </w:rPr>
        <w:t>指以前年度尚未完成、结转到本年按有关规定继续使用的资金。</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七、</w:t>
      </w:r>
      <w:r>
        <w:rPr>
          <w:rFonts w:hint="eastAsia" w:ascii="仿宋" w:hAnsi="仿宋" w:eastAsia="仿宋" w:cs="仿宋"/>
          <w:b/>
          <w:bCs/>
          <w:sz w:val="32"/>
          <w:szCs w:val="30"/>
        </w:rPr>
        <w:t>一般公共服务（类）财政事务（款）行政运行（项）</w:t>
      </w:r>
      <w:r>
        <w:rPr>
          <w:rFonts w:hint="eastAsia" w:ascii="仿宋" w:hAnsi="仿宋" w:eastAsia="仿宋" w:cs="仿宋"/>
          <w:sz w:val="32"/>
          <w:szCs w:val="30"/>
        </w:rPr>
        <w:t>是指</w:t>
      </w:r>
      <w:r>
        <w:rPr>
          <w:rFonts w:hint="eastAsia" w:ascii="仿宋" w:hAnsi="仿宋" w:eastAsia="仿宋" w:cs="仿宋"/>
          <w:sz w:val="32"/>
          <w:szCs w:val="30"/>
          <w:lang w:eastAsia="zh-CN"/>
        </w:rPr>
        <w:t>粮食局</w:t>
      </w:r>
      <w:r>
        <w:rPr>
          <w:rFonts w:hint="eastAsia" w:ascii="仿宋" w:hAnsi="仿宋" w:eastAsia="仿宋" w:cs="仿宋"/>
          <w:sz w:val="32"/>
          <w:szCs w:val="30"/>
        </w:rPr>
        <w:t>用于保障机构正常运行、开展日常工作的基本支出。</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八、</w:t>
      </w:r>
      <w:r>
        <w:rPr>
          <w:rFonts w:hint="eastAsia" w:ascii="仿宋" w:hAnsi="仿宋" w:eastAsia="仿宋" w:cs="仿宋"/>
          <w:b/>
          <w:bCs/>
          <w:sz w:val="32"/>
          <w:szCs w:val="30"/>
        </w:rPr>
        <w:t>一般公共服务（类）财政事务（款）一般行政管理事务（项）：</w:t>
      </w:r>
      <w:r>
        <w:rPr>
          <w:rFonts w:hint="eastAsia" w:ascii="仿宋" w:hAnsi="仿宋" w:eastAsia="仿宋" w:cs="仿宋"/>
          <w:sz w:val="32"/>
          <w:szCs w:val="30"/>
        </w:rPr>
        <w:t>行政单位及参照公务员法管理的事业单位开展财政立法、决算编审、资产产权管理等未单独设置项级科目的专门性财政管理工作的项目支出。</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九、</w:t>
      </w:r>
      <w:r>
        <w:rPr>
          <w:rFonts w:hint="eastAsia" w:ascii="仿宋" w:hAnsi="仿宋" w:eastAsia="仿宋" w:cs="仿宋"/>
          <w:b/>
          <w:bCs/>
          <w:sz w:val="32"/>
          <w:szCs w:val="30"/>
        </w:rPr>
        <w:t>结余分配：</w:t>
      </w:r>
      <w:r>
        <w:rPr>
          <w:rFonts w:hint="eastAsia" w:ascii="仿宋" w:hAnsi="仿宋" w:eastAsia="仿宋" w:cs="仿宋"/>
          <w:sz w:val="32"/>
          <w:szCs w:val="30"/>
        </w:rPr>
        <w:t>指事业单位按规定提取的职工福利基金、事业基金和缴纳的所得税，以及建设单位按规定应交回的基本建设竣工项目结余资金。</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十、</w:t>
      </w:r>
      <w:r>
        <w:rPr>
          <w:rFonts w:hint="eastAsia" w:ascii="仿宋" w:hAnsi="仿宋" w:eastAsia="仿宋" w:cs="仿宋"/>
          <w:b/>
          <w:bCs/>
          <w:sz w:val="32"/>
          <w:szCs w:val="30"/>
        </w:rPr>
        <w:t>年末结转和结余：</w:t>
      </w:r>
      <w:r>
        <w:rPr>
          <w:rFonts w:hint="eastAsia" w:ascii="仿宋" w:hAnsi="仿宋" w:eastAsia="仿宋" w:cs="仿宋"/>
          <w:sz w:val="32"/>
          <w:szCs w:val="30"/>
        </w:rPr>
        <w:t>指本年度或以前年度预算安排、因客观条件发生变化无法按原计划实施，需延迟到以后年度按有关规定继续使用的资金。</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十一、</w:t>
      </w:r>
      <w:r>
        <w:rPr>
          <w:rFonts w:hint="eastAsia" w:ascii="仿宋" w:hAnsi="仿宋" w:eastAsia="仿宋" w:cs="仿宋"/>
          <w:b/>
          <w:bCs/>
          <w:sz w:val="32"/>
          <w:szCs w:val="30"/>
        </w:rPr>
        <w:t>基本支出：</w:t>
      </w:r>
      <w:r>
        <w:rPr>
          <w:rFonts w:hint="eastAsia" w:ascii="仿宋" w:hAnsi="仿宋" w:eastAsia="仿宋" w:cs="仿宋"/>
          <w:sz w:val="32"/>
          <w:szCs w:val="30"/>
        </w:rPr>
        <w:t>指为保障机构正常运转、完成日常工作任务而发生的人员支出和公用支出。</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十二、</w:t>
      </w:r>
      <w:r>
        <w:rPr>
          <w:rFonts w:hint="eastAsia" w:ascii="仿宋" w:hAnsi="仿宋" w:eastAsia="仿宋" w:cs="仿宋"/>
          <w:b/>
          <w:bCs/>
          <w:sz w:val="32"/>
          <w:szCs w:val="30"/>
        </w:rPr>
        <w:t>项目支出：</w:t>
      </w:r>
      <w:r>
        <w:rPr>
          <w:rFonts w:hint="eastAsia" w:ascii="仿宋" w:hAnsi="仿宋" w:eastAsia="仿宋" w:cs="仿宋"/>
          <w:sz w:val="32"/>
          <w:szCs w:val="30"/>
        </w:rPr>
        <w:t>指在基本支出之外为完成特定行政任务和事业发展目标所发生的支出。</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十三、</w:t>
      </w:r>
      <w:r>
        <w:rPr>
          <w:rFonts w:hint="eastAsia" w:ascii="仿宋" w:hAnsi="仿宋" w:eastAsia="仿宋" w:cs="仿宋"/>
          <w:b/>
          <w:bCs/>
          <w:sz w:val="32"/>
          <w:szCs w:val="30"/>
        </w:rPr>
        <w:t>经营支出：</w:t>
      </w:r>
      <w:r>
        <w:rPr>
          <w:rFonts w:hint="eastAsia" w:ascii="仿宋" w:hAnsi="仿宋" w:eastAsia="仿宋" w:cs="仿宋"/>
          <w:sz w:val="32"/>
          <w:szCs w:val="30"/>
        </w:rPr>
        <w:t>指事业单位在专业业务活动及其辅助活动之外开展非独立核算经营活动发生的支出。</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十四、</w:t>
      </w:r>
      <w:r>
        <w:rPr>
          <w:rFonts w:hint="eastAsia" w:ascii="仿宋" w:hAnsi="仿宋" w:eastAsia="仿宋" w:cs="仿宋"/>
          <w:b/>
          <w:bCs/>
          <w:sz w:val="32"/>
          <w:szCs w:val="30"/>
        </w:rPr>
        <w:t>“三公”经费：</w:t>
      </w:r>
      <w:r>
        <w:rPr>
          <w:rFonts w:hint="eastAsia" w:ascii="仿宋" w:hAnsi="仿宋" w:eastAsia="仿宋" w:cs="仿宋"/>
          <w:sz w:val="32"/>
          <w:szCs w:val="30"/>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Chars="200" w:right="0" w:rightChars="0" w:firstLine="643" w:firstLineChars="200"/>
        <w:jc w:val="both"/>
        <w:textAlignment w:val="auto"/>
        <w:outlineLvl w:val="9"/>
        <w:rPr>
          <w:rFonts w:hint="eastAsia" w:ascii="仿宋" w:hAnsi="仿宋" w:eastAsia="仿宋" w:cs="仿宋"/>
          <w:b/>
          <w:bCs/>
          <w:sz w:val="32"/>
          <w:szCs w:val="30"/>
        </w:rPr>
      </w:pPr>
      <w:r>
        <w:rPr>
          <w:rFonts w:hint="eastAsia" w:ascii="仿宋" w:hAnsi="仿宋" w:eastAsia="仿宋" w:cs="仿宋"/>
          <w:b/>
          <w:bCs/>
          <w:sz w:val="32"/>
          <w:szCs w:val="30"/>
          <w:lang w:eastAsia="zh-CN"/>
        </w:rPr>
        <w:t>十五、</w:t>
      </w:r>
      <w:r>
        <w:rPr>
          <w:rFonts w:hint="eastAsia" w:ascii="仿宋" w:hAnsi="仿宋" w:eastAsia="仿宋" w:cs="仿宋"/>
          <w:b/>
          <w:bCs/>
          <w:sz w:val="32"/>
          <w:szCs w:val="30"/>
        </w:rPr>
        <w:t>机关运行经费：</w:t>
      </w:r>
      <w:r>
        <w:rPr>
          <w:rFonts w:hint="eastAsia" w:ascii="仿宋" w:hAnsi="仿宋" w:eastAsia="仿宋" w:cs="仿宋"/>
          <w:sz w:val="32"/>
          <w:szCs w:val="3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numPr>
          <w:ilvl w:val="0"/>
          <w:numId w:val="0"/>
        </w:numPr>
        <w:tabs>
          <w:tab w:val="left" w:pos="1528"/>
          <w:tab w:val="center" w:pos="4153"/>
        </w:tabs>
        <w:wordWrap/>
        <w:topLinePunct w:val="0"/>
        <w:bidi w:val="0"/>
        <w:spacing w:line="560" w:lineRule="exact"/>
        <w:ind w:left="298" w:leftChars="142" w:right="0" w:rightChars="0" w:firstLine="602"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十六、储备粮油补贴：</w:t>
      </w:r>
      <w:r>
        <w:rPr>
          <w:rFonts w:hint="eastAsia" w:ascii="仿宋" w:hAnsi="仿宋" w:eastAsia="仿宋" w:cs="仿宋"/>
          <w:kern w:val="2"/>
          <w:sz w:val="30"/>
          <w:szCs w:val="30"/>
          <w:lang w:val="en-US" w:eastAsia="zh-CN" w:bidi="ar-SA"/>
        </w:rPr>
        <w:t>为完善粮食调控和监管体系，保障粮食市场供应和价格基本稳定，确保粮食应急供应，各级政府所储备的粮食发生各项费用支出。</w:t>
      </w:r>
    </w:p>
    <w:p>
      <w:pPr>
        <w:keepNext w:val="0"/>
        <w:keepLines w:val="0"/>
        <w:pageBreakBefore w:val="0"/>
        <w:widowControl/>
        <w:numPr>
          <w:ilvl w:val="0"/>
          <w:numId w:val="0"/>
        </w:numPr>
        <w:tabs>
          <w:tab w:val="left" w:pos="1528"/>
          <w:tab w:val="center" w:pos="4153"/>
        </w:tabs>
        <w:wordWrap/>
        <w:topLinePunct w:val="0"/>
        <w:bidi w:val="0"/>
        <w:spacing w:line="560" w:lineRule="exact"/>
        <w:ind w:left="298" w:leftChars="142" w:right="0" w:rightChars="0" w:firstLine="602"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十七、主食产业化：</w:t>
      </w:r>
      <w:r>
        <w:rPr>
          <w:rFonts w:hint="eastAsia" w:ascii="仿宋" w:hAnsi="仿宋" w:eastAsia="仿宋" w:cs="仿宋"/>
          <w:kern w:val="2"/>
          <w:sz w:val="30"/>
          <w:szCs w:val="30"/>
          <w:lang w:val="en-US" w:eastAsia="zh-CN" w:bidi="ar-SA"/>
        </w:rPr>
        <w:t>是指按照一定的规范和标准，以现代科学技术成果，提升传统食品工艺;用机械化、标准化、规模化生产，代替散乱的手工和半手工加工;设计和引入现代营销理念，构建从农业种植到居民饮食消费的全产业链体系，创造新型的现代主食产业。</w:t>
      </w:r>
    </w:p>
    <w:p>
      <w:pPr>
        <w:keepNext w:val="0"/>
        <w:keepLines w:val="0"/>
        <w:pageBreakBefore w:val="0"/>
        <w:widowControl/>
        <w:numPr>
          <w:ilvl w:val="0"/>
          <w:numId w:val="0"/>
        </w:numPr>
        <w:tabs>
          <w:tab w:val="left" w:pos="1528"/>
          <w:tab w:val="center" w:pos="4153"/>
        </w:tabs>
        <w:wordWrap/>
        <w:topLinePunct w:val="0"/>
        <w:bidi w:val="0"/>
        <w:spacing w:line="560" w:lineRule="exact"/>
        <w:ind w:left="0" w:leftChars="0" w:right="0" w:rightChars="0" w:firstLine="600" w:firstLineChars="200"/>
        <w:jc w:val="both"/>
        <w:textAlignment w:val="auto"/>
        <w:outlineLvl w:val="9"/>
        <w:rPr>
          <w:rFonts w:hint="eastAsia" w:ascii="仿宋" w:hAnsi="仿宋" w:eastAsia="仿宋" w:cs="仿宋"/>
          <w:kern w:val="2"/>
          <w:sz w:val="30"/>
          <w:szCs w:val="30"/>
          <w:lang w:val="en-US" w:eastAsia="zh-CN" w:bidi="ar-SA"/>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- 12 -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- 12 -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C27528"/>
    <w:multiLevelType w:val="singleLevel"/>
    <w:tmpl w:val="FFC27528"/>
    <w:lvl w:ilvl="0" w:tentative="0">
      <w:start w:val="1"/>
      <w:numFmt w:val="chineseCounting"/>
      <w:suff w:val="nothing"/>
      <w:lvlText w:val="第%1部分　"/>
      <w:lvlJc w:val="left"/>
      <w:rPr>
        <w:rFonts w:hint="eastAsia"/>
      </w:rPr>
    </w:lvl>
  </w:abstractNum>
  <w:abstractNum w:abstractNumId="1">
    <w:nsid w:val="112B3953"/>
    <w:multiLevelType w:val="singleLevel"/>
    <w:tmpl w:val="112B3953"/>
    <w:lvl w:ilvl="0" w:tentative="0">
      <w:start w:val="1"/>
      <w:numFmt w:val="chineseCounting"/>
      <w:suff w:val="nothing"/>
      <w:lvlText w:val="（%1）"/>
      <w:lvlJc w:val="left"/>
      <w:rPr>
        <w:rFonts w:hint="eastAsia"/>
      </w:rPr>
    </w:lvl>
  </w:abstractNum>
  <w:abstractNum w:abstractNumId="2">
    <w:nsid w:val="1443CB69"/>
    <w:multiLevelType w:val="singleLevel"/>
    <w:tmpl w:val="1443CB69"/>
    <w:lvl w:ilvl="0" w:tentative="0">
      <w:start w:val="1"/>
      <w:numFmt w:val="decimal"/>
      <w:suff w:val="nothing"/>
      <w:lvlText w:val="%1、"/>
      <w:lvlJc w:val="left"/>
    </w:lvl>
  </w:abstractNum>
  <w:abstractNum w:abstractNumId="3">
    <w:nsid w:val="5971BE17"/>
    <w:multiLevelType w:val="singleLevel"/>
    <w:tmpl w:val="5971BE17"/>
    <w:lvl w:ilvl="0" w:tentative="0">
      <w:start w:val="1"/>
      <w:numFmt w:val="chineseCounting"/>
      <w:suff w:val="nothing"/>
      <w:lvlText w:val="%1、"/>
      <w:lvlJc w:val="left"/>
      <w:rPr>
        <w:rFonts w:cs="Times New Roman"/>
      </w:rPr>
    </w:lvl>
  </w:abstractNum>
  <w:abstractNum w:abstractNumId="4">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5">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6F029D47"/>
    <w:multiLevelType w:val="singleLevel"/>
    <w:tmpl w:val="6F029D47"/>
    <w:lvl w:ilvl="0" w:tentative="0">
      <w:start w:val="1"/>
      <w:numFmt w:val="decimal"/>
      <w:suff w:val="nothing"/>
      <w:lvlText w:val="%1、"/>
      <w:lvlJc w:val="left"/>
    </w:lvl>
  </w:abstractNum>
  <w:abstractNum w:abstractNumId="8">
    <w:nsid w:val="7CBC503B"/>
    <w:multiLevelType w:val="singleLevel"/>
    <w:tmpl w:val="7CBC503B"/>
    <w:lvl w:ilvl="0" w:tentative="0">
      <w:start w:val="8"/>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5"/>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2801"/>
    <w:rsid w:val="0017112E"/>
    <w:rsid w:val="00172A27"/>
    <w:rsid w:val="00402C74"/>
    <w:rsid w:val="004C11C3"/>
    <w:rsid w:val="004D36BB"/>
    <w:rsid w:val="0050293C"/>
    <w:rsid w:val="00503F16"/>
    <w:rsid w:val="00630D31"/>
    <w:rsid w:val="007115FD"/>
    <w:rsid w:val="00AB7377"/>
    <w:rsid w:val="00AF7B15"/>
    <w:rsid w:val="00B408E9"/>
    <w:rsid w:val="00B54309"/>
    <w:rsid w:val="00B84FB0"/>
    <w:rsid w:val="00BA37FF"/>
    <w:rsid w:val="00C57D7B"/>
    <w:rsid w:val="00C6444A"/>
    <w:rsid w:val="00D9092F"/>
    <w:rsid w:val="00DB1C77"/>
    <w:rsid w:val="00DD5457"/>
    <w:rsid w:val="00E21B07"/>
    <w:rsid w:val="00E32E02"/>
    <w:rsid w:val="00ED38A5"/>
    <w:rsid w:val="014E6FC3"/>
    <w:rsid w:val="01F21A60"/>
    <w:rsid w:val="026651AD"/>
    <w:rsid w:val="027033B1"/>
    <w:rsid w:val="03240ECA"/>
    <w:rsid w:val="039F513A"/>
    <w:rsid w:val="03EE1375"/>
    <w:rsid w:val="04453648"/>
    <w:rsid w:val="04815C56"/>
    <w:rsid w:val="07F31BEE"/>
    <w:rsid w:val="084D7413"/>
    <w:rsid w:val="08A93228"/>
    <w:rsid w:val="08FB3159"/>
    <w:rsid w:val="09BB2134"/>
    <w:rsid w:val="0A1828B8"/>
    <w:rsid w:val="0A621AA9"/>
    <w:rsid w:val="0B2F2152"/>
    <w:rsid w:val="0C1100C2"/>
    <w:rsid w:val="0CCB4709"/>
    <w:rsid w:val="0CD042DD"/>
    <w:rsid w:val="0F77102B"/>
    <w:rsid w:val="0FAB2FE6"/>
    <w:rsid w:val="0FEF0DE6"/>
    <w:rsid w:val="10B758AE"/>
    <w:rsid w:val="113E646F"/>
    <w:rsid w:val="117A0571"/>
    <w:rsid w:val="118F46EF"/>
    <w:rsid w:val="11C907A6"/>
    <w:rsid w:val="122B3CEC"/>
    <w:rsid w:val="13070A58"/>
    <w:rsid w:val="147E551D"/>
    <w:rsid w:val="14D2458E"/>
    <w:rsid w:val="150B6848"/>
    <w:rsid w:val="15492582"/>
    <w:rsid w:val="17965762"/>
    <w:rsid w:val="17BE6092"/>
    <w:rsid w:val="184F4EC3"/>
    <w:rsid w:val="1A624019"/>
    <w:rsid w:val="1BDA3FBA"/>
    <w:rsid w:val="1C1F61CB"/>
    <w:rsid w:val="1C3B117F"/>
    <w:rsid w:val="1D5C194D"/>
    <w:rsid w:val="1DBF76A0"/>
    <w:rsid w:val="1E2566FD"/>
    <w:rsid w:val="1E7D3B34"/>
    <w:rsid w:val="20F5460F"/>
    <w:rsid w:val="212E5315"/>
    <w:rsid w:val="216022AF"/>
    <w:rsid w:val="254B33D1"/>
    <w:rsid w:val="256D2254"/>
    <w:rsid w:val="25B11DCE"/>
    <w:rsid w:val="27507D70"/>
    <w:rsid w:val="28270281"/>
    <w:rsid w:val="28535460"/>
    <w:rsid w:val="29621C7E"/>
    <w:rsid w:val="2983760E"/>
    <w:rsid w:val="29B13F52"/>
    <w:rsid w:val="29ED2241"/>
    <w:rsid w:val="2ACE51FA"/>
    <w:rsid w:val="2BA4769A"/>
    <w:rsid w:val="2C654BE7"/>
    <w:rsid w:val="2C8F6BCF"/>
    <w:rsid w:val="2CC075DB"/>
    <w:rsid w:val="2CD06EF4"/>
    <w:rsid w:val="2D800348"/>
    <w:rsid w:val="2D9D4DA5"/>
    <w:rsid w:val="2DBF18D1"/>
    <w:rsid w:val="2DD25EE7"/>
    <w:rsid w:val="2F47056C"/>
    <w:rsid w:val="307652F7"/>
    <w:rsid w:val="30975F98"/>
    <w:rsid w:val="30D85EE3"/>
    <w:rsid w:val="31292721"/>
    <w:rsid w:val="325F6EF2"/>
    <w:rsid w:val="32EF005E"/>
    <w:rsid w:val="32EF40CE"/>
    <w:rsid w:val="33A76F4E"/>
    <w:rsid w:val="34416F30"/>
    <w:rsid w:val="34F2560F"/>
    <w:rsid w:val="364D690A"/>
    <w:rsid w:val="36FA2471"/>
    <w:rsid w:val="372974AC"/>
    <w:rsid w:val="37EF73AB"/>
    <w:rsid w:val="38262F47"/>
    <w:rsid w:val="387A603B"/>
    <w:rsid w:val="39637962"/>
    <w:rsid w:val="39967F15"/>
    <w:rsid w:val="3AE7177F"/>
    <w:rsid w:val="3C5769C0"/>
    <w:rsid w:val="3D954904"/>
    <w:rsid w:val="3E3D21CB"/>
    <w:rsid w:val="3EA437AD"/>
    <w:rsid w:val="3EB258D2"/>
    <w:rsid w:val="3EEE22CD"/>
    <w:rsid w:val="3F081D17"/>
    <w:rsid w:val="3F095AD2"/>
    <w:rsid w:val="3FCD07F4"/>
    <w:rsid w:val="40F13749"/>
    <w:rsid w:val="41CF71DE"/>
    <w:rsid w:val="42271DDB"/>
    <w:rsid w:val="42563EC6"/>
    <w:rsid w:val="43E82B9D"/>
    <w:rsid w:val="457B1C96"/>
    <w:rsid w:val="462935A5"/>
    <w:rsid w:val="468900BD"/>
    <w:rsid w:val="469E046B"/>
    <w:rsid w:val="477D716C"/>
    <w:rsid w:val="48B52937"/>
    <w:rsid w:val="48C00F7D"/>
    <w:rsid w:val="48E2066E"/>
    <w:rsid w:val="48EE3EF3"/>
    <w:rsid w:val="49E178D4"/>
    <w:rsid w:val="4B2D55EB"/>
    <w:rsid w:val="4C1E2F28"/>
    <w:rsid w:val="4CDE14E6"/>
    <w:rsid w:val="4DC81D93"/>
    <w:rsid w:val="4DE20C7C"/>
    <w:rsid w:val="50406649"/>
    <w:rsid w:val="50C2787A"/>
    <w:rsid w:val="5115239B"/>
    <w:rsid w:val="541D6A82"/>
    <w:rsid w:val="544677EE"/>
    <w:rsid w:val="548F348C"/>
    <w:rsid w:val="55EA1009"/>
    <w:rsid w:val="5651051D"/>
    <w:rsid w:val="56F333EF"/>
    <w:rsid w:val="57C811A9"/>
    <w:rsid w:val="57E961A8"/>
    <w:rsid w:val="581E77CF"/>
    <w:rsid w:val="58B06254"/>
    <w:rsid w:val="5AF25131"/>
    <w:rsid w:val="5BCA31AA"/>
    <w:rsid w:val="5DD56AC2"/>
    <w:rsid w:val="5EB57926"/>
    <w:rsid w:val="5F130DE5"/>
    <w:rsid w:val="5F8F5A67"/>
    <w:rsid w:val="5F964892"/>
    <w:rsid w:val="5FB578F9"/>
    <w:rsid w:val="600176AC"/>
    <w:rsid w:val="60B8378D"/>
    <w:rsid w:val="60F22670"/>
    <w:rsid w:val="617A16DC"/>
    <w:rsid w:val="627A693C"/>
    <w:rsid w:val="62D27395"/>
    <w:rsid w:val="64F806ED"/>
    <w:rsid w:val="65061AE8"/>
    <w:rsid w:val="664A46E0"/>
    <w:rsid w:val="671709B1"/>
    <w:rsid w:val="6796775E"/>
    <w:rsid w:val="67D84ED8"/>
    <w:rsid w:val="68500770"/>
    <w:rsid w:val="686B0051"/>
    <w:rsid w:val="687C156E"/>
    <w:rsid w:val="68E95CA0"/>
    <w:rsid w:val="68F315DE"/>
    <w:rsid w:val="69677DE2"/>
    <w:rsid w:val="69F84494"/>
    <w:rsid w:val="6A7274C4"/>
    <w:rsid w:val="6ABB6698"/>
    <w:rsid w:val="6AC30185"/>
    <w:rsid w:val="6ADA18A8"/>
    <w:rsid w:val="6CF57DFC"/>
    <w:rsid w:val="6DC12C15"/>
    <w:rsid w:val="6F2D14A1"/>
    <w:rsid w:val="6FDF24CC"/>
    <w:rsid w:val="705F045F"/>
    <w:rsid w:val="71490407"/>
    <w:rsid w:val="7156288B"/>
    <w:rsid w:val="72B61072"/>
    <w:rsid w:val="73F12465"/>
    <w:rsid w:val="75531EF6"/>
    <w:rsid w:val="755A7A11"/>
    <w:rsid w:val="75D0003D"/>
    <w:rsid w:val="76735E75"/>
    <w:rsid w:val="783E1213"/>
    <w:rsid w:val="7A070B19"/>
    <w:rsid w:val="7B743F46"/>
    <w:rsid w:val="7C2C4361"/>
    <w:rsid w:val="7CB2271D"/>
    <w:rsid w:val="7D5D694B"/>
    <w:rsid w:val="7F274F58"/>
    <w:rsid w:val="7FBF61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Body Text Indent Char"/>
    <w:basedOn w:val="5"/>
    <w:link w:val="2"/>
    <w:semiHidden/>
    <w:qFormat/>
    <w:locked/>
    <w:uiPriority w:val="99"/>
    <w:rPr>
      <w:rFonts w:ascii="Calibri" w:hAnsi="Calibri" w:cs="Times New Roman"/>
      <w:sz w:val="24"/>
      <w:szCs w:val="24"/>
    </w:rPr>
  </w:style>
  <w:style w:type="character" w:customStyle="1" w:styleId="8">
    <w:name w:val="Footer Char"/>
    <w:basedOn w:val="5"/>
    <w:link w:val="3"/>
    <w:semiHidden/>
    <w:qFormat/>
    <w:locked/>
    <w:uiPriority w:val="99"/>
    <w:rPr>
      <w:rFonts w:ascii="Calibri" w:hAnsi="Calibri" w:cs="Times New Roman"/>
      <w:sz w:val="18"/>
      <w:szCs w:val="18"/>
    </w:rPr>
  </w:style>
  <w:style w:type="character" w:customStyle="1" w:styleId="9">
    <w:name w:val="Header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29</Pages>
  <Words>1747</Words>
  <Characters>9962</Characters>
  <Lines>0</Lines>
  <Paragraphs>0</Paragraphs>
  <TotalTime>220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2017-11-01T07:22:00Z</cp:lastPrinted>
  <dcterms:modified xsi:type="dcterms:W3CDTF">2019-02-13T07:49:50Z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