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信阳市浉河区供销合作社</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信阳市浉河区供销合作社</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信阳市浉河区供销合作社2017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黑体" w:hAnsi="黑体" w:eastAsia="黑体" w:cs="黑体"/>
          <w:sz w:val="48"/>
          <w:szCs w:val="48"/>
          <w:lang w:eastAsia="zh-CN"/>
        </w:rPr>
        <w:t>信阳市浉河区供销合作社</w:t>
      </w:r>
      <w:r>
        <w:rPr>
          <w:rFonts w:hint="eastAsia" w:ascii="隶书" w:hAnsi="隶书" w:eastAsia="隶书" w:cs="隶书"/>
          <w:sz w:val="48"/>
          <w:szCs w:val="48"/>
        </w:rPr>
        <w:t>概况</w:t>
      </w:r>
    </w:p>
    <w:p>
      <w:pPr>
        <w:widowControl/>
        <w:spacing w:line="360" w:lineRule="atLeast"/>
        <w:ind w:left="-420" w:leftChars="-200" w:firstLine="640" w:firstLineChars="200"/>
        <w:jc w:val="left"/>
        <w:rPr>
          <w:rFonts w:hint="eastAsia" w:ascii="仿宋_GB2312" w:hAnsi="Times New Roman" w:eastAsia="仿宋_GB2312"/>
          <w:color w:val="444444"/>
          <w:kern w:val="0"/>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r>
        <w:rPr>
          <w:rFonts w:hint="eastAsia" w:ascii="仿宋_GB2312" w:hAnsi="Times New Roman" w:eastAsia="仿宋_GB2312"/>
          <w:color w:val="444444"/>
          <w:kern w:val="0"/>
          <w:sz w:val="32"/>
          <w:szCs w:val="32"/>
        </w:rPr>
        <w:t xml:space="preserve">  </w:t>
      </w:r>
    </w:p>
    <w:p>
      <w:pPr>
        <w:widowControl/>
        <w:spacing w:line="360" w:lineRule="atLeast"/>
        <w:ind w:left="-420" w:leftChars="-200" w:firstLine="643" w:firstLineChars="200"/>
        <w:jc w:val="left"/>
        <w:rPr>
          <w:rFonts w:hint="eastAsia" w:ascii="仿宋_GB2312" w:hAnsi="仿宋_GB2312" w:eastAsia="仿宋_GB2312" w:cs="仿宋_GB2312"/>
          <w:b/>
          <w:bCs/>
          <w:color w:val="444444"/>
          <w:kern w:val="0"/>
          <w:sz w:val="32"/>
          <w:szCs w:val="32"/>
          <w:shd w:val="clear" w:color="auto" w:fill="FFFFFF"/>
        </w:rPr>
      </w:pPr>
      <w:r>
        <w:rPr>
          <w:rFonts w:hint="eastAsia" w:ascii="仿宋_GB2312" w:hAnsi="仿宋_GB2312" w:eastAsia="仿宋_GB2312" w:cs="仿宋_GB2312"/>
          <w:b/>
          <w:bCs/>
          <w:color w:val="444444"/>
          <w:kern w:val="0"/>
          <w:sz w:val="32"/>
          <w:lang w:eastAsia="zh-CN"/>
        </w:rPr>
        <w:t>信阳市</w:t>
      </w:r>
      <w:r>
        <w:rPr>
          <w:rFonts w:hint="eastAsia" w:ascii="仿宋_GB2312" w:hAnsi="仿宋_GB2312" w:eastAsia="仿宋_GB2312" w:cs="仿宋_GB2312"/>
          <w:b/>
          <w:bCs/>
          <w:color w:val="444444"/>
          <w:kern w:val="0"/>
          <w:sz w:val="32"/>
          <w:szCs w:val="32"/>
          <w:shd w:val="clear" w:color="auto" w:fill="FFFFFF"/>
        </w:rPr>
        <w:t>浉河区供销合作社是全区供销社的联合组织，属区政府直属事业单位。社机关设“一室两办四科”，即党政办公室、人事科、业务科、财务科、保卫科、城区经营公司管理办公室、乡镇社管理办公室；共有人员31人，其中在岗9人，调研员4人，离休4人，退休16人。</w:t>
      </w:r>
    </w:p>
    <w:p>
      <w:pPr>
        <w:widowControl/>
        <w:spacing w:line="360" w:lineRule="atLeast"/>
        <w:ind w:left="-420" w:leftChars="-200" w:firstLine="643" w:firstLineChars="200"/>
        <w:jc w:val="left"/>
        <w:rPr>
          <w:rFonts w:hint="eastAsia" w:ascii="仿宋_GB2312" w:hAnsi="仿宋_GB2312" w:eastAsia="仿宋_GB2312" w:cs="仿宋_GB2312"/>
          <w:b/>
          <w:bCs/>
          <w:color w:val="444444"/>
          <w:kern w:val="0"/>
          <w:sz w:val="32"/>
          <w:szCs w:val="32"/>
          <w:shd w:val="clear" w:color="auto" w:fill="FFFFFF"/>
        </w:rPr>
      </w:pPr>
      <w:r>
        <w:rPr>
          <w:rFonts w:hint="eastAsia" w:ascii="仿宋_GB2312" w:hAnsi="仿宋_GB2312" w:eastAsia="仿宋_GB2312" w:cs="仿宋_GB2312"/>
          <w:b/>
          <w:bCs/>
          <w:color w:val="444444"/>
          <w:kern w:val="0"/>
          <w:sz w:val="32"/>
          <w:szCs w:val="32"/>
          <w:shd w:val="clear" w:color="auto" w:fill="FFFFFF"/>
        </w:rPr>
        <w:t>浉河区供销合作主要职责是宣传贯彻党和国家有关农村经济和供销合作工作的方针、政策；参与研究和实施全区农村商品流通的政策和规定，研究制定全区供销合作社的发展战略和发展规划，指导全区供销合作社的改革和发展和业务活动，依法保护和管理供销合作社资产，确保社有资产的保值增值，维护供销合作社的权益；积极参与农业产业化，大力推进专业合作社、村级综合服务社、“新网工程”建设等工作，为农业、农村、农民提供综合服务，促进城乡商品流通和市场经济的发展；承办区委、区政府和上级主管部门交办的事项。</w:t>
      </w:r>
    </w:p>
    <w:p>
      <w:pPr>
        <w:numPr>
          <w:ilvl w:val="0"/>
          <w:numId w:val="0"/>
        </w:numPr>
        <w:spacing w:line="360" w:lineRule="auto"/>
        <w:jc w:val="left"/>
        <w:rPr>
          <w:rFonts w:hint="eastAsia" w:ascii="仿宋_GB2312" w:hAnsi="仿宋_GB2312" w:eastAsia="仿宋_GB2312" w:cs="仿宋_GB2312"/>
          <w:b/>
          <w:bCs/>
          <w:sz w:val="32"/>
          <w:szCs w:val="32"/>
        </w:rPr>
      </w:pPr>
    </w:p>
    <w:p>
      <w:pPr>
        <w:numPr>
          <w:ilvl w:val="0"/>
          <w:numId w:val="0"/>
        </w:numPr>
        <w:spacing w:line="360" w:lineRule="auto"/>
        <w:jc w:val="left"/>
        <w:rPr>
          <w:rFonts w:ascii="仿宋_GB2312" w:hAnsi="仿宋_GB2312" w:eastAsia="仿宋_GB2312" w:cs="仿宋_GB2312"/>
          <w:sz w:val="32"/>
          <w:szCs w:val="32"/>
        </w:rPr>
      </w:pPr>
    </w:p>
    <w:p>
      <w:pPr>
        <w:spacing w:line="360" w:lineRule="auto"/>
        <w:jc w:val="left"/>
        <w:rPr>
          <w:rFonts w:ascii="楷体_GB2312" w:hAnsi="楷体_GB2312" w:eastAsia="楷体_GB2312" w:cs="楷体_GB2312"/>
          <w:sz w:val="32"/>
          <w:szCs w:val="32"/>
        </w:rPr>
      </w:pP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b/>
          <w:bCs/>
          <w:color w:val="444444"/>
          <w:kern w:val="0"/>
          <w:sz w:val="32"/>
          <w:lang w:eastAsia="zh-CN"/>
        </w:rPr>
        <w:t>信阳市</w:t>
      </w:r>
      <w:r>
        <w:rPr>
          <w:rFonts w:hint="eastAsia" w:ascii="仿宋_GB2312" w:hAnsi="仿宋_GB2312" w:eastAsia="仿宋_GB2312" w:cs="仿宋_GB2312"/>
          <w:b/>
          <w:bCs/>
          <w:color w:val="444444"/>
          <w:kern w:val="0"/>
          <w:sz w:val="32"/>
          <w:szCs w:val="32"/>
          <w:shd w:val="clear" w:color="auto" w:fill="FFFFFF"/>
        </w:rPr>
        <w:t>浉河区供销合作社</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年度部门决算编制范围的单位包括</w:t>
      </w:r>
      <w:r>
        <w:rPr>
          <w:rFonts w:hint="eastAsia" w:ascii="仿宋_GB2312" w:hAnsi="仿宋_GB2312" w:eastAsia="仿宋_GB2312" w:cs="仿宋_GB2312"/>
          <w:b/>
          <w:bCs/>
          <w:color w:val="444444"/>
          <w:kern w:val="0"/>
          <w:sz w:val="32"/>
          <w:lang w:eastAsia="zh-CN"/>
        </w:rPr>
        <w:t>信阳市</w:t>
      </w:r>
      <w:r>
        <w:rPr>
          <w:rFonts w:hint="eastAsia" w:ascii="仿宋_GB2312" w:hAnsi="仿宋_GB2312" w:eastAsia="仿宋_GB2312" w:cs="仿宋_GB2312"/>
          <w:b/>
          <w:bCs/>
          <w:color w:val="444444"/>
          <w:kern w:val="0"/>
          <w:sz w:val="32"/>
          <w:szCs w:val="32"/>
          <w:shd w:val="clear" w:color="auto" w:fill="FFFFFF"/>
        </w:rPr>
        <w:t>浉河区供销合作社</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，无二级机构。</w:t>
      </w:r>
      <w:bookmarkStart w:id="0" w:name="_GoBack"/>
      <w:bookmarkEnd w:id="0"/>
    </w:p>
    <w:p>
      <w:pPr>
        <w:ind w:firstLine="640" w:firstLineChars="200"/>
        <w:jc w:val="left"/>
        <w:rPr>
          <w:rFonts w:hint="eastAsia" w:ascii="黑体" w:hAnsi="黑体" w:eastAsia="仿宋_GB2312" w:cs="黑体"/>
          <w:sz w:val="32"/>
          <w:szCs w:val="32"/>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b/>
          <w:bCs/>
          <w:sz w:val="48"/>
          <w:szCs w:val="48"/>
        </w:rPr>
      </w:pPr>
      <w:r>
        <w:rPr>
          <w:rFonts w:hint="eastAsia" w:ascii="仿宋_GB2312" w:hAnsi="仿宋_GB2312" w:eastAsia="仿宋_GB2312" w:cs="仿宋_GB2312"/>
          <w:b/>
          <w:bCs/>
          <w:color w:val="444444"/>
          <w:kern w:val="0"/>
          <w:sz w:val="48"/>
          <w:szCs w:val="48"/>
          <w:lang w:eastAsia="zh-CN"/>
        </w:rPr>
        <w:t>信阳市</w:t>
      </w:r>
      <w:r>
        <w:rPr>
          <w:rFonts w:hint="eastAsia" w:ascii="仿宋_GB2312" w:hAnsi="仿宋_GB2312" w:eastAsia="仿宋_GB2312" w:cs="仿宋_GB2312"/>
          <w:b/>
          <w:bCs/>
          <w:color w:val="444444"/>
          <w:kern w:val="0"/>
          <w:sz w:val="48"/>
          <w:szCs w:val="48"/>
          <w:shd w:val="clear" w:color="auto" w:fill="FFFFFF"/>
        </w:rPr>
        <w:t>浉河区供销合作社</w:t>
      </w:r>
    </w:p>
    <w:p>
      <w:pPr>
        <w:jc w:val="center"/>
        <w:rPr>
          <w:rFonts w:hint="eastAsia" w:ascii="仿宋_GB2312" w:hAnsi="仿宋_GB2312" w:eastAsia="仿宋_GB2312" w:cs="仿宋_GB2312"/>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48"/>
          <w:szCs w:val="48"/>
          <w:lang w:eastAsia="zh-CN"/>
        </w:rPr>
        <w:t>2017</w:t>
      </w:r>
      <w:r>
        <w:rPr>
          <w:rFonts w:hint="eastAsia" w:ascii="仿宋_GB2312" w:hAnsi="仿宋_GB2312" w:eastAsia="仿宋_GB2312" w:cs="仿宋_GB2312"/>
          <w:sz w:val="48"/>
          <w:szCs w:val="48"/>
        </w:rPr>
        <w:t>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151.51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（其中</w:t>
      </w:r>
      <w:r>
        <w:rPr>
          <w:rFonts w:hint="eastAsia" w:ascii="仿宋_GB2312" w:hAnsi="宋体" w:eastAsia="仿宋_GB2312" w:cs="Courier New"/>
          <w:sz w:val="32"/>
          <w:szCs w:val="32"/>
          <w:lang w:val="en-US" w:eastAsia="zh-CN"/>
        </w:rPr>
        <w:t>2017年财政拨款收入139.65万元，年初结转和结余11.86万元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，支出总计</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10.65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13.57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139.65</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139.65</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151.51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（其中</w:t>
      </w:r>
      <w:r>
        <w:rPr>
          <w:rFonts w:hint="eastAsia" w:ascii="仿宋_GB2312" w:hAnsi="宋体" w:eastAsia="仿宋_GB2312" w:cs="Courier New"/>
          <w:sz w:val="32"/>
          <w:szCs w:val="32"/>
          <w:lang w:val="en-US" w:eastAsia="zh-CN"/>
        </w:rPr>
        <w:t>2017年财政拨款收入139.65万元，年初结转和结余11.86万元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10.65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13.57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13.57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11</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146.55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97</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于预算数的主要原因：一是</w:t>
      </w:r>
      <w:r>
        <w:rPr>
          <w:rFonts w:hint="eastAsia" w:ascii="仿宋_GB2312" w:hAnsi="宋体" w:eastAsia="仿宋_GB2312" w:cs="Courier New"/>
          <w:sz w:val="32"/>
          <w:szCs w:val="32"/>
          <w:lang w:eastAsia="zh-CN"/>
        </w:rPr>
        <w:t>单位增加退休人员</w:t>
      </w:r>
      <w:r>
        <w:rPr>
          <w:rFonts w:hint="eastAsia" w:ascii="仿宋_GB2312" w:hAnsi="宋体" w:eastAsia="仿宋_GB2312" w:cs="Courier New"/>
          <w:sz w:val="32"/>
          <w:szCs w:val="32"/>
          <w:lang w:val="en-US" w:eastAsia="zh-CN"/>
        </w:rPr>
        <w:t>1名</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财政拨款支出决算具体情况。</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146.55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97</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eastAsia="zh-CN"/>
        </w:rPr>
        <w:t>：单位增加退休人员</w:t>
      </w:r>
      <w:r>
        <w:rPr>
          <w:rFonts w:hint="eastAsia" w:ascii="仿宋_GB2312" w:hAnsi="宋体" w:eastAsia="仿宋_GB2312" w:cs="Courier New"/>
          <w:sz w:val="32"/>
          <w:szCs w:val="32"/>
          <w:lang w:val="en-US" w:eastAsia="zh-CN"/>
        </w:rPr>
        <w:t>1名</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146.55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97</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eastAsia="zh-CN"/>
        </w:rPr>
        <w:t>：单位增加退休人员</w:t>
      </w:r>
      <w:r>
        <w:rPr>
          <w:rFonts w:hint="eastAsia" w:ascii="仿宋_GB2312" w:hAnsi="宋体" w:eastAsia="仿宋_GB2312" w:cs="Courier New"/>
          <w:sz w:val="32"/>
          <w:szCs w:val="32"/>
          <w:lang w:val="en-US" w:eastAsia="zh-CN"/>
        </w:rPr>
        <w:t>1名</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其他事项：无。</w:t>
      </w:r>
    </w:p>
    <w:p>
      <w:pPr>
        <w:numPr>
          <w:ilvl w:val="0"/>
          <w:numId w:val="0"/>
        </w:numPr>
        <w:adjustRightInd w:val="0"/>
        <w:snapToGrid w:val="0"/>
        <w:spacing w:line="360" w:lineRule="auto"/>
        <w:rPr>
          <w:rFonts w:hint="eastAsia" w:ascii="楷体_GB2312" w:hAnsi="楷体_GB2312" w:eastAsia="楷体_GB2312" w:cs="楷体_GB2312"/>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142.57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116.38</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w:t>
      </w:r>
      <w:r>
        <w:rPr>
          <w:rFonts w:hint="eastAsia" w:ascii="仿宋_GB2312" w:hAnsi="宋体" w:eastAsia="仿宋_GB2312" w:cs="Courier New"/>
          <w:sz w:val="32"/>
          <w:szCs w:val="32"/>
          <w:lang w:val="en-US" w:eastAsia="zh-CN"/>
        </w:rPr>
        <w:t>47.34万元</w:t>
      </w:r>
      <w:r>
        <w:rPr>
          <w:rFonts w:hint="eastAsia" w:ascii="仿宋_GB2312" w:hAnsi="宋体" w:eastAsia="仿宋_GB2312" w:cs="Courier New"/>
          <w:sz w:val="32"/>
          <w:szCs w:val="32"/>
        </w:rPr>
        <w:t>、津贴补贴</w:t>
      </w:r>
      <w:r>
        <w:rPr>
          <w:rFonts w:hint="eastAsia" w:ascii="仿宋_GB2312" w:hAnsi="宋体" w:eastAsia="仿宋_GB2312" w:cs="Courier New"/>
          <w:sz w:val="32"/>
          <w:szCs w:val="32"/>
          <w:lang w:val="en-US" w:eastAsia="zh-CN"/>
        </w:rPr>
        <w:t>22.06万元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其他社会保障缴费</w:t>
      </w:r>
      <w:r>
        <w:rPr>
          <w:rFonts w:hint="eastAsia" w:ascii="仿宋_GB2312" w:hAnsi="宋体" w:eastAsia="仿宋_GB2312" w:cs="Courier New"/>
          <w:sz w:val="32"/>
          <w:szCs w:val="32"/>
          <w:lang w:val="en-US" w:eastAsia="zh-CN"/>
        </w:rPr>
        <w:t>5.87万元、机关事业单位基本养老保险缴费12.52万元、退休费10.95万元、救济费7万元、住房公积金8.21万元、其他对个人和家庭的补助支出2.43万元；</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
          <w:spacing w:val="-1"/>
          <w:kern w:val="0"/>
          <w:sz w:val="32"/>
          <w:szCs w:val="32"/>
          <w:lang w:val="en-US" w:eastAsia="zh-CN"/>
        </w:rPr>
        <w:t>26.19</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1.28万元、水费1万元、电费1.9万元、公务接待费0.52万元、劳务费14.5万元、公务用车运行维护费6.99万元。</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7.51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94</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6.99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0.52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52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年度“三公”经费支出决算数小于预算数的主要原因是公务接待费</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0.03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%，其中：因公出国（境）费支出决算增加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%；公务用车购置及运行费支出决算增加</w:t>
      </w:r>
      <w:r>
        <w:rPr>
          <w:rFonts w:hint="eastAsia" w:ascii="仿宋_GB2312" w:hAnsi="宋体" w:eastAsia="仿宋_GB2312" w:cs="Courier New"/>
          <w:sz w:val="32"/>
          <w:szCs w:val="32"/>
          <w:lang w:val="en-US" w:eastAsia="zh-CN"/>
        </w:rPr>
        <w:t>0.01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0.04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%。因公出国（境）费支出减少的主要原因是</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因公出国（境）费支出；公务用车购置及运行费支出增加的主要原因是</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2辆公务小车年数已久，维修费增加</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：现在公务接待的标准是同城不吃饭，禁止使用高档烟酒，禁止出入高档酒店进行招待，大大减少了公务接待费用</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6.99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93</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0.52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人次。开支内容包括：</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lang w:eastAsia="zh-CN"/>
        </w:rPr>
        <w:t>出国</w:t>
      </w: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万元，主要用于参加以下国际会议：</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国际会议</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万元，主要用于参加以下谈判和磋商：</w:t>
      </w:r>
      <w:r>
        <w:rPr>
          <w:rFonts w:hint="eastAsia" w:ascii="仿宋_GB2312" w:hAnsi="宋体" w:eastAsia="仿宋_GB2312" w:cs="Courier New"/>
          <w:sz w:val="32"/>
          <w:szCs w:val="32"/>
          <w:lang w:eastAsia="zh-CN"/>
        </w:rPr>
        <w:t>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没有</w:t>
      </w:r>
      <w:r>
        <w:rPr>
          <w:rFonts w:hint="eastAsia" w:ascii="仿宋_GB2312" w:hAnsi="宋体" w:eastAsia="仿宋_GB2312" w:cs="Courier New"/>
          <w:sz w:val="32"/>
          <w:szCs w:val="32"/>
        </w:rPr>
        <w:t>用于为提高财政管理水平而举办的公共财政支出结构比较研究、社会保障政策等。</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6.99</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6.99</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小车维修及加油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，信阳市浉河区供销合作社</w:t>
      </w:r>
      <w:r>
        <w:rPr>
          <w:rFonts w:hint="eastAsia" w:ascii="仿宋_GB2312" w:hAnsi="宋体" w:eastAsia="仿宋_GB2312" w:cs="Courier New"/>
          <w:sz w:val="32"/>
          <w:szCs w:val="32"/>
        </w:rPr>
        <w:t>属单位开支财政拨款的公务用车保有量为</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量。</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0.52</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无外宾接待</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浉河区供销合作社2017</w:t>
      </w:r>
      <w:r>
        <w:rPr>
          <w:rFonts w:hint="eastAsia" w:ascii="仿宋_GB2312" w:hAnsi="宋体" w:eastAsia="仿宋_GB2312" w:cs="Courier New"/>
          <w:sz w:val="32"/>
          <w:szCs w:val="32"/>
        </w:rPr>
        <w:t>年度共接待国（境）外来访团组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个、来访外宾</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人次（不包括陪同人员），主要包括：</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世界银行行长等。</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0.52</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浉河区供销合作社</w:t>
      </w:r>
      <w:r>
        <w:rPr>
          <w:rFonts w:hint="eastAsia" w:ascii="仿宋_GB2312" w:hAnsi="仿宋_GB2312" w:eastAsia="仿宋_GB2312" w:cs="仿宋_GB2312"/>
          <w:sz w:val="32"/>
          <w:szCs w:val="32"/>
        </w:rPr>
        <w:t>日常的公务接待</w:t>
      </w:r>
      <w:r>
        <w:rPr>
          <w:rFonts w:ascii="??_GB2312" w:hAnsi="宋体" w:eastAsia="Times New Roman" w:cs="Courier New"/>
          <w:sz w:val="32"/>
          <w:szCs w:val="32"/>
        </w:rPr>
        <w:t>。</w:t>
      </w:r>
      <w:r>
        <w:rPr>
          <w:rFonts w:hint="eastAsia" w:ascii="仿宋_GB2312" w:hAnsi="宋体" w:eastAsia="仿宋_GB2312" w:cs="Courier New"/>
          <w:sz w:val="32"/>
          <w:szCs w:val="32"/>
          <w:lang w:eastAsia="zh-CN"/>
        </w:rPr>
        <w:t>浉河区供销合作社2017</w:t>
      </w:r>
      <w:r>
        <w:rPr>
          <w:rFonts w:hint="eastAsia" w:ascii="仿宋_GB2312" w:hAnsi="宋体" w:eastAsia="仿宋_GB2312" w:cs="Courier New"/>
          <w:sz w:val="32"/>
          <w:szCs w:val="32"/>
        </w:rPr>
        <w:t>年度共接待国内来访团组</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个、来访外宾</w:t>
      </w:r>
      <w:r>
        <w:rPr>
          <w:rFonts w:hint="eastAsia" w:ascii="仿宋_GB2312" w:hAnsi="宋体" w:eastAsia="仿宋_GB2312" w:cs="Courier New"/>
          <w:sz w:val="32"/>
          <w:szCs w:val="32"/>
          <w:lang w:val="en-US" w:eastAsia="zh-CN"/>
        </w:rPr>
        <w:t>50</w:t>
      </w:r>
      <w:r>
        <w:rPr>
          <w:rFonts w:hint="eastAsia" w:ascii="仿宋_GB2312" w:hAnsi="宋体" w:eastAsia="仿宋_GB2312" w:cs="Courier New"/>
          <w:sz w:val="32"/>
          <w:szCs w:val="32"/>
        </w:rPr>
        <w:t>人次（不包括陪同人员）。</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为做好预算绩效管理工作，信阳市浉河区供销合作社</w:t>
      </w:r>
      <w:r>
        <w:rPr>
          <w:rFonts w:hint="eastAsia" w:ascii="仿宋_GB2312" w:hAnsi="宋体" w:eastAsia="仿宋_GB2312" w:cs="Courier New"/>
          <w:sz w:val="32"/>
          <w:szCs w:val="32"/>
        </w:rPr>
        <w:t>对</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年度一般公共预算项目支出全面开展绩效自评。其中，一级项目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信阳市浉河区供销合作社</w:t>
      </w:r>
      <w:r>
        <w:rPr>
          <w:rFonts w:hint="eastAsia" w:ascii="仿宋_GB2312" w:hAnsi="宋体" w:eastAsia="仿宋_GB2312" w:cs="Courier New"/>
          <w:sz w:val="32"/>
          <w:szCs w:val="32"/>
        </w:rPr>
        <w:t>在</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年度部门决算中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增加</w:t>
      </w:r>
      <w:r>
        <w:rPr>
          <w:rFonts w:hint="eastAsia" w:ascii="楷体_GB2312" w:hAnsi="楷体_GB2312" w:eastAsia="楷体_GB2312" w:cs="楷体_GB2312"/>
          <w:sz w:val="32"/>
          <w:szCs w:val="32"/>
        </w:rPr>
        <w:t>项目绩效</w:t>
      </w:r>
      <w:r>
        <w:rPr>
          <w:rFonts w:hint="eastAsia" w:ascii="仿宋_GB2312" w:hAnsi="宋体" w:eastAsia="仿宋_GB2312" w:cs="Courier New"/>
          <w:sz w:val="32"/>
          <w:szCs w:val="32"/>
        </w:rPr>
        <w:t>评价结果</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根据</w:t>
      </w: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年年初设定的绩效目标，</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项目自</w:t>
      </w:r>
      <w:r>
        <w:rPr>
          <w:rFonts w:hint="eastAsia" w:ascii="仿宋_GB2312" w:hAnsi="宋体" w:eastAsia="仿宋_GB2312" w:cs="Courier New"/>
          <w:sz w:val="32"/>
          <w:szCs w:val="32"/>
          <w:lang w:eastAsia="zh-CN"/>
        </w:rPr>
        <w:t>评得分。</w:t>
      </w:r>
    </w:p>
    <w:p>
      <w:pPr>
        <w:kinsoku w:val="0"/>
        <w:overflowPunct w:val="0"/>
        <w:autoSpaceDE w:val="0"/>
        <w:autoSpaceDN w:val="0"/>
        <w:adjustRightInd w:val="0"/>
        <w:snapToGrid w:val="0"/>
        <w:spacing w:line="360" w:lineRule="auto"/>
        <w:ind w:firstLine="643" w:firstLineChars="200"/>
        <w:rPr>
          <w:rFonts w:ascii="黑体" w:hAnsi="黑体" w:eastAsia="黑体"/>
          <w:sz w:val="32"/>
          <w:szCs w:val="32"/>
        </w:rPr>
      </w:pPr>
      <w:r>
        <w:rPr>
          <w:rFonts w:hint="eastAsia" w:ascii="仿宋_GB2312" w:hAnsi="宋体" w:eastAsia="仿宋_GB2312" w:cs="Courier New"/>
          <w:b/>
          <w:bCs/>
          <w:sz w:val="32"/>
          <w:szCs w:val="32"/>
          <w:lang w:eastAsia="zh-CN"/>
        </w:rPr>
        <w:t>九</w:t>
      </w:r>
      <w:r>
        <w:rPr>
          <w:rFonts w:hint="eastAsia" w:ascii="仿宋_GB2312" w:hAnsi="宋体" w:eastAsia="仿宋_GB2312" w:cs="Courier New"/>
          <w:sz w:val="32"/>
          <w:szCs w:val="32"/>
          <w:lang w:eastAsia="zh-CN"/>
        </w:rPr>
        <w:t>、</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p>
    <w:p>
      <w:pPr>
        <w:numPr>
          <w:ilvl w:val="0"/>
          <w:numId w:val="0"/>
        </w:numPr>
        <w:adjustRightInd w:val="0"/>
        <w:snapToGrid w:val="0"/>
        <w:spacing w:line="360" w:lineRule="auto"/>
        <w:ind w:leftChars="200"/>
        <w:outlineLvl w:val="1"/>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6.99</w:t>
      </w:r>
      <w:r>
        <w:rPr>
          <w:rFonts w:hint="eastAsia" w:ascii="仿宋_GB2312" w:hAnsi="宋体" w:eastAsia="仿宋_GB2312" w:cs="Courier New"/>
          <w:sz w:val="32"/>
          <w:szCs w:val="32"/>
        </w:rPr>
        <w:t>万元，比</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0.01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信阳市浉河区供销合作社</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辆，其中：省级领导干部用车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辆、一般公务用车</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ind w:leftChars="20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宋体" w:eastAsia="仿宋_GB2312" w:cs="Courier New"/>
          <w:b/>
          <w:bCs/>
          <w:sz w:val="32"/>
          <w:szCs w:val="32"/>
          <w:lang w:val="en-US" w:eastAsia="zh-CN"/>
        </w:rPr>
        <w:t>十三、</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napToGrid w:val="0"/>
        <w:ind w:right="100"/>
        <w:jc w:val="both"/>
        <w:rPr>
          <w:rFonts w:hint="eastAsia" w:ascii="隶书" w:hAnsi="隶书" w:eastAsia="隶书" w:cs="隶书"/>
          <w:color w:val="000000" w:themeColor="text1"/>
          <w:sz w:val="48"/>
          <w:szCs w:val="48"/>
          <w:lang w:val="en-US" w:eastAsia="zh-CN"/>
        </w:rPr>
      </w:pPr>
    </w:p>
    <w:p>
      <w:pPr>
        <w:widowControl/>
        <w:adjustRightInd w:val="0"/>
        <w:snapToGrid w:val="0"/>
        <w:ind w:right="100"/>
        <w:jc w:val="left"/>
        <w:rPr>
          <w:rFonts w:hint="eastAsia" w:ascii="隶书" w:hAnsi="隶书" w:eastAsia="隶书" w:cs="隶书"/>
          <w:sz w:val="48"/>
          <w:szCs w:val="48"/>
          <w:lang w:eastAsia="zh-CN"/>
        </w:rPr>
      </w:pPr>
    </w:p>
    <w:p>
      <w:pPr>
        <w:widowControl/>
        <w:adjustRightInd w:val="0"/>
        <w:snapToGrid w:val="0"/>
        <w:ind w:right="100"/>
        <w:jc w:val="left"/>
        <w:rPr>
          <w:rFonts w:ascii="黑体" w:hAnsi="黑体" w:eastAsia="黑体"/>
          <w:sz w:val="32"/>
          <w:szCs w:val="32"/>
        </w:rPr>
      </w:pPr>
    </w:p>
    <w:p>
      <w:pPr>
        <w:rPr>
          <w:rFonts w:hint="eastAsia" w:ascii="隶书" w:hAnsi="隶书" w:eastAsia="隶书" w:cs="隶书"/>
          <w:sz w:val="48"/>
          <w:szCs w:val="48"/>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C193"/>
    <w:multiLevelType w:val="singleLevel"/>
    <w:tmpl w:val="5971C193"/>
    <w:lvl w:ilvl="0" w:tentative="0">
      <w:start w:val="2"/>
      <w:numFmt w:val="chineseCounting"/>
      <w:suff w:val="nothing"/>
      <w:lvlText w:val="%1、"/>
      <w:lvlJc w:val="left"/>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30D31"/>
    <w:rsid w:val="00B54309"/>
    <w:rsid w:val="00B84FB0"/>
    <w:rsid w:val="01064770"/>
    <w:rsid w:val="04453648"/>
    <w:rsid w:val="04985751"/>
    <w:rsid w:val="061516EF"/>
    <w:rsid w:val="097455CA"/>
    <w:rsid w:val="09BB2134"/>
    <w:rsid w:val="0C85413F"/>
    <w:rsid w:val="0C8F37DA"/>
    <w:rsid w:val="0D7D0EA2"/>
    <w:rsid w:val="0E080A6D"/>
    <w:rsid w:val="11751280"/>
    <w:rsid w:val="12CB671C"/>
    <w:rsid w:val="13DA4090"/>
    <w:rsid w:val="14661166"/>
    <w:rsid w:val="15492582"/>
    <w:rsid w:val="16787537"/>
    <w:rsid w:val="180D1723"/>
    <w:rsid w:val="183071CA"/>
    <w:rsid w:val="18C27DB7"/>
    <w:rsid w:val="1ACF68FA"/>
    <w:rsid w:val="1BB26345"/>
    <w:rsid w:val="1C217426"/>
    <w:rsid w:val="1C7369A4"/>
    <w:rsid w:val="1D375E40"/>
    <w:rsid w:val="1E7D3B34"/>
    <w:rsid w:val="1F1F0F93"/>
    <w:rsid w:val="1F3942CA"/>
    <w:rsid w:val="209C4FF0"/>
    <w:rsid w:val="20C8609E"/>
    <w:rsid w:val="20E8529B"/>
    <w:rsid w:val="22080EE6"/>
    <w:rsid w:val="224A17D8"/>
    <w:rsid w:val="22576149"/>
    <w:rsid w:val="22F97697"/>
    <w:rsid w:val="258F34D6"/>
    <w:rsid w:val="266E2693"/>
    <w:rsid w:val="27083F23"/>
    <w:rsid w:val="27A16F7C"/>
    <w:rsid w:val="28C83EF7"/>
    <w:rsid w:val="2A63321F"/>
    <w:rsid w:val="2BA4769A"/>
    <w:rsid w:val="2CD06EF4"/>
    <w:rsid w:val="2D6F77AE"/>
    <w:rsid w:val="2FF950D9"/>
    <w:rsid w:val="303B62A7"/>
    <w:rsid w:val="30485E97"/>
    <w:rsid w:val="30ED749B"/>
    <w:rsid w:val="31E42BD6"/>
    <w:rsid w:val="32EF40CE"/>
    <w:rsid w:val="333724E2"/>
    <w:rsid w:val="34464ED0"/>
    <w:rsid w:val="352526DC"/>
    <w:rsid w:val="35B66CB8"/>
    <w:rsid w:val="35FB498A"/>
    <w:rsid w:val="372974AC"/>
    <w:rsid w:val="374B0DD2"/>
    <w:rsid w:val="37FE6A3F"/>
    <w:rsid w:val="3CE47224"/>
    <w:rsid w:val="3DF45948"/>
    <w:rsid w:val="3E3C27F5"/>
    <w:rsid w:val="3E8149BD"/>
    <w:rsid w:val="3F026B84"/>
    <w:rsid w:val="3F287BFC"/>
    <w:rsid w:val="40E7390D"/>
    <w:rsid w:val="40F9742E"/>
    <w:rsid w:val="41A56C57"/>
    <w:rsid w:val="42002FC1"/>
    <w:rsid w:val="42271DDB"/>
    <w:rsid w:val="42845E93"/>
    <w:rsid w:val="4327479C"/>
    <w:rsid w:val="449C055A"/>
    <w:rsid w:val="44CC576C"/>
    <w:rsid w:val="452C588E"/>
    <w:rsid w:val="45B94C5C"/>
    <w:rsid w:val="467A238C"/>
    <w:rsid w:val="47CA283B"/>
    <w:rsid w:val="48036E61"/>
    <w:rsid w:val="48B52937"/>
    <w:rsid w:val="48EE3EF3"/>
    <w:rsid w:val="49F40422"/>
    <w:rsid w:val="4A95625C"/>
    <w:rsid w:val="4C1E2F28"/>
    <w:rsid w:val="4C71180F"/>
    <w:rsid w:val="4CE812E8"/>
    <w:rsid w:val="4F2153AE"/>
    <w:rsid w:val="50E07A46"/>
    <w:rsid w:val="51AD42DE"/>
    <w:rsid w:val="537C079B"/>
    <w:rsid w:val="53E9756D"/>
    <w:rsid w:val="5651051D"/>
    <w:rsid w:val="57BB5F84"/>
    <w:rsid w:val="57E961A8"/>
    <w:rsid w:val="581E77CF"/>
    <w:rsid w:val="58A7073B"/>
    <w:rsid w:val="58B06254"/>
    <w:rsid w:val="59E3092F"/>
    <w:rsid w:val="5A1B2424"/>
    <w:rsid w:val="5A936280"/>
    <w:rsid w:val="5ADC2402"/>
    <w:rsid w:val="5AF25131"/>
    <w:rsid w:val="5B39011D"/>
    <w:rsid w:val="5CF678F3"/>
    <w:rsid w:val="5D394358"/>
    <w:rsid w:val="5D9F4273"/>
    <w:rsid w:val="5F3A0145"/>
    <w:rsid w:val="5F88264D"/>
    <w:rsid w:val="600176AC"/>
    <w:rsid w:val="612457AD"/>
    <w:rsid w:val="627358F6"/>
    <w:rsid w:val="6431638A"/>
    <w:rsid w:val="657B41FD"/>
    <w:rsid w:val="664A46E0"/>
    <w:rsid w:val="66537DBC"/>
    <w:rsid w:val="66614806"/>
    <w:rsid w:val="66AB7F71"/>
    <w:rsid w:val="674E08EC"/>
    <w:rsid w:val="6826453A"/>
    <w:rsid w:val="69396B82"/>
    <w:rsid w:val="6A2415C4"/>
    <w:rsid w:val="6B1A4A24"/>
    <w:rsid w:val="6C2F3976"/>
    <w:rsid w:val="6C970EE7"/>
    <w:rsid w:val="6D331C49"/>
    <w:rsid w:val="6DEF1F4E"/>
    <w:rsid w:val="6EA970D1"/>
    <w:rsid w:val="6EB03464"/>
    <w:rsid w:val="6FC37E0C"/>
    <w:rsid w:val="704F44A3"/>
    <w:rsid w:val="70DF7C5D"/>
    <w:rsid w:val="73170F75"/>
    <w:rsid w:val="737A5BE5"/>
    <w:rsid w:val="73F1196C"/>
    <w:rsid w:val="75531EF6"/>
    <w:rsid w:val="75533473"/>
    <w:rsid w:val="75D0003D"/>
    <w:rsid w:val="7645175D"/>
    <w:rsid w:val="77115D06"/>
    <w:rsid w:val="77627872"/>
    <w:rsid w:val="779E3F57"/>
    <w:rsid w:val="794368A0"/>
    <w:rsid w:val="79960645"/>
    <w:rsid w:val="79D92E15"/>
    <w:rsid w:val="7CB67838"/>
    <w:rsid w:val="7CE838C9"/>
    <w:rsid w:val="7D0D382E"/>
    <w:rsid w:val="7EB41037"/>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2</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