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rPr>
        <w:t>浉河区移民局</w:t>
      </w:r>
    </w:p>
    <w:p>
      <w:pPr>
        <w:jc w:val="center"/>
        <w:rPr>
          <w:rFonts w:ascii="黑体" w:hAnsi="黑体" w:eastAsia="黑体" w:cs="黑体"/>
          <w:sz w:val="52"/>
          <w:szCs w:val="52"/>
        </w:rPr>
      </w:pPr>
    </w:p>
    <w:p>
      <w:pPr>
        <w:jc w:val="center"/>
        <w:rPr>
          <w:rFonts w:ascii="隶书" w:hAnsi="隶书" w:eastAsia="隶书" w:cs="隶书"/>
          <w:sz w:val="52"/>
          <w:szCs w:val="52"/>
        </w:rPr>
        <w:sectPr>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52"/>
          <w:szCs w:val="52"/>
        </w:rPr>
        <w:t>2017年度部门决算</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宋体" w:hAnsi="宋体" w:eastAsia="宋体" w:cs="宋体"/>
          <w:b/>
          <w:sz w:val="32"/>
          <w:szCs w:val="32"/>
        </w:rPr>
        <w:t>浉河区移民</w:t>
      </w:r>
      <w:r>
        <w:rPr>
          <w:rFonts w:hint="eastAsia" w:ascii="黑体" w:hAnsi="黑体" w:eastAsia="黑体" w:cs="黑体"/>
          <w:sz w:val="32"/>
          <w:szCs w:val="32"/>
        </w:rPr>
        <w:t>局概况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宋体" w:hAnsi="宋体" w:eastAsia="宋体" w:cs="宋体"/>
          <w:b/>
          <w:sz w:val="32"/>
          <w:szCs w:val="32"/>
        </w:rPr>
        <w:t>浉河区移民</w:t>
      </w:r>
      <w:r>
        <w:rPr>
          <w:rFonts w:hint="eastAsia" w:ascii="黑体" w:hAnsi="黑体" w:eastAsia="黑体" w:cs="黑体"/>
          <w:sz w:val="32"/>
          <w:szCs w:val="32"/>
        </w:rPr>
        <w:t>局2017年度部门决算情况说明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ascii="宋体" w:hAnsi="宋体" w:eastAsia="宋体" w:cs="宋体"/>
          <w:sz w:val="32"/>
          <w:szCs w:val="32"/>
        </w:rPr>
      </w:pPr>
      <w:r>
        <w:rPr>
          <w:rFonts w:hint="eastAsia" w:ascii="宋体" w:hAnsi="宋体" w:eastAsia="宋体" w:cs="宋体"/>
          <w:sz w:val="32"/>
          <w:szCs w:val="32"/>
        </w:rPr>
        <w:t>十、其他重要事项情况说明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第三部分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w:t>
      </w:r>
      <w:r>
        <w:rPr>
          <w:rFonts w:hint="eastAsia" w:ascii="隶书" w:hAnsi="隶书" w:eastAsia="隶书" w:cs="隶书"/>
          <w:sz w:val="52"/>
          <w:szCs w:val="52"/>
        </w:rPr>
        <w:t>浉河区移民局</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hint="eastAsia" w:ascii="黑体" w:hAnsi="黑体" w:eastAsia="黑体" w:cs="黑体"/>
          <w:sz w:val="32"/>
          <w:szCs w:val="32"/>
        </w:rPr>
      </w:pPr>
      <w:r>
        <w:rPr>
          <w:rFonts w:hint="eastAsia" w:ascii="黑体" w:hAnsi="黑体" w:eastAsia="黑体" w:cs="黑体"/>
          <w:sz w:val="32"/>
          <w:szCs w:val="32"/>
        </w:rPr>
        <w:t>主要职能</w:t>
      </w:r>
    </w:p>
    <w:p>
      <w:pPr>
        <w:spacing w:line="500" w:lineRule="exact"/>
        <w:ind w:left="420" w:firstLine="640" w:firstLineChars="200"/>
        <w:rPr>
          <w:rFonts w:hint="eastAsia" w:ascii="仿宋" w:hAnsi="仿宋" w:eastAsia="仿宋"/>
          <w:sz w:val="32"/>
          <w:szCs w:val="32"/>
        </w:rPr>
      </w:pPr>
      <w:r>
        <w:rPr>
          <w:rFonts w:hint="eastAsia" w:ascii="仿宋" w:hAnsi="仿宋" w:eastAsia="仿宋"/>
          <w:sz w:val="32"/>
          <w:szCs w:val="32"/>
        </w:rPr>
        <w:t>浉河区移民局内设 3个职能科室</w:t>
      </w:r>
      <w:r>
        <w:rPr>
          <w:rFonts w:hint="eastAsia" w:ascii="仿宋" w:hAnsi="仿宋" w:eastAsia="仿宋"/>
          <w:sz w:val="32"/>
          <w:szCs w:val="32"/>
          <w:lang w:eastAsia="zh-CN"/>
        </w:rPr>
        <w:t>（办公室、资金管理股、移民安置股）</w:t>
      </w:r>
      <w:r>
        <w:rPr>
          <w:rFonts w:hint="eastAsia" w:ascii="仿宋" w:hAnsi="仿宋" w:eastAsia="仿宋"/>
          <w:sz w:val="32"/>
          <w:szCs w:val="32"/>
        </w:rPr>
        <w:t>和1 个二级归口预算单位</w:t>
      </w:r>
      <w:r>
        <w:rPr>
          <w:rFonts w:hint="eastAsia" w:ascii="仿宋" w:hAnsi="仿宋" w:eastAsia="仿宋"/>
          <w:sz w:val="32"/>
          <w:szCs w:val="32"/>
          <w:lang w:eastAsia="zh-CN"/>
        </w:rPr>
        <w:t>（移民后扶持中心）</w:t>
      </w:r>
      <w:r>
        <w:rPr>
          <w:rFonts w:hint="eastAsia" w:ascii="仿宋" w:hAnsi="仿宋" w:eastAsia="仿宋"/>
          <w:sz w:val="32"/>
          <w:szCs w:val="32"/>
        </w:rPr>
        <w:t>。主要职责是：</w:t>
      </w:r>
    </w:p>
    <w:p>
      <w:pPr>
        <w:spacing w:line="500" w:lineRule="exact"/>
        <w:ind w:left="420" w:firstLine="640" w:firstLineChars="200"/>
        <w:rPr>
          <w:rFonts w:hint="eastAsia" w:ascii="仿宋" w:hAnsi="仿宋" w:eastAsia="仿宋"/>
          <w:sz w:val="32"/>
          <w:szCs w:val="32"/>
        </w:rPr>
      </w:pPr>
      <w:r>
        <w:rPr>
          <w:rFonts w:hint="eastAsia" w:ascii="仿宋" w:hAnsi="仿宋" w:eastAsia="仿宋"/>
          <w:sz w:val="32"/>
          <w:szCs w:val="32"/>
        </w:rPr>
        <w:t>1、贯彻执行党和政府对移民工作的各项方针、政策和有关法律、法规。</w:t>
      </w:r>
    </w:p>
    <w:p>
      <w:pPr>
        <w:spacing w:line="500" w:lineRule="exact"/>
        <w:ind w:left="420" w:firstLine="640" w:firstLineChars="200"/>
        <w:rPr>
          <w:rFonts w:ascii="仿宋" w:hAnsi="仿宋" w:eastAsia="仿宋"/>
          <w:sz w:val="32"/>
          <w:szCs w:val="32"/>
        </w:rPr>
      </w:pPr>
      <w:r>
        <w:rPr>
          <w:rFonts w:hint="eastAsia" w:ascii="仿宋" w:hAnsi="仿宋" w:eastAsia="仿宋"/>
          <w:sz w:val="32"/>
          <w:szCs w:val="32"/>
        </w:rPr>
        <w:t>2、负责移民前期工作，编制、审定移民安置规划并组织实施。</w:t>
      </w:r>
    </w:p>
    <w:p>
      <w:pPr>
        <w:spacing w:line="500" w:lineRule="exact"/>
        <w:ind w:left="420" w:firstLine="640" w:firstLineChars="200"/>
        <w:rPr>
          <w:rFonts w:ascii="仿宋" w:hAnsi="仿宋" w:eastAsia="仿宋"/>
          <w:sz w:val="32"/>
          <w:szCs w:val="32"/>
        </w:rPr>
      </w:pPr>
      <w:r>
        <w:rPr>
          <w:rFonts w:hint="eastAsia" w:ascii="仿宋" w:hAnsi="仿宋" w:eastAsia="仿宋"/>
          <w:sz w:val="32"/>
          <w:szCs w:val="32"/>
        </w:rPr>
        <w:t>3、负责本区出山店水库实施管理。</w:t>
      </w:r>
    </w:p>
    <w:p>
      <w:pPr>
        <w:spacing w:line="500" w:lineRule="exact"/>
        <w:ind w:left="420" w:firstLine="640" w:firstLineChars="200"/>
        <w:rPr>
          <w:rFonts w:ascii="仿宋" w:hAnsi="仿宋" w:eastAsia="仿宋"/>
          <w:sz w:val="32"/>
          <w:szCs w:val="32"/>
        </w:rPr>
      </w:pPr>
      <w:r>
        <w:rPr>
          <w:rFonts w:hint="eastAsia" w:ascii="仿宋" w:hAnsi="仿宋" w:eastAsia="仿宋"/>
          <w:sz w:val="32"/>
          <w:szCs w:val="32"/>
        </w:rPr>
        <w:t>4、负责出山店水库和南湾水库移民后期扶持工作计划的编制及实施管理，管理移民档案。</w:t>
      </w:r>
    </w:p>
    <w:p>
      <w:pPr>
        <w:spacing w:line="500" w:lineRule="exact"/>
        <w:ind w:left="420" w:firstLine="640" w:firstLineChars="200"/>
        <w:rPr>
          <w:rFonts w:ascii="仿宋" w:hAnsi="仿宋" w:eastAsia="仿宋"/>
          <w:sz w:val="32"/>
          <w:szCs w:val="32"/>
        </w:rPr>
      </w:pPr>
      <w:r>
        <w:rPr>
          <w:rFonts w:hint="eastAsia" w:ascii="仿宋" w:hAnsi="仿宋" w:eastAsia="仿宋"/>
          <w:sz w:val="32"/>
          <w:szCs w:val="32"/>
        </w:rPr>
        <w:t>5、负责移民资金管理，进行财务监督检查，配合移民资金审计。</w:t>
      </w:r>
    </w:p>
    <w:p>
      <w:pPr>
        <w:spacing w:line="500" w:lineRule="exact"/>
        <w:ind w:left="420" w:firstLine="640" w:firstLineChars="200"/>
        <w:rPr>
          <w:rFonts w:ascii="仿宋" w:hAnsi="仿宋" w:eastAsia="仿宋"/>
          <w:sz w:val="32"/>
          <w:szCs w:val="32"/>
        </w:rPr>
      </w:pPr>
      <w:r>
        <w:rPr>
          <w:rFonts w:hint="eastAsia" w:ascii="仿宋" w:hAnsi="仿宋" w:eastAsia="仿宋"/>
          <w:sz w:val="32"/>
          <w:szCs w:val="32"/>
        </w:rPr>
        <w:t>6、对本区执行国家有关移民政策、法律和法规的情况进行监督检查。</w:t>
      </w:r>
    </w:p>
    <w:p>
      <w:pPr>
        <w:spacing w:line="500" w:lineRule="exact"/>
        <w:ind w:left="420" w:firstLine="640" w:firstLineChars="200"/>
        <w:rPr>
          <w:rFonts w:ascii="仿宋" w:hAnsi="仿宋" w:eastAsia="仿宋"/>
          <w:sz w:val="32"/>
          <w:szCs w:val="32"/>
        </w:rPr>
      </w:pPr>
      <w:r>
        <w:rPr>
          <w:rFonts w:hint="eastAsia" w:ascii="仿宋" w:hAnsi="仿宋" w:eastAsia="仿宋"/>
          <w:sz w:val="32"/>
          <w:szCs w:val="32"/>
        </w:rPr>
        <w:t>7、研究、拟定本区移民工作的行政措施并加以施行。</w:t>
      </w:r>
    </w:p>
    <w:p>
      <w:pPr>
        <w:spacing w:line="500" w:lineRule="exact"/>
        <w:ind w:left="420" w:firstLine="640" w:firstLineChars="200"/>
        <w:rPr>
          <w:rFonts w:ascii="仿宋" w:hAnsi="仿宋" w:eastAsia="仿宋"/>
          <w:sz w:val="32"/>
          <w:szCs w:val="32"/>
        </w:rPr>
      </w:pPr>
      <w:r>
        <w:rPr>
          <w:rFonts w:hint="eastAsia" w:ascii="仿宋" w:hAnsi="仿宋" w:eastAsia="仿宋"/>
          <w:sz w:val="32"/>
          <w:szCs w:val="32"/>
        </w:rPr>
        <w:t>8、接待、处理移民群众来信来访。</w:t>
      </w:r>
    </w:p>
    <w:p>
      <w:pPr>
        <w:spacing w:line="500" w:lineRule="exact"/>
        <w:ind w:left="420" w:firstLine="640" w:firstLineChars="200"/>
        <w:rPr>
          <w:rFonts w:ascii="仿宋" w:hAnsi="仿宋" w:eastAsia="仿宋"/>
          <w:sz w:val="32"/>
          <w:szCs w:val="32"/>
        </w:rPr>
      </w:pPr>
      <w:r>
        <w:rPr>
          <w:rFonts w:hint="eastAsia" w:ascii="仿宋" w:hAnsi="仿宋" w:eastAsia="仿宋"/>
          <w:sz w:val="32"/>
          <w:szCs w:val="32"/>
        </w:rPr>
        <w:t>9、指导、协调、检查和监督乡镇的移民工作。</w:t>
      </w:r>
    </w:p>
    <w:p>
      <w:pPr>
        <w:spacing w:line="500" w:lineRule="exact"/>
        <w:ind w:left="420" w:firstLine="640" w:firstLineChars="200"/>
        <w:rPr>
          <w:rFonts w:ascii="仿宋" w:hAnsi="仿宋" w:eastAsia="仿宋"/>
          <w:sz w:val="32"/>
          <w:szCs w:val="32"/>
        </w:rPr>
      </w:pPr>
      <w:r>
        <w:rPr>
          <w:rFonts w:hint="eastAsia" w:ascii="仿宋" w:hAnsi="仿宋" w:eastAsia="仿宋"/>
          <w:sz w:val="32"/>
          <w:szCs w:val="32"/>
        </w:rPr>
        <w:t>10、负责本区出山店水库规划区域内风景规划及管理。</w:t>
      </w:r>
    </w:p>
    <w:p>
      <w:pPr>
        <w:spacing w:line="500" w:lineRule="exact"/>
        <w:ind w:left="420" w:firstLine="640" w:firstLineChars="200"/>
        <w:rPr>
          <w:rFonts w:ascii="仿宋" w:hAnsi="仿宋" w:eastAsia="仿宋"/>
          <w:sz w:val="32"/>
          <w:szCs w:val="32"/>
        </w:rPr>
      </w:pPr>
      <w:r>
        <w:rPr>
          <w:rFonts w:hint="eastAsia" w:ascii="仿宋" w:hAnsi="仿宋" w:eastAsia="仿宋"/>
          <w:sz w:val="32"/>
          <w:szCs w:val="32"/>
        </w:rPr>
        <w:t>11、承办区委、区政府和上级移民管理部门交办的其它工作。</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500" w:lineRule="exact"/>
        <w:rPr>
          <w:rFonts w:hint="eastAsia" w:ascii="仿宋" w:hAnsi="仿宋" w:eastAsia="仿宋"/>
          <w:sz w:val="32"/>
          <w:szCs w:val="32"/>
        </w:rPr>
      </w:pPr>
      <w:r>
        <w:rPr>
          <w:rFonts w:hint="eastAsia" w:ascii="仿宋" w:hAnsi="仿宋" w:eastAsia="仿宋"/>
          <w:sz w:val="32"/>
          <w:szCs w:val="32"/>
        </w:rPr>
        <w:t xml:space="preserve">  浉河区移民局单位及归口预算管理单位共有编制15 人，其中：行政编制3人，事业编制12人；在职职工15人，离退休人员 0人。</w:t>
      </w:r>
    </w:p>
    <w:p>
      <w:pPr>
        <w:spacing w:line="360" w:lineRule="auto"/>
        <w:ind w:firstLine="640" w:firstLineChars="200"/>
        <w:jc w:val="left"/>
        <w:rPr>
          <w:rFonts w:ascii="楷体_GB2312" w:hAnsi="楷体_GB2312" w:eastAsia="楷体_GB2312" w:cs="楷体_GB2312"/>
          <w:sz w:val="32"/>
          <w:szCs w:val="32"/>
        </w:rPr>
      </w:pPr>
    </w:p>
    <w:p>
      <w:pPr>
        <w:spacing w:line="600" w:lineRule="exact"/>
        <w:ind w:firstLine="630"/>
        <w:rPr>
          <w:rFonts w:hint="eastAsia" w:ascii="仿宋" w:hAnsi="仿宋" w:eastAsia="仿宋"/>
          <w:sz w:val="32"/>
          <w:szCs w:val="32"/>
          <w:lang w:eastAsia="zh-CN"/>
        </w:rPr>
      </w:pPr>
      <w:r>
        <w:rPr>
          <w:rFonts w:hint="eastAsia" w:ascii="仿宋" w:hAnsi="仿宋" w:eastAsia="仿宋"/>
          <w:sz w:val="32"/>
          <w:szCs w:val="32"/>
        </w:rPr>
        <w:t>纳入</w:t>
      </w:r>
      <w:r>
        <w:rPr>
          <w:rFonts w:hint="eastAsia" w:ascii="仿宋" w:hAnsi="仿宋" w:eastAsia="仿宋"/>
          <w:sz w:val="32"/>
          <w:szCs w:val="32"/>
        </w:rPr>
        <w:t>浉河区移民局201</w:t>
      </w:r>
      <w:r>
        <w:rPr>
          <w:rFonts w:hint="eastAsia" w:ascii="仿宋" w:hAnsi="仿宋" w:eastAsia="仿宋"/>
          <w:sz w:val="32"/>
          <w:szCs w:val="32"/>
          <w:lang w:val="en-US" w:eastAsia="zh-CN"/>
        </w:rPr>
        <w:t>7</w:t>
      </w:r>
      <w:r>
        <w:rPr>
          <w:rFonts w:hint="eastAsia" w:ascii="仿宋" w:hAnsi="仿宋" w:eastAsia="仿宋"/>
          <w:sz w:val="32"/>
          <w:szCs w:val="32"/>
        </w:rPr>
        <w:t>年度部门</w:t>
      </w:r>
      <w:r>
        <w:rPr>
          <w:rFonts w:hint="eastAsia" w:ascii="仿宋" w:hAnsi="仿宋" w:eastAsia="仿宋"/>
          <w:sz w:val="32"/>
          <w:szCs w:val="32"/>
          <w:lang w:eastAsia="zh-CN"/>
        </w:rPr>
        <w:t>决</w:t>
      </w:r>
      <w:r>
        <w:rPr>
          <w:rFonts w:hint="eastAsia" w:ascii="仿宋" w:hAnsi="仿宋" w:eastAsia="仿宋"/>
          <w:sz w:val="32"/>
          <w:szCs w:val="32"/>
        </w:rPr>
        <w:t>算编制范围包括本级决算和所属单位决算在内的汇总决算</w:t>
      </w:r>
      <w:r>
        <w:rPr>
          <w:rFonts w:hint="eastAsia" w:ascii="仿宋" w:hAnsi="仿宋" w:eastAsia="仿宋"/>
          <w:sz w:val="32"/>
          <w:szCs w:val="32"/>
          <w:lang w:eastAsia="zh-CN"/>
        </w:rPr>
        <w:t>。</w:t>
      </w:r>
    </w:p>
    <w:p>
      <w:pPr>
        <w:spacing w:line="600" w:lineRule="exact"/>
        <w:ind w:firstLine="630"/>
        <w:rPr>
          <w:rFonts w:hint="eastAsia" w:ascii="仿宋" w:hAnsi="仿宋" w:eastAsia="仿宋"/>
          <w:sz w:val="32"/>
          <w:szCs w:val="32"/>
        </w:rPr>
        <w:sectPr>
          <w:pgSz w:w="11906" w:h="16838"/>
          <w:pgMar w:top="1440" w:right="1800" w:bottom="1440" w:left="1800" w:header="851" w:footer="992" w:gutter="0"/>
          <w:pgNumType w:fmt="numberInDash"/>
          <w:cols w:space="425"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ascii="隶书" w:hAnsi="隶书" w:eastAsia="隶书" w:cs="隶书"/>
          <w:sz w:val="48"/>
          <w:szCs w:val="48"/>
        </w:rPr>
      </w:pPr>
      <w:r>
        <w:rPr>
          <w:rFonts w:hint="eastAsia" w:ascii="隶书" w:hAnsi="隶书" w:eastAsia="隶书" w:cs="隶书"/>
          <w:sz w:val="52"/>
          <w:szCs w:val="52"/>
        </w:rPr>
        <w:t>浉河区移民局</w:t>
      </w:r>
      <w:r>
        <w:rPr>
          <w:rFonts w:hint="eastAsia" w:ascii="隶书" w:hAnsi="隶书" w:eastAsia="隶书" w:cs="隶书"/>
          <w:sz w:val="48"/>
          <w:szCs w:val="48"/>
        </w:rPr>
        <w:t>局</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2017年度部门决算情况说明</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2017年度收入总计4155.5万元，支出总计4107.54元，与2016年相比，收入总计减少2106.5万元，减少50.7%，支出总计减少2154.46万元，减少52.45%。</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2017年度</w:t>
      </w:r>
      <w:r>
        <w:rPr>
          <w:rFonts w:hint="eastAsia" w:ascii="仿宋_GB2312" w:hAnsi="Times New Roman" w:eastAsia="仿宋_GB2312"/>
          <w:sz w:val="32"/>
          <w:szCs w:val="32"/>
        </w:rPr>
        <w:t>收入合计4155.5万元，其中：财政拨款收入4155.5万元，占100</w:t>
      </w:r>
      <w:r>
        <w:rPr>
          <w:rFonts w:ascii="仿宋_GB2312" w:hAnsi="Times New Roman" w:eastAsia="仿宋_GB2312"/>
          <w:sz w:val="32"/>
          <w:szCs w:val="32"/>
        </w:rPr>
        <w:t>%</w:t>
      </w:r>
      <w:r>
        <w:rPr>
          <w:rFonts w:hint="eastAsia" w:ascii="仿宋_GB2312" w:hAnsi="Times New Roman" w:eastAsia="仿宋_GB2312"/>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2017年度支出合计4107.54万元，其中：基本支出282.21万元，占687</w:t>
      </w:r>
      <w:r>
        <w:rPr>
          <w:rFonts w:ascii="仿宋_GB2312" w:hAnsi="宋体" w:eastAsia="仿宋_GB2312" w:cs="Courier New"/>
          <w:sz w:val="32"/>
          <w:szCs w:val="32"/>
        </w:rPr>
        <w:t>%</w:t>
      </w:r>
      <w:r>
        <w:rPr>
          <w:rFonts w:hint="eastAsia" w:ascii="仿宋_GB2312" w:hAnsi="宋体" w:eastAsia="仿宋_GB2312" w:cs="Courier New"/>
          <w:sz w:val="32"/>
          <w:szCs w:val="32"/>
        </w:rPr>
        <w:t>；项目支出3825.43万元，占93.13%；经营支出0万元。</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2017年财政拨款收支总决算4107.54万元。与2016年相比，财政拨款收、支总计各减少2106.5万元，下降50.7%。</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2017年一般公共预算财政拨款支出146.53万元，占支出合计的3.57 %。与2016年相比，一般公共预算财政拨款支出减少40.77万元，下降21.77%。</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2017年度一般公共预算财政拨款支出146.53万元，主要用于以下方面：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支出146.53万元，占100%。</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2017年度一般公共预算财政拨款支出年初预算为134.7万元，支出决算为146.53万元，完成年初预算的108.78%。决算数大于预算数的主要原因：是</w:t>
      </w:r>
      <w:r>
        <w:rPr>
          <w:rFonts w:hint="eastAsia" w:ascii="仿宋" w:hAnsi="仿宋" w:eastAsia="仿宋"/>
          <w:sz w:val="32"/>
          <w:szCs w:val="32"/>
        </w:rPr>
        <w:t>单位人员工资、五险一金缴费金额增长</w:t>
      </w:r>
      <w:r>
        <w:rPr>
          <w:rFonts w:hint="eastAsia" w:ascii="仿宋_GB2312" w:hAnsi="宋体" w:eastAsia="仿宋_GB2312" w:cs="Courier New"/>
          <w:sz w:val="32"/>
          <w:szCs w:val="32"/>
        </w:rPr>
        <w:t>。</w:t>
      </w:r>
    </w:p>
    <w:p>
      <w:pPr>
        <w:numPr>
          <w:ilvl w:val="0"/>
          <w:numId w:val="6"/>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年初预算为0万元，支出决算为0万元，完成年初预算的0%。</w:t>
      </w:r>
    </w:p>
    <w:p>
      <w:pPr>
        <w:numPr>
          <w:ilvl w:val="0"/>
          <w:numId w:val="6"/>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年初预算为134.7万元，支出决算为146.53万元，完成年初预算的108.78%。决算数大于预算数的主要原因是</w:t>
      </w:r>
      <w:r>
        <w:rPr>
          <w:rFonts w:hint="eastAsia" w:ascii="仿宋" w:hAnsi="仿宋" w:eastAsia="仿宋"/>
          <w:sz w:val="32"/>
          <w:szCs w:val="32"/>
        </w:rPr>
        <w:t>单位人员工资、五险一金缴费金额增长</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2017年一般公共预算财政拨款基本支出138.57万元，其中：</w:t>
      </w:r>
      <w:r>
        <w:rPr>
          <w:rFonts w:hint="eastAsia" w:ascii="仿宋_GB2312" w:hAnsi="Times New Roman" w:eastAsia="仿宋_GB2312" w:cs="仿宋_GB2312"/>
          <w:bCs/>
          <w:spacing w:val="-1"/>
          <w:kern w:val="0"/>
          <w:sz w:val="32"/>
          <w:szCs w:val="32"/>
        </w:rPr>
        <w:t>人员经费117.69万元</w:t>
      </w:r>
      <w:r>
        <w:rPr>
          <w:rFonts w:hint="eastAsia" w:ascii="仿宋_GB2312" w:hAnsi="宋体" w:eastAsia="仿宋_GB2312" w:cs="Courier New"/>
          <w:sz w:val="32"/>
          <w:szCs w:val="32"/>
        </w:rPr>
        <w:t>；</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rPr>
        <w:t>20.88万元</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预算为11.49万元，支出决算为8.88万元，完成预算的77.28%，其中：因公出国（境）费支出决算为0万元；公务用车购置及运行费支出决算为1.05万元，完成预算的70.7%；公务接待费支出决算为7.83万元，完成预算的78.3%。2017年度“三公”经费支出决算数小于预算数的主要原因是</w:t>
      </w:r>
      <w:r>
        <w:rPr>
          <w:rFonts w:hint="eastAsia" w:ascii="仿宋" w:hAnsi="仿宋" w:eastAsia="仿宋"/>
          <w:sz w:val="32"/>
          <w:szCs w:val="32"/>
        </w:rPr>
        <w:t>厉行节约，严格控制车辆运行维护费和接待费</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2017年度“三公”经费财政拨款支出决算数比2016年减少1.99万元，下降18.3%，其中：公务用车购置及运行费支出决算减少1.16万元，下降52.49%；公务接待费支出决算减少 0.83万元，下降 9.58%。公务用车购置及运行费支出和公务接待费支出减少的主要原因是</w:t>
      </w:r>
      <w:r>
        <w:rPr>
          <w:rFonts w:hint="eastAsia" w:ascii="仿宋" w:hAnsi="仿宋" w:eastAsia="仿宋"/>
          <w:sz w:val="32"/>
          <w:szCs w:val="32"/>
        </w:rPr>
        <w:t>厉行节约，严格控制车辆运行维护费和接待费</w:t>
      </w:r>
      <w:r>
        <w:rPr>
          <w:rFonts w:hint="eastAsia" w:ascii="仿宋_GB2312" w:hAnsi="宋体" w:eastAsia="仿宋_GB2312" w:cs="Courier New"/>
          <w:sz w:val="32"/>
          <w:szCs w:val="32"/>
        </w:rPr>
        <w:t>。</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2017年度“三公”经费财政拨款支出决算中，因公出国（境）费支出决算 0 万元；公务用车购置及运行费支出决算 1.05万元，占11.82%；公务接待费支出决算 7.83万元，占88.18%。具体情况如下：</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支出0万元。</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支出1.05万元。</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lang w:eastAsia="zh-CN"/>
        </w:rPr>
        <w:t>支出</w:t>
      </w:r>
      <w:r>
        <w:rPr>
          <w:rFonts w:hint="eastAsia" w:ascii="仿宋_GB2312" w:hAnsi="宋体" w:eastAsia="仿宋_GB2312" w:cs="Courier New"/>
          <w:sz w:val="32"/>
          <w:szCs w:val="32"/>
          <w:lang w:val="en-US" w:eastAsia="zh-CN"/>
        </w:rPr>
        <w:t>0万元。公车保有量为0辆。</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公务用车运行费</w:t>
      </w:r>
      <w:r>
        <w:rPr>
          <w:rFonts w:hint="eastAsia" w:ascii="仿宋_GB2312" w:hAnsi="宋体" w:eastAsia="仿宋_GB2312" w:cs="Courier New"/>
          <w:b w:val="0"/>
          <w:bCs w:val="0"/>
          <w:sz w:val="32"/>
          <w:szCs w:val="32"/>
          <w:lang w:eastAsia="zh-CN"/>
        </w:rPr>
        <w:t>支出</w:t>
      </w:r>
      <w:r>
        <w:rPr>
          <w:rFonts w:hint="eastAsia" w:ascii="仿宋_GB2312" w:hAnsi="宋体" w:eastAsia="仿宋_GB2312" w:cs="Courier New"/>
          <w:b w:val="0"/>
          <w:bCs w:val="0"/>
          <w:sz w:val="32"/>
          <w:szCs w:val="32"/>
          <w:lang w:val="en-US" w:eastAsia="zh-CN"/>
        </w:rPr>
        <w:t>1.05万元</w:t>
      </w:r>
      <w:r>
        <w:rPr>
          <w:rFonts w:hint="eastAsia" w:ascii="仿宋_GB2312" w:hAnsi="宋体" w:eastAsia="仿宋_GB2312" w:cs="Courier New"/>
          <w:b/>
          <w:bCs/>
          <w:sz w:val="32"/>
          <w:szCs w:val="32"/>
          <w:lang w:val="en-US" w:eastAsia="zh-CN"/>
        </w:rPr>
        <w:t>，</w:t>
      </w:r>
      <w:r>
        <w:rPr>
          <w:rFonts w:hint="eastAsia" w:ascii="仿宋_GB2312" w:hAnsi="宋体" w:eastAsia="仿宋_GB2312" w:cs="Courier New"/>
          <w:sz w:val="32"/>
          <w:szCs w:val="32"/>
        </w:rPr>
        <w:t>主要用于</w:t>
      </w:r>
      <w:r>
        <w:rPr>
          <w:rFonts w:hint="eastAsia" w:ascii="仿宋" w:hAnsi="仿宋" w:eastAsia="仿宋"/>
          <w:sz w:val="32"/>
          <w:szCs w:val="32"/>
        </w:rPr>
        <w:t>出山店水库及后期扶持项目下乡</w:t>
      </w:r>
      <w:r>
        <w:rPr>
          <w:rFonts w:hint="eastAsia" w:ascii="仿宋_GB2312" w:hAnsi="宋体" w:eastAsia="仿宋_GB2312" w:cs="Courier New"/>
          <w:sz w:val="32"/>
          <w:szCs w:val="32"/>
        </w:rPr>
        <w:t>。</w:t>
      </w:r>
      <w:bookmarkStart w:id="0" w:name="_GoBack"/>
      <w:bookmarkEnd w:id="0"/>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支出7.83万元。</w:t>
      </w:r>
    </w:p>
    <w:p>
      <w:pPr>
        <w:numPr>
          <w:ilvl w:val="0"/>
          <w:numId w:val="0"/>
        </w:numPr>
        <w:kinsoku w:val="0"/>
        <w:overflowPunct w:val="0"/>
        <w:autoSpaceDE w:val="0"/>
        <w:autoSpaceDN w:val="0"/>
        <w:adjustRightInd w:val="0"/>
        <w:snapToGrid w:val="0"/>
        <w:spacing w:line="360" w:lineRule="auto"/>
        <w:ind w:firstLine="320" w:firstLineChars="100"/>
        <w:rPr>
          <w:rFonts w:ascii="仿宋_GB2312" w:hAnsi="宋体" w:eastAsia="仿宋_GB2312" w:cs="Courier New"/>
          <w:b/>
          <w:bCs/>
          <w:sz w:val="32"/>
          <w:szCs w:val="32"/>
        </w:rPr>
      </w:pPr>
      <w:r>
        <w:rPr>
          <w:rFonts w:hint="eastAsia" w:ascii="仿宋_GB2312" w:hAnsi="宋体" w:eastAsia="仿宋_GB2312" w:cs="Courier New"/>
          <w:sz w:val="32"/>
          <w:szCs w:val="32"/>
        </w:rPr>
        <w:t>主要用于</w:t>
      </w:r>
      <w:r>
        <w:rPr>
          <w:rFonts w:hint="eastAsia" w:ascii="仿宋_GB2312" w:hAnsi="宋体" w:eastAsia="仿宋_GB2312" w:cs="Courier New"/>
          <w:sz w:val="32"/>
          <w:szCs w:val="32"/>
          <w:lang w:eastAsia="zh-CN"/>
        </w:rPr>
        <w:t>行政事务、业务往来等公务活动支出，共接待</w:t>
      </w:r>
      <w:r>
        <w:rPr>
          <w:rFonts w:hint="eastAsia" w:ascii="仿宋_GB2312" w:hAnsi="宋体" w:eastAsia="仿宋_GB2312" w:cs="Courier New"/>
          <w:sz w:val="32"/>
          <w:szCs w:val="32"/>
          <w:lang w:val="en-US" w:eastAsia="zh-CN"/>
        </w:rPr>
        <w:t>80批次，575人次，因公出国（境）团数及人数为0批次。</w:t>
      </w:r>
    </w:p>
    <w:p>
      <w:pPr>
        <w:numPr>
          <w:ilvl w:val="0"/>
          <w:numId w:val="4"/>
        </w:numPr>
        <w:adjustRightInd w:val="0"/>
        <w:snapToGrid w:val="0"/>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rPr>
        <w:t>关于预算绩效情况说明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根据财政预算管理要求，移民局对2017年度一般公共预算项目支出全面开展绩效自评。其中，一级项目1个，二级项目10个，共涉及预算资金4103.6万元，自评覆盖率达到100%。</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2017年度政府性基金预算财政拨款支出年初预算为3968.97万元，支出决算为3968.97万元，完成年初预算的100%。主要用于水库移民后期扶持移民补助和基础设施建设。</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2017年度机关运行经费支出20.88万元，比2016年减少25.96万元，下降55.42</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2017年度政府采购支出总额0.43万元，其中：政府采购货物支出0.43万元。</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2017年期末，移民局共有车辆0辆。</w:t>
      </w:r>
    </w:p>
    <w:p>
      <w:pPr>
        <w:numPr>
          <w:ilvl w:val="0"/>
          <w:numId w:val="9"/>
        </w:numPr>
        <w:kinsoku w:val="0"/>
        <w:overflowPunct w:val="0"/>
        <w:autoSpaceDE w:val="0"/>
        <w:autoSpaceDN w:val="0"/>
        <w:adjustRightInd w:val="0"/>
        <w:snapToGrid w:val="0"/>
        <w:spacing w:line="360" w:lineRule="auto"/>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固定资产收益情况。</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2017年，本单位无固定资产收益。</w:t>
      </w:r>
    </w:p>
    <w:p>
      <w:pPr>
        <w:numPr>
          <w:ilvl w:val="0"/>
          <w:numId w:val="9"/>
        </w:numPr>
        <w:kinsoku w:val="0"/>
        <w:overflowPunct w:val="0"/>
        <w:autoSpaceDE w:val="0"/>
        <w:autoSpaceDN w:val="0"/>
        <w:adjustRightInd w:val="0"/>
        <w:snapToGrid w:val="0"/>
        <w:spacing w:line="360" w:lineRule="auto"/>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重点项目预算的绩效目标等预算绩效情况说明。</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sz w:val="32"/>
          <w:szCs w:val="32"/>
          <w:lang w:val="en-US" w:eastAsia="zh-CN"/>
        </w:rPr>
        <w:sectPr>
          <w:pgSz w:w="11905" w:h="16840"/>
          <w:pgMar w:top="1580" w:right="1240" w:bottom="1180" w:left="1400" w:header="0" w:footer="982" w:gutter="0"/>
          <w:pgNumType w:fmt="numberInDash"/>
          <w:cols w:space="720" w:num="1"/>
        </w:sectPr>
      </w:pPr>
      <w:r>
        <w:rPr>
          <w:rFonts w:hint="eastAsia" w:ascii="仿宋" w:hAnsi="仿宋" w:eastAsia="仿宋" w:cs="仿宋"/>
          <w:sz w:val="32"/>
          <w:szCs w:val="32"/>
          <w:lang w:val="en-US" w:eastAsia="zh-CN"/>
        </w:rPr>
        <w:t>2017年，本单位无重点项目，未做重点项目预算绩效目标。</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b/>
          <w:bCs/>
          <w:color w:val="FF0000"/>
          <w:sz w:val="32"/>
          <w:szCs w:val="32"/>
        </w:rPr>
        <w:t>（请根据单位实际情况，参照《2017年政府收支分类科目》和对口中央部门决算公开信息填写）</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是指ＸＸ厅（局）用于保障机构正常运行、开展日常工作的基本支出。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C193"/>
    <w:multiLevelType w:val="singleLevel"/>
    <w:tmpl w:val="5971C193"/>
    <w:lvl w:ilvl="0" w:tentative="0">
      <w:start w:val="2"/>
      <w:numFmt w:val="chineseCounting"/>
      <w:suff w:val="nothing"/>
      <w:lvlText w:val="%1、"/>
      <w:lvlJc w:val="left"/>
    </w:lvl>
  </w:abstractNum>
  <w:abstractNum w:abstractNumId="3">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4">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5">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6">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7">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8">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9">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667CB"/>
    <w:rsid w:val="00104B02"/>
    <w:rsid w:val="00110932"/>
    <w:rsid w:val="00172A27"/>
    <w:rsid w:val="00232A25"/>
    <w:rsid w:val="00307DBE"/>
    <w:rsid w:val="00512981"/>
    <w:rsid w:val="00574F3F"/>
    <w:rsid w:val="00630D31"/>
    <w:rsid w:val="008661C9"/>
    <w:rsid w:val="008E57E2"/>
    <w:rsid w:val="009406EB"/>
    <w:rsid w:val="00AD7F3C"/>
    <w:rsid w:val="00B2352B"/>
    <w:rsid w:val="00B54309"/>
    <w:rsid w:val="00B84FB0"/>
    <w:rsid w:val="00E6374A"/>
    <w:rsid w:val="00F22B57"/>
    <w:rsid w:val="00F63BBA"/>
    <w:rsid w:val="01064770"/>
    <w:rsid w:val="04453648"/>
    <w:rsid w:val="09BB2134"/>
    <w:rsid w:val="13DA4090"/>
    <w:rsid w:val="142D100F"/>
    <w:rsid w:val="15492582"/>
    <w:rsid w:val="167A6B4B"/>
    <w:rsid w:val="1BB26345"/>
    <w:rsid w:val="1E7D3B34"/>
    <w:rsid w:val="209C4FF0"/>
    <w:rsid w:val="258F34D6"/>
    <w:rsid w:val="2BA4769A"/>
    <w:rsid w:val="2CD06EF4"/>
    <w:rsid w:val="30D03AB3"/>
    <w:rsid w:val="32EF40CE"/>
    <w:rsid w:val="372974AC"/>
    <w:rsid w:val="3CE47224"/>
    <w:rsid w:val="42271DDB"/>
    <w:rsid w:val="461C1993"/>
    <w:rsid w:val="48036E61"/>
    <w:rsid w:val="48B52937"/>
    <w:rsid w:val="48EE3EF3"/>
    <w:rsid w:val="4C1E2F28"/>
    <w:rsid w:val="50703E52"/>
    <w:rsid w:val="51AD42DE"/>
    <w:rsid w:val="53E9756D"/>
    <w:rsid w:val="5651051D"/>
    <w:rsid w:val="57BB5F84"/>
    <w:rsid w:val="57E961A8"/>
    <w:rsid w:val="581E77CF"/>
    <w:rsid w:val="58B06254"/>
    <w:rsid w:val="596D3BC9"/>
    <w:rsid w:val="59E3092F"/>
    <w:rsid w:val="5AF25131"/>
    <w:rsid w:val="5F3A0145"/>
    <w:rsid w:val="600176AC"/>
    <w:rsid w:val="6179222C"/>
    <w:rsid w:val="627358F6"/>
    <w:rsid w:val="6431638A"/>
    <w:rsid w:val="664A46E0"/>
    <w:rsid w:val="674E08EC"/>
    <w:rsid w:val="6A2415C4"/>
    <w:rsid w:val="6C2F3976"/>
    <w:rsid w:val="72E75671"/>
    <w:rsid w:val="737A5BE5"/>
    <w:rsid w:val="73F1196C"/>
    <w:rsid w:val="75531EF6"/>
    <w:rsid w:val="75D0003D"/>
    <w:rsid w:val="779E3F57"/>
    <w:rsid w:val="79960645"/>
    <w:rsid w:val="7D0D382E"/>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4"/>
    <w:qFormat/>
    <w:uiPriority w:val="0"/>
    <w:rPr>
      <w:rFonts w:ascii="Arial" w:hAnsi="Arial" w:cs="Arial"/>
      <w:color w:val="000000"/>
      <w:sz w:val="16"/>
      <w:szCs w:val="16"/>
      <w:u w:val="none"/>
    </w:rPr>
  </w:style>
  <w:style w:type="character" w:customStyle="1" w:styleId="7">
    <w:name w:val="font01"/>
    <w:basedOn w:val="4"/>
    <w:qFormat/>
    <w:uiPriority w:val="0"/>
    <w:rPr>
      <w:rFonts w:hint="default" w:ascii="Arial" w:hAnsi="Arial" w:cs="Arial"/>
      <w:color w:val="000000"/>
      <w:sz w:val="16"/>
      <w:szCs w:val="16"/>
      <w:u w:val="none"/>
    </w:rPr>
  </w:style>
  <w:style w:type="character" w:customStyle="1" w:styleId="8">
    <w:name w:val="font41"/>
    <w:basedOn w:val="4"/>
    <w:qFormat/>
    <w:uiPriority w:val="0"/>
    <w:rPr>
      <w:rFonts w:hint="eastAsia" w:ascii="宋体" w:hAnsi="宋体" w:eastAsia="宋体" w:cs="宋体"/>
      <w:color w:val="000000"/>
      <w:sz w:val="16"/>
      <w:szCs w:val="16"/>
      <w:u w:val="none"/>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561</Words>
  <Characters>3201</Characters>
  <Lines>26</Lines>
  <Paragraphs>7</Paragraphs>
  <TotalTime>1</TotalTime>
  <ScaleCrop>false</ScaleCrop>
  <LinksUpToDate>false</LinksUpToDate>
  <CharactersWithSpaces>3755</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2018-10-09T08:21:00Z</dcterms:created>
  <dc:creator>wsj</dc:creator>
  <cp:lastModifiedBy>Administrator</cp:lastModifiedBy>
  <cp:lastPrinted>2018-10-09T08:12:00Z</cp:lastPrinted>
  <dcterms:modified xsi:type="dcterms:W3CDTF">2019-02-13T08:17:43Z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