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浉河区政法委</w:t>
      </w:r>
    </w:p>
    <w:p>
      <w:pPr>
        <w:jc w:val="center"/>
        <w:rPr>
          <w:rFonts w:ascii="黑体" w:hAnsi="黑体" w:eastAsia="黑体" w:cs="黑体"/>
          <w:sz w:val="52"/>
          <w:szCs w:val="52"/>
        </w:rPr>
      </w:pPr>
    </w:p>
    <w:p>
      <w:pPr>
        <w:jc w:val="center"/>
        <w:rPr>
          <w:rFonts w:ascii="隶书" w:hAnsi="隶书" w:eastAsia="隶书" w:cs="隶书"/>
          <w:sz w:val="52"/>
          <w:szCs w:val="52"/>
        </w:rPr>
      </w:pPr>
      <w:r>
        <w:rPr>
          <w:rFonts w:hint="eastAsia" w:ascii="隶书" w:hAnsi="隶书" w:eastAsia="隶书" w:cs="隶书"/>
          <w:sz w:val="52"/>
          <w:szCs w:val="52"/>
        </w:rPr>
        <w:t>2017年度部门决算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ascii="仿宋" w:hAnsi="仿宋" w:eastAsia="仿宋" w:cs="隶书"/>
          <w:sz w:val="32"/>
          <w:szCs w:val="32"/>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公开单位联系人：谢莹          联系方式：6607220</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浉河区政法委概况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部门决算单位构成及机构设置</w:t>
      </w:r>
    </w:p>
    <w:p>
      <w:pPr>
        <w:jc w:val="left"/>
        <w:rPr>
          <w:rFonts w:ascii="黑体" w:hAnsi="黑体" w:eastAsia="黑体" w:cs="黑体"/>
          <w:sz w:val="32"/>
          <w:szCs w:val="32"/>
        </w:rPr>
      </w:pPr>
      <w:r>
        <w:rPr>
          <w:rFonts w:hint="eastAsia" w:ascii="黑体" w:hAnsi="黑体" w:eastAsia="黑体" w:cs="黑体"/>
          <w:sz w:val="32"/>
          <w:szCs w:val="32"/>
        </w:rPr>
        <w:t>第二部分浉河区政法委2017年度部门决算情况说明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第一部分浉河区政法委概况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ind w:firstLine="640" w:firstLineChars="200"/>
        <w:rPr>
          <w:rFonts w:ascii="仿宋_GB2312" w:eastAsia="仿宋_GB2312"/>
          <w:sz w:val="32"/>
          <w:szCs w:val="32"/>
        </w:rPr>
      </w:pPr>
      <w:r>
        <w:rPr>
          <w:rFonts w:hint="eastAsia" w:ascii="仿宋_GB2312" w:hAnsi="ˎ̥" w:eastAsia="仿宋_GB2312"/>
          <w:sz w:val="32"/>
          <w:szCs w:val="32"/>
        </w:rPr>
        <w:t>区委政法委员会是区委领导、管理全区政法工作的职能部门，主要承担“领导管理政法工作、加强社会管理综合治理、维护社会稳定、执法监督、政法队伍建设”等职责任务。</w:t>
      </w:r>
    </w:p>
    <w:p>
      <w:pPr>
        <w:ind w:firstLine="640" w:firstLineChars="200"/>
        <w:jc w:val="left"/>
        <w:rPr>
          <w:rFonts w:ascii="宋体" w:hAnsi="宋体" w:eastAsia="宋体" w:cs="宋体"/>
          <w:sz w:val="32"/>
          <w:szCs w:val="32"/>
        </w:rPr>
      </w:pPr>
      <w:r>
        <w:rPr>
          <w:rFonts w:hint="eastAsia" w:ascii="仿宋_GB2312" w:hAnsi="仿宋_GB2312" w:eastAsia="仿宋_GB2312" w:cs="仿宋_GB2312"/>
          <w:sz w:val="32"/>
          <w:szCs w:val="32"/>
        </w:rPr>
        <w:t>二、</w:t>
      </w:r>
      <w:r>
        <w:rPr>
          <w:rFonts w:hint="eastAsia" w:ascii="黑体" w:hAnsi="黑体" w:eastAsia="黑体" w:cs="黑体"/>
          <w:sz w:val="32"/>
          <w:szCs w:val="32"/>
        </w:rPr>
        <w:t>部门决算单位构成</w:t>
      </w:r>
      <w:r>
        <w:rPr>
          <w:rFonts w:hint="eastAsia" w:ascii="宋体" w:hAnsi="宋体" w:eastAsia="宋体" w:cs="宋体"/>
          <w:sz w:val="32"/>
          <w:szCs w:val="32"/>
        </w:rPr>
        <w:t>及机构设置</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黑体" w:hAnsi="黑体" w:eastAsia="黑体" w:cs="黑体"/>
          <w:sz w:val="32"/>
          <w:szCs w:val="32"/>
        </w:rPr>
        <w:t>1、</w:t>
      </w:r>
      <w:r>
        <w:rPr>
          <w:rFonts w:hint="eastAsia" w:ascii="仿宋_GB2312" w:hAnsi="仿宋_GB2312" w:eastAsia="仿宋_GB2312" w:cs="仿宋_GB2312"/>
          <w:sz w:val="32"/>
          <w:szCs w:val="32"/>
        </w:rPr>
        <w:t>纳入政法委2017年度部门决算编制范围的单位包括：政法委本级</w:t>
      </w:r>
      <w:r>
        <w:rPr>
          <w:rFonts w:hint="eastAsia" w:ascii="仿宋_GB2312" w:hAnsi="仿宋_GB2312" w:eastAsia="仿宋_GB2312" w:cs="仿宋_GB2312"/>
          <w:sz w:val="32"/>
          <w:szCs w:val="32"/>
          <w:lang w:eastAsia="zh-CN"/>
        </w:rPr>
        <w:t>，无二级机构。</w:t>
      </w:r>
    </w:p>
    <w:p>
      <w:pPr>
        <w:spacing w:line="360" w:lineRule="auto"/>
        <w:ind w:firstLine="640" w:firstLineChars="200"/>
        <w:jc w:val="left"/>
        <w:rPr>
          <w:rFonts w:ascii="宋体" w:hAnsi="宋体" w:eastAsia="宋体" w:cs="宋体"/>
          <w:sz w:val="32"/>
          <w:szCs w:val="32"/>
        </w:rPr>
      </w:pPr>
      <w:r>
        <w:rPr>
          <w:rFonts w:hint="eastAsia" w:ascii="仿宋_GB2312" w:hAnsi="仿宋_GB2312" w:eastAsia="仿宋_GB2312" w:cs="仿宋_GB2312"/>
          <w:sz w:val="32"/>
          <w:szCs w:val="32"/>
        </w:rPr>
        <w:t>2、</w:t>
      </w:r>
      <w:r>
        <w:rPr>
          <w:rFonts w:hint="eastAsia" w:ascii="宋体" w:hAnsi="宋体" w:eastAsia="宋体" w:cs="宋体"/>
          <w:sz w:val="32"/>
          <w:szCs w:val="32"/>
        </w:rPr>
        <w:t>机构设置</w:t>
      </w:r>
    </w:p>
    <w:p>
      <w:pPr>
        <w:spacing w:line="360" w:lineRule="auto"/>
        <w:ind w:firstLine="640" w:firstLineChars="200"/>
        <w:jc w:val="left"/>
        <w:rPr>
          <w:rFonts w:hint="eastAsia" w:ascii="仿宋_GB2312" w:hAnsi="仿宋_GB2312" w:cs="仿宋_GB2312" w:eastAsiaTheme="minorEastAsia"/>
          <w:sz w:val="32"/>
          <w:szCs w:val="32"/>
          <w:lang w:eastAsia="zh-CN"/>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宋体"/>
          <w:sz w:val="32"/>
          <w:szCs w:val="32"/>
        </w:rPr>
        <w:t>浉河区政法委内设7科室，主要有综治办、防范办、维稳办、法学会、政治部、督查室、纪工委</w:t>
      </w:r>
      <w:r>
        <w:rPr>
          <w:rFonts w:hint="eastAsia" w:ascii="宋体" w:hAnsi="宋体" w:cs="宋体"/>
          <w:sz w:val="32"/>
          <w:szCs w:val="32"/>
          <w:lang w:eastAsia="zh-CN"/>
        </w:rPr>
        <w:t>。</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政法委</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2017年度收入总计1701万元，支出总计1683万元，与2016年相比，收入增加858万元，增长116%，支出增加1018，增长182%。</w:t>
      </w:r>
    </w:p>
    <w:p>
      <w:pPr>
        <w:pStyle w:val="9"/>
        <w:numPr>
          <w:ilvl w:val="0"/>
          <w:numId w:val="4"/>
        </w:numPr>
        <w:adjustRightInd w:val="0"/>
        <w:snapToGrid w:val="0"/>
        <w:spacing w:line="360" w:lineRule="auto"/>
        <w:ind w:firstLineChars="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收入合计1701万元，其中：财政拨款收入1701万元，占100</w:t>
      </w:r>
      <w:r>
        <w:rPr>
          <w:rFonts w:ascii="仿宋_GB2312" w:hAnsi="Times New Roman" w:eastAsia="仿宋_GB2312"/>
          <w:sz w:val="32"/>
          <w:szCs w:val="32"/>
        </w:rPr>
        <w:t>%</w:t>
      </w:r>
      <w:r>
        <w:rPr>
          <w:rFonts w:hint="eastAsia" w:ascii="仿宋_GB2312" w:hAnsi="Times New Roman" w:eastAsia="仿宋_GB2312"/>
          <w:sz w:val="32"/>
          <w:szCs w:val="32"/>
        </w:rPr>
        <w:t>，无其他收入。</w:t>
      </w:r>
    </w:p>
    <w:p>
      <w:pPr>
        <w:pStyle w:val="9"/>
        <w:numPr>
          <w:ilvl w:val="0"/>
          <w:numId w:val="4"/>
        </w:numPr>
        <w:adjustRightInd w:val="0"/>
        <w:snapToGrid w:val="0"/>
        <w:spacing w:line="360" w:lineRule="auto"/>
        <w:ind w:firstLineChars="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2017年度支出合计1683万元，其中：基本支出641万元，占39</w:t>
      </w:r>
      <w:r>
        <w:rPr>
          <w:rFonts w:ascii="仿宋_GB2312" w:hAnsi="宋体" w:eastAsia="仿宋_GB2312" w:cs="Courier New"/>
          <w:sz w:val="32"/>
          <w:szCs w:val="32"/>
        </w:rPr>
        <w:t>%</w:t>
      </w:r>
      <w:r>
        <w:rPr>
          <w:rFonts w:hint="eastAsia" w:ascii="仿宋_GB2312" w:hAnsi="宋体" w:eastAsia="仿宋_GB2312" w:cs="Courier New"/>
          <w:sz w:val="32"/>
          <w:szCs w:val="32"/>
        </w:rPr>
        <w:t>；项目支出1042万元，占61%。</w:t>
      </w:r>
    </w:p>
    <w:p>
      <w:pPr>
        <w:pStyle w:val="9"/>
        <w:numPr>
          <w:ilvl w:val="0"/>
          <w:numId w:val="4"/>
        </w:numPr>
        <w:adjustRightInd w:val="0"/>
        <w:snapToGrid w:val="0"/>
        <w:spacing w:line="360" w:lineRule="auto"/>
        <w:ind w:firstLineChars="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2017年财政拨款收支总决算1701万元。支出总计1683万元，与2016年相比，收入增加858万元，增长116%，支出增加1018，增长182%。</w:t>
      </w:r>
    </w:p>
    <w:p>
      <w:pPr>
        <w:pStyle w:val="9"/>
        <w:numPr>
          <w:ilvl w:val="0"/>
          <w:numId w:val="4"/>
        </w:numPr>
        <w:adjustRightInd w:val="0"/>
        <w:snapToGrid w:val="0"/>
        <w:spacing w:line="360" w:lineRule="auto"/>
        <w:ind w:firstLineChars="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2017年一般公共预算财政拨款支出1683万元，占支出合计的100%。与2016年相比，一般公共预算财政拨款支出增加1018万元，增长182%。</w:t>
      </w:r>
    </w:p>
    <w:p>
      <w:pPr>
        <w:adjustRightInd w:val="0"/>
        <w:snapToGrid w:val="0"/>
        <w:spacing w:line="360" w:lineRule="auto"/>
        <w:ind w:firstLine="640" w:firstLineChars="200"/>
        <w:rPr>
          <w:rFonts w:ascii="楷体_GB2312" w:hAnsi="楷体_GB2312" w:eastAsia="楷体_GB2312" w:cs="楷体_GB2312"/>
          <w:sz w:val="32"/>
          <w:szCs w:val="32"/>
        </w:rPr>
      </w:pPr>
      <w:r>
        <w:rPr>
          <w:rFonts w:hint="eastAsia" w:ascii="仿宋_GB2312" w:hAnsi="宋体" w:eastAsia="仿宋_GB2312" w:cs="Courier New"/>
          <w:sz w:val="32"/>
          <w:szCs w:val="32"/>
        </w:rPr>
        <w:t>（二）</w:t>
      </w: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2017年度一般公共预算财政拨款支出1683万元，主要用于以下方面：基本支出641万元，占38</w:t>
      </w:r>
      <w:r>
        <w:rPr>
          <w:rFonts w:ascii="仿宋_GB2312" w:hAnsi="宋体" w:eastAsia="仿宋_GB2312" w:cs="Courier New"/>
          <w:sz w:val="32"/>
          <w:szCs w:val="32"/>
        </w:rPr>
        <w:t>%</w:t>
      </w:r>
      <w:r>
        <w:rPr>
          <w:rFonts w:hint="eastAsia" w:ascii="仿宋_GB2312" w:hAnsi="宋体" w:eastAsia="仿宋_GB2312" w:cs="Courier New"/>
          <w:sz w:val="32"/>
          <w:szCs w:val="32"/>
        </w:rPr>
        <w:t>；项目支出1042万元，占62%。</w:t>
      </w:r>
    </w:p>
    <w:p>
      <w:pPr>
        <w:adjustRightInd w:val="0"/>
        <w:snapToGrid w:val="0"/>
        <w:spacing w:line="360" w:lineRule="auto"/>
        <w:ind w:firstLine="480" w:firstLineChars="150"/>
        <w:rPr>
          <w:rFonts w:ascii="楷体_GB2312" w:hAnsi="楷体_GB2312" w:eastAsia="楷体_GB2312" w:cs="楷体_GB2312"/>
          <w:sz w:val="32"/>
          <w:szCs w:val="32"/>
        </w:rPr>
      </w:pPr>
      <w:r>
        <w:rPr>
          <w:rFonts w:hint="eastAsia" w:ascii="仿宋_GB2312" w:hAnsi="宋体" w:eastAsia="仿宋_GB2312" w:cs="Courier New"/>
          <w:sz w:val="32"/>
          <w:szCs w:val="32"/>
        </w:rPr>
        <w:t>（三）</w:t>
      </w: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791万元，支出决算为1683万元，完成年初预算的212%。决算数大于预算数的主要原因：2017年增加专项工作任务，增加了“雪亮工程”建设、综治工作中心建设、法律服务站基础建设、精神病患者的救治救助等专项工作。</w:t>
      </w:r>
    </w:p>
    <w:p>
      <w:p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791万元，支出决算为1683万元，完成年初预算的212%。决算数大于预算数的主要原因是：2017年增加专项工作任务，增加了“雪亮工程”建设、综治工作中心建设、法律服务站基础建设、精神病患者的救治救助等专项工作。</w:t>
      </w:r>
    </w:p>
    <w:p>
      <w:pPr>
        <w:pStyle w:val="9"/>
        <w:numPr>
          <w:ilvl w:val="0"/>
          <w:numId w:val="4"/>
        </w:numPr>
        <w:adjustRightInd w:val="0"/>
        <w:snapToGrid w:val="0"/>
        <w:spacing w:line="360" w:lineRule="auto"/>
        <w:ind w:firstLineChars="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黑体" w:hAnsi="黑体" w:eastAsia="黑体"/>
          <w:sz w:val="32"/>
          <w:szCs w:val="32"/>
        </w:rPr>
      </w:pPr>
      <w:r>
        <w:rPr>
          <w:rFonts w:hint="eastAsia" w:ascii="仿宋_GB2312" w:hAnsi="宋体" w:eastAsia="仿宋_GB2312" w:cs="Courier New"/>
          <w:sz w:val="32"/>
          <w:szCs w:val="32"/>
        </w:rPr>
        <w:t>2017年一般公共预算财政拨款基本支出641万元，其中：</w:t>
      </w:r>
      <w:r>
        <w:rPr>
          <w:rFonts w:hint="eastAsia" w:ascii="仿宋_GB2312" w:hAnsi="Times New Roman" w:eastAsia="仿宋_GB2312" w:cs="仿宋_GB2312"/>
          <w:bCs/>
          <w:spacing w:val="-1"/>
          <w:kern w:val="0"/>
          <w:sz w:val="32"/>
          <w:szCs w:val="32"/>
        </w:rPr>
        <w:t>人员经费246万元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395万元</w:t>
      </w:r>
      <w:r>
        <w:rPr>
          <w:rFonts w:hint="eastAsia" w:ascii="仿宋_GB2312" w:hAnsi="宋体" w:eastAsia="仿宋_GB2312" w:cs="Courier New"/>
          <w:sz w:val="32"/>
          <w:szCs w:val="32"/>
        </w:rPr>
        <w:t>，主要包括：办公费、差旅费、车辆运行费、会议费、培训费、公务接待费、劳务费、其他交通费等。</w:t>
      </w:r>
    </w:p>
    <w:p>
      <w:pPr>
        <w:adjustRightInd w:val="0"/>
        <w:snapToGrid w:val="0"/>
        <w:spacing w:line="360" w:lineRule="auto"/>
        <w:ind w:firstLine="320" w:firstLineChars="100"/>
        <w:rPr>
          <w:rFonts w:ascii="楷体_GB2312" w:hAnsi="楷体_GB2312" w:eastAsia="楷体_GB2312" w:cs="楷体_GB2312"/>
          <w:b/>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sz w:val="32"/>
          <w:szCs w:val="32"/>
        </w:rPr>
        <w:t>七、关于一般公共预算财政拨款“三公”经费支出决算情况说明。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23.2万元，支出决算为12.3万元，完成预算的53%，其中：因公出国（境）费支出决算为0万元，完成预算100%；公务用车购置及运行费支出决算为0万元，完成预算的100%；公务接待费支出决算为12.3万元，完成预算的53%。2017年度“三公”经费支出决算数小于预算数的主要原因是：按照有关文件规定，减少三公经费开支。</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2017年度“三公”经费财政拨款支出决算数比2016年减少4万元，下降1.7%，其中：公务接待费支出决算减少3.3万元，下降2.1，公务接待费支出增减少的主要原因是：按照有关文件规定，减少招待费开支。</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2017年度“三公”经费财政拨款支出决算中，因公出国（境）费支出决算0万元，占0%；公务用车购置及运行费支出决算0万元，公务接待费支出决算12.3万元，占100%。具体情况如下：</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为0</w:t>
      </w:r>
      <w:r>
        <w:rPr>
          <w:rFonts w:hint="eastAsia" w:ascii="仿宋_GB2312" w:hAnsi="宋体" w:eastAsia="仿宋_GB2312" w:cs="Courier New"/>
          <w:sz w:val="32"/>
          <w:szCs w:val="32"/>
          <w:lang w:eastAsia="zh-CN"/>
        </w:rPr>
        <w:t>万元。公车保有量为</w:t>
      </w:r>
      <w:r>
        <w:rPr>
          <w:rFonts w:hint="eastAsia" w:ascii="仿宋_GB2312" w:hAnsi="宋体" w:eastAsia="仿宋_GB2312" w:cs="Courier New"/>
          <w:sz w:val="32"/>
          <w:szCs w:val="32"/>
          <w:lang w:val="en-US" w:eastAsia="zh-CN"/>
        </w:rPr>
        <w:t>1辆。</w:t>
      </w:r>
      <w:bookmarkStart w:id="0" w:name="_GoBack"/>
      <w:bookmarkEnd w:id="0"/>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支出12.3万元。其中：</w:t>
      </w:r>
    </w:p>
    <w:p>
      <w:pPr>
        <w:kinsoku w:val="0"/>
        <w:overflowPunct w:val="0"/>
        <w:autoSpaceDE w:val="0"/>
        <w:autoSpaceDN w:val="0"/>
        <w:adjustRightInd w:val="0"/>
        <w:snapToGrid w:val="0"/>
        <w:spacing w:line="360" w:lineRule="auto"/>
        <w:ind w:left="643"/>
        <w:rPr>
          <w:rFonts w:ascii="仿宋_GB2312" w:hAnsi="宋体" w:eastAsia="仿宋_GB2312" w:cs="Courier New"/>
          <w:b/>
          <w:bCs/>
          <w:sz w:val="32"/>
          <w:szCs w:val="32"/>
        </w:rPr>
      </w:pPr>
      <w:r>
        <w:rPr>
          <w:rFonts w:hint="eastAsia" w:ascii="仿宋_GB2312" w:hAnsi="宋体" w:eastAsia="仿宋_GB2312" w:cs="Courier New"/>
          <w:b/>
          <w:bCs/>
          <w:sz w:val="32"/>
          <w:szCs w:val="32"/>
        </w:rPr>
        <w:t>外宾接待支出0万元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支出为12.3万元。主要用于正常上级单位公务检查。共计200批次1000人次。</w:t>
      </w:r>
    </w:p>
    <w:p>
      <w:pPr>
        <w:kinsoku w:val="0"/>
        <w:overflowPunct w:val="0"/>
        <w:autoSpaceDE w:val="0"/>
        <w:autoSpaceDN w:val="0"/>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八、关于预算绩效情况说明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（一）绩效管理工作开展情况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根据财政预算管理要求，为做好预算绩效管理工作，浉河区政法委对2017年度一般公共预算项目支出全面开展绩效自评。其中，一级项目0个，二级项目0个，共涉及预算资金0万元，自评覆盖率达到0%。</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（二）部门决算中项目绩效自评结果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浉河区政法委今年没有项目。</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九、关于政府性基金预算财政拨款支出决算情况说明：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黑体" w:hAnsi="黑体" w:eastAsia="黑体"/>
          <w:sz w:val="32"/>
          <w:szCs w:val="32"/>
        </w:rPr>
        <w:t xml:space="preserve"> </w:t>
      </w:r>
      <w:r>
        <w:rPr>
          <w:rFonts w:hint="eastAsia" w:ascii="仿宋_GB2312" w:hAnsi="宋体" w:eastAsia="仿宋_GB2312" w:cs="Courier New"/>
          <w:sz w:val="32"/>
          <w:szCs w:val="32"/>
        </w:rPr>
        <w:t>2017年度政府性基金预算财政拨款支出年初预算为0万元，支出决算为0万元，完成年初预算的0%。</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十、其他重要事项的情况说明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2017年度机关运行经费支出1440万元，比2016年增加881万元，增长157</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2017年度政府采购支出总额5.2万元，其中：政府采购货物支出5.2万元，占政府采购支出总额的100%。</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2017年期末，政法委共有车辆1辆，其中：一般公务用车1辆。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（请根据单位实际情况，参照《2017年政府收支分类科目》和对口中央部门决算公开信息填写）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0000000000000000000"/>
    <w:charset w:val="86"/>
    <w:family w:val="modern"/>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- 7 -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3">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4">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5">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6">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7">
    <w:nsid w:val="5971F72C"/>
    <w:multiLevelType w:val="singleLevel"/>
    <w:tmpl w:val="5971F72C"/>
    <w:lvl w:ilvl="0" w:tentative="0">
      <w:start w:val="1"/>
      <w:numFmt w:val="chineseCounting"/>
      <w:suff w:val="nothing"/>
      <w:lvlText w:val="%1、"/>
      <w:lvlJc w:val="left"/>
      <w:pPr>
        <w:ind w:left="0" w:firstLine="420"/>
      </w:pPr>
      <w:rPr>
        <w:rFonts w:hint="eastAsia"/>
      </w:rPr>
    </w:lvl>
  </w:abstractNum>
  <w:abstractNum w:abstractNumId="8">
    <w:nsid w:val="670E4920"/>
    <w:multiLevelType w:val="multilevel"/>
    <w:tmpl w:val="670E4920"/>
    <w:lvl w:ilvl="0" w:tentative="0">
      <w:start w:val="2"/>
      <w:numFmt w:val="japaneseCounting"/>
      <w:lvlText w:val="%1、"/>
      <w:lvlJc w:val="left"/>
      <w:pPr>
        <w:ind w:left="1429" w:hanging="720"/>
      </w:pPr>
      <w:rPr>
        <w:rFonts w:hint="default" w:ascii="仿宋_GB2312" w:hAnsi="宋体" w:eastAsia="仿宋_GB2312" w:cs="Courier New"/>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 w:numId="4">
    <w:abstractNumId w:val="8"/>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27A9"/>
    <w:rsid w:val="000756E1"/>
    <w:rsid w:val="00090657"/>
    <w:rsid w:val="000948D8"/>
    <w:rsid w:val="000C1364"/>
    <w:rsid w:val="000F5ED2"/>
    <w:rsid w:val="00172A27"/>
    <w:rsid w:val="0019149A"/>
    <w:rsid w:val="001A2E6E"/>
    <w:rsid w:val="001E68D6"/>
    <w:rsid w:val="00251718"/>
    <w:rsid w:val="00253421"/>
    <w:rsid w:val="002D3F29"/>
    <w:rsid w:val="00312E9F"/>
    <w:rsid w:val="0032461D"/>
    <w:rsid w:val="00325CE8"/>
    <w:rsid w:val="00387E88"/>
    <w:rsid w:val="003A5A96"/>
    <w:rsid w:val="003B6AA1"/>
    <w:rsid w:val="004F12DF"/>
    <w:rsid w:val="00531A94"/>
    <w:rsid w:val="00540F6E"/>
    <w:rsid w:val="00551745"/>
    <w:rsid w:val="00574F5A"/>
    <w:rsid w:val="005A3898"/>
    <w:rsid w:val="005E7F70"/>
    <w:rsid w:val="00630D31"/>
    <w:rsid w:val="00671C77"/>
    <w:rsid w:val="00677604"/>
    <w:rsid w:val="00715D26"/>
    <w:rsid w:val="00762628"/>
    <w:rsid w:val="00783862"/>
    <w:rsid w:val="007A00ED"/>
    <w:rsid w:val="007A14DF"/>
    <w:rsid w:val="007D6B92"/>
    <w:rsid w:val="007E5947"/>
    <w:rsid w:val="008154EB"/>
    <w:rsid w:val="0084483C"/>
    <w:rsid w:val="008A1DDB"/>
    <w:rsid w:val="008E6541"/>
    <w:rsid w:val="00954AD5"/>
    <w:rsid w:val="009D621B"/>
    <w:rsid w:val="00A023AC"/>
    <w:rsid w:val="00A42DC8"/>
    <w:rsid w:val="00A76F95"/>
    <w:rsid w:val="00A82036"/>
    <w:rsid w:val="00A91AAB"/>
    <w:rsid w:val="00AE4D80"/>
    <w:rsid w:val="00B15A4F"/>
    <w:rsid w:val="00B30678"/>
    <w:rsid w:val="00B54309"/>
    <w:rsid w:val="00B5627D"/>
    <w:rsid w:val="00B84FB0"/>
    <w:rsid w:val="00BC5DA6"/>
    <w:rsid w:val="00BF176D"/>
    <w:rsid w:val="00BF7126"/>
    <w:rsid w:val="00C15C85"/>
    <w:rsid w:val="00C359C0"/>
    <w:rsid w:val="00C817F9"/>
    <w:rsid w:val="00CB15A6"/>
    <w:rsid w:val="00D5686B"/>
    <w:rsid w:val="00D64458"/>
    <w:rsid w:val="00D903C9"/>
    <w:rsid w:val="00DD7E96"/>
    <w:rsid w:val="00E041F3"/>
    <w:rsid w:val="00E05980"/>
    <w:rsid w:val="00E438C3"/>
    <w:rsid w:val="00EE0BEE"/>
    <w:rsid w:val="00F205DB"/>
    <w:rsid w:val="00F93487"/>
    <w:rsid w:val="00FC0E9D"/>
    <w:rsid w:val="00FF0FE1"/>
    <w:rsid w:val="01064770"/>
    <w:rsid w:val="04453648"/>
    <w:rsid w:val="09BB2134"/>
    <w:rsid w:val="13DA4090"/>
    <w:rsid w:val="15492582"/>
    <w:rsid w:val="1BB26345"/>
    <w:rsid w:val="1E7D3B34"/>
    <w:rsid w:val="209C4FF0"/>
    <w:rsid w:val="258F34D6"/>
    <w:rsid w:val="25942249"/>
    <w:rsid w:val="2BA4769A"/>
    <w:rsid w:val="2CD06EF4"/>
    <w:rsid w:val="32EF40CE"/>
    <w:rsid w:val="372974AC"/>
    <w:rsid w:val="3BF23CFA"/>
    <w:rsid w:val="3CE47224"/>
    <w:rsid w:val="42271DDB"/>
    <w:rsid w:val="48036E61"/>
    <w:rsid w:val="48B52937"/>
    <w:rsid w:val="48EE3EF3"/>
    <w:rsid w:val="4C1E2F28"/>
    <w:rsid w:val="51AD42DE"/>
    <w:rsid w:val="53E9756D"/>
    <w:rsid w:val="5651051D"/>
    <w:rsid w:val="57BB5F84"/>
    <w:rsid w:val="57E961A8"/>
    <w:rsid w:val="581E77CF"/>
    <w:rsid w:val="58B06254"/>
    <w:rsid w:val="59E3092F"/>
    <w:rsid w:val="5AF25131"/>
    <w:rsid w:val="5F3A0145"/>
    <w:rsid w:val="600176AC"/>
    <w:rsid w:val="627358F6"/>
    <w:rsid w:val="6431638A"/>
    <w:rsid w:val="659F1ADA"/>
    <w:rsid w:val="664A46E0"/>
    <w:rsid w:val="674E08EC"/>
    <w:rsid w:val="6A2415C4"/>
    <w:rsid w:val="6C2F3976"/>
    <w:rsid w:val="737A5BE5"/>
    <w:rsid w:val="73F1196C"/>
    <w:rsid w:val="75531EF6"/>
    <w:rsid w:val="75D0003D"/>
    <w:rsid w:val="779E3F57"/>
    <w:rsid w:val="79960645"/>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540</Words>
  <Characters>3084</Characters>
  <Lines>25</Lines>
  <Paragraphs>7</Paragraphs>
  <TotalTime>324</TotalTime>
  <ScaleCrop>false</ScaleCrop>
  <LinksUpToDate>false</LinksUpToDate>
  <CharactersWithSpaces>3617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2019-02-13T08:23:20Z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