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1560" w:firstLineChars="300"/>
        <w:rPr>
          <w:rFonts w:ascii="微软雅黑" w:hAnsi="微软雅黑" w:eastAsia="微软雅黑" w:cs="微软雅黑"/>
          <w:sz w:val="52"/>
          <w:szCs w:val="52"/>
        </w:rPr>
      </w:pPr>
      <w:r>
        <w:rPr>
          <w:rFonts w:hint="eastAsia" w:ascii="微软雅黑" w:hAnsi="微软雅黑" w:eastAsia="微软雅黑" w:cs="微软雅黑"/>
          <w:sz w:val="52"/>
          <w:szCs w:val="52"/>
        </w:rPr>
        <w:t>信阳市浉河区人民法院</w:t>
      </w:r>
    </w:p>
    <w:p>
      <w:pPr>
        <w:ind w:firstLine="2080" w:firstLineChars="400"/>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公开单位联系人：常伟          联系方式：6362117</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浉河区人民法院概况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部门决算单位构成及机构设置</w:t>
      </w:r>
    </w:p>
    <w:p>
      <w:pPr>
        <w:jc w:val="left"/>
        <w:rPr>
          <w:rFonts w:ascii="黑体" w:hAnsi="黑体" w:eastAsia="黑体" w:cs="黑体"/>
          <w:sz w:val="32"/>
          <w:szCs w:val="32"/>
        </w:rPr>
      </w:pPr>
      <w:r>
        <w:rPr>
          <w:rFonts w:hint="eastAsia" w:ascii="黑体" w:hAnsi="黑体" w:eastAsia="黑体" w:cs="黑体"/>
          <w:sz w:val="32"/>
          <w:szCs w:val="32"/>
        </w:rPr>
        <w:t>第二部分　浉河区人民法院2017年度部门决算情况说明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黑体" w:hAnsi="黑体" w:eastAsia="黑体" w:cs="黑体"/>
          <w:sz w:val="52"/>
          <w:szCs w:val="52"/>
        </w:rPr>
        <w:t>浉河区人民法院</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依法审判本级法院管辖和本地域管辖的第一审刑事民事经济行政</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依法受理符合本级别法院和本地管辖及委托的执行案件。</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受理不服本院已发生法律效力的判决、裁定等各类申诉，并，依法对其中确有错误的已发生法律效力的判决、裁定和调解进行再审。</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部门决算单位构成及机构设置</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1、浉河区法院部门决算单位构成是浉河区法院本级，无二级机构。</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2、浉河区人民法院机构设置</w:t>
      </w:r>
    </w:p>
    <w:p>
      <w:pPr>
        <w:spacing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浉河区人民法院现设有政洺处、执行局（执行一庭，执行二庭，综合科）、法警大队、办公室、立案一庭、立案二庭、刑事审判第一庭、刑事审判第二庭、民事审判第一庭、民事审判第二庭、民事审判第三庭、行政审判庭、审判监督庭、审管办、司法技术科、机关党委、监察室、机关服务中心共18个部门和5个法庭（东双河法庭，董家河法庭，李家寨法庭，五星法庭，游河法庭）。</w:t>
      </w:r>
    </w:p>
    <w:p>
      <w:pPr>
        <w:spacing w:line="360" w:lineRule="auto"/>
        <w:ind w:firstLine="640" w:firstLineChars="200"/>
        <w:jc w:val="left"/>
        <w:rPr>
          <w:rFonts w:hint="eastAsia" w:ascii="宋体" w:hAnsi="宋体" w:eastAsia="宋体" w:cs="宋体"/>
          <w:sz w:val="32"/>
          <w:szCs w:val="32"/>
        </w:rPr>
      </w:pP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ascii="宋体" w:hAnsi="宋体" w:eastAsia="宋体" w:cs="宋体"/>
          <w:sz w:val="32"/>
          <w:szCs w:val="32"/>
        </w:rPr>
        <w:t>浉河区人民法院</w:t>
      </w:r>
      <w:r>
        <w:rPr>
          <w:rFonts w:hint="eastAsia" w:eastAsia="仿宋_GB2312"/>
          <w:color w:val="000000"/>
          <w:sz w:val="32"/>
          <w:szCs w:val="32"/>
        </w:rPr>
        <w:t>201</w:t>
      </w:r>
      <w:r>
        <w:rPr>
          <w:rFonts w:hint="eastAsia" w:eastAsia="仿宋_GB2312"/>
          <w:color w:val="000000"/>
          <w:sz w:val="32"/>
          <w:szCs w:val="32"/>
          <w:lang w:val="en-US" w:eastAsia="zh-CN"/>
        </w:rPr>
        <w:t>7</w:t>
      </w:r>
      <w:r>
        <w:rPr>
          <w:rFonts w:hint="eastAsia" w:eastAsia="仿宋_GB2312"/>
          <w:color w:val="000000"/>
          <w:sz w:val="32"/>
          <w:szCs w:val="32"/>
        </w:rPr>
        <w:t>年度部门</w:t>
      </w:r>
      <w:r>
        <w:rPr>
          <w:rFonts w:hint="eastAsia" w:eastAsia="仿宋_GB2312"/>
          <w:color w:val="000000"/>
          <w:sz w:val="32"/>
          <w:szCs w:val="32"/>
          <w:lang w:eastAsia="zh-CN"/>
        </w:rPr>
        <w:t>决</w:t>
      </w:r>
      <w:r>
        <w:rPr>
          <w:rFonts w:hint="eastAsia" w:eastAsia="仿宋_GB2312"/>
          <w:color w:val="000000"/>
          <w:sz w:val="32"/>
          <w:szCs w:val="32"/>
        </w:rPr>
        <w:t>算编制范围包括本级决算和所属单位决算在内的汇总决算</w:t>
      </w:r>
      <w:r>
        <w:rPr>
          <w:rFonts w:hint="eastAsia" w:eastAsia="仿宋_GB2312"/>
          <w:color w:val="000000"/>
          <w:sz w:val="32"/>
          <w:szCs w:val="32"/>
          <w:lang w:eastAsia="zh-CN"/>
        </w:rPr>
        <w:t>。</w:t>
      </w:r>
    </w:p>
    <w:p>
      <w:pPr>
        <w:spacing w:line="360" w:lineRule="auto"/>
        <w:ind w:firstLine="640" w:firstLineChars="200"/>
        <w:jc w:val="left"/>
        <w:rPr>
          <w:rFonts w:hint="eastAsia" w:ascii="宋体" w:hAnsi="宋体" w:eastAsia="宋体" w:cs="宋体"/>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黑体" w:hAnsi="黑体" w:eastAsia="黑体" w:cs="黑体"/>
          <w:sz w:val="52"/>
          <w:szCs w:val="52"/>
        </w:rPr>
        <w:t>浉河区人民法院</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2017年度收入总计2694.89万元，支出总计2180.39万元，与2016年相比，收、支总计各增加496.89万元、594.49万元，增长22.6%、37%。</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rPr>
        <w:t>2694.89</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rPr>
        <w:t>2694.89</w:t>
      </w:r>
      <w:r>
        <w:rPr>
          <w:rFonts w:hint="eastAsia" w:ascii="仿宋_GB2312" w:hAnsi="Times New Roman" w:eastAsia="仿宋_GB2312"/>
          <w:sz w:val="32"/>
          <w:szCs w:val="32"/>
        </w:rPr>
        <w:t>万元，占100%。</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2017年度支出合计2180.39万元，其中：基本支出1993.55万元，占91.4</w:t>
      </w:r>
      <w:r>
        <w:rPr>
          <w:rFonts w:ascii="仿宋_GB2312" w:hAnsi="宋体" w:eastAsia="仿宋_GB2312" w:cs="Courier New"/>
          <w:sz w:val="32"/>
          <w:szCs w:val="32"/>
        </w:rPr>
        <w:t>%</w:t>
      </w:r>
      <w:r>
        <w:rPr>
          <w:rFonts w:hint="eastAsia" w:ascii="仿宋_GB2312" w:hAnsi="宋体" w:eastAsia="仿宋_GB2312" w:cs="Courier New"/>
          <w:sz w:val="32"/>
          <w:szCs w:val="32"/>
        </w:rPr>
        <w:t>；项目支出186.84万元，占8.6%。</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2017年财政拨款收支总决算2694.89万元、2180.39万元。与2016年相比，财政拨款收、支总计各增加（减少）496.89万元、594.49万元，增长22.6%、37%。</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2017年一般公共预算财政拨款支出2180.39万元，占支出合计的100%。与2016年相比，一般公共预算财政拨款支出增加594.49万元，增长37%。</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2017年度一般公共预算财政拨款支出2180.39万元，主要用于以下方面：公共安全支出2082.79万元，占95.5%；社保13.82万元；住房保障支出83.98万元。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1966.43万元，支出决算为2180.39万元，完成年初预算的110%。决算数大于预算数的主要原因：一是案件的增多相应的办案开支也增加，二是人员的增加，工资和办公经费增加。</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2017年一般公共预算财政拨款基本支出1993.55万元，其中：</w:t>
      </w:r>
      <w:r>
        <w:rPr>
          <w:rFonts w:hint="eastAsia" w:ascii="仿宋_GB2312" w:hAnsi="Times New Roman" w:eastAsia="仿宋_GB2312" w:cs="仿宋_GB2312"/>
          <w:bCs/>
          <w:spacing w:val="-1"/>
          <w:kern w:val="0"/>
          <w:sz w:val="32"/>
          <w:szCs w:val="32"/>
        </w:rPr>
        <w:t>人员经费1221.57万元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b/>
          <w:spacing w:val="-1"/>
          <w:kern w:val="0"/>
          <w:sz w:val="32"/>
          <w:szCs w:val="32"/>
        </w:rPr>
        <w:t>公用经费771.98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，主要包括：办公经费、办案经费等。</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60万元，支出决算为57.4万元，完成预算的95.6%，其中：因公出国（境）费支出决算为0万元，完成预算的0%；公务用车购置及运行费支出决算为37.5万元，完成预算的94%；公务接待费支出决算为19.8万元，完成预算的99%。2017年度“三公”经费支出决算数小于预算数的主要原因是严格控制非生产性开支。</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增加4.2万元，增长7.8%，其中：公务用车购置及运行费支出决算增加5.3万元，增长16%；公务接待费支出决算减少1.2万元，下降）5.7%。公务用车购置及运行费支出增加的主要原因车辆老旧维修费用增加；公务接待费支出减少的主要原因是严控招待费开支。</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2017年度“三公”经费财政拨款支出决算中公务用车购置及运行费支出决算37.5万元，占65%；公务接待费支出决算19.8万元，占35%。具体情况如下：</w:t>
      </w:r>
    </w:p>
    <w:p>
      <w:pPr>
        <w:pStyle w:val="9"/>
        <w:numPr>
          <w:ilvl w:val="0"/>
          <w:numId w:val="8"/>
        </w:numPr>
        <w:kinsoku w:val="0"/>
        <w:overflowPunct w:val="0"/>
        <w:autoSpaceDE w:val="0"/>
        <w:autoSpaceDN w:val="0"/>
        <w:adjustRightInd w:val="0"/>
        <w:snapToGrid w:val="0"/>
        <w:spacing w:line="360" w:lineRule="auto"/>
        <w:ind w:firstLineChars="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支出0万元。全年安排法院单位因公出国（境）团组0个，累计0人次。开支内容包括：</w:t>
      </w:r>
    </w:p>
    <w:p>
      <w:pPr>
        <w:pStyle w:val="9"/>
        <w:kinsoku w:val="0"/>
        <w:overflowPunct w:val="0"/>
        <w:autoSpaceDE w:val="0"/>
        <w:autoSpaceDN w:val="0"/>
        <w:adjustRightInd w:val="0"/>
        <w:snapToGrid w:val="0"/>
        <w:spacing w:line="360" w:lineRule="auto"/>
        <w:ind w:left="1363" w:firstLine="0" w:firstLineChars="0"/>
        <w:rPr>
          <w:rFonts w:ascii="仿宋_GB2312" w:hAnsi="宋体" w:eastAsia="仿宋_GB2312" w:cs="Courier New"/>
          <w:b/>
          <w:bCs/>
          <w:sz w:val="32"/>
          <w:szCs w:val="32"/>
        </w:rPr>
      </w:pPr>
      <w:r>
        <w:rPr>
          <w:rFonts w:hint="eastAsia" w:ascii="仿宋_GB2312" w:hAnsi="宋体" w:eastAsia="仿宋_GB2312" w:cs="Courier New"/>
          <w:b/>
          <w:bCs/>
          <w:sz w:val="32"/>
          <w:szCs w:val="32"/>
        </w:rPr>
        <w:t>会议支出0万元。</w:t>
      </w:r>
    </w:p>
    <w:p>
      <w:pPr>
        <w:pStyle w:val="9"/>
        <w:kinsoku w:val="0"/>
        <w:overflowPunct w:val="0"/>
        <w:autoSpaceDE w:val="0"/>
        <w:autoSpaceDN w:val="0"/>
        <w:adjustRightInd w:val="0"/>
        <w:snapToGrid w:val="0"/>
        <w:spacing w:line="360" w:lineRule="auto"/>
        <w:ind w:left="1363" w:firstLine="0" w:firstLineChars="0"/>
        <w:rPr>
          <w:rFonts w:ascii="仿宋_GB2312" w:hAnsi="宋体" w:eastAsia="仿宋_GB2312" w:cs="Courier New"/>
          <w:b/>
          <w:bCs/>
          <w:sz w:val="32"/>
          <w:szCs w:val="32"/>
        </w:rPr>
      </w:pPr>
      <w:r>
        <w:rPr>
          <w:rFonts w:hint="eastAsia" w:ascii="仿宋_GB2312" w:hAnsi="宋体" w:eastAsia="仿宋_GB2312" w:cs="Courier New"/>
          <w:b/>
          <w:bCs/>
          <w:sz w:val="32"/>
          <w:szCs w:val="32"/>
        </w:rPr>
        <w:t>出国谈判、工资磋商支出0万元。</w:t>
      </w:r>
    </w:p>
    <w:p>
      <w:pPr>
        <w:pStyle w:val="9"/>
        <w:kinsoku w:val="0"/>
        <w:overflowPunct w:val="0"/>
        <w:autoSpaceDE w:val="0"/>
        <w:autoSpaceDN w:val="0"/>
        <w:adjustRightInd w:val="0"/>
        <w:snapToGrid w:val="0"/>
        <w:spacing w:line="360" w:lineRule="auto"/>
        <w:ind w:left="1363" w:firstLine="0" w:firstLineChars="0"/>
        <w:rPr>
          <w:rFonts w:ascii="仿宋_GB2312" w:hAnsi="宋体" w:eastAsia="仿宋_GB2312" w:cs="Courier New"/>
          <w:sz w:val="32"/>
          <w:szCs w:val="32"/>
        </w:rPr>
      </w:pPr>
      <w:r>
        <w:rPr>
          <w:rFonts w:hint="eastAsia" w:ascii="仿宋_GB2312" w:hAnsi="宋体" w:eastAsia="仿宋_GB2312" w:cs="Courier New"/>
          <w:b/>
          <w:bCs/>
          <w:sz w:val="32"/>
          <w:szCs w:val="32"/>
        </w:rPr>
        <w:t>境外业务培训支出0万元。</w:t>
      </w:r>
    </w:p>
    <w:p>
      <w:pPr>
        <w:kinsoku w:val="0"/>
        <w:overflowPunct w:val="0"/>
        <w:autoSpaceDE w:val="0"/>
        <w:autoSpaceDN w:val="0"/>
        <w:adjustRightInd w:val="0"/>
        <w:snapToGrid w:val="0"/>
        <w:spacing w:line="360" w:lineRule="auto"/>
        <w:ind w:left="400"/>
        <w:rPr>
          <w:rFonts w:ascii="仿宋_GB2312" w:hAnsi="宋体" w:eastAsia="仿宋_GB2312" w:cs="Courier New"/>
          <w:b/>
          <w:bCs/>
          <w:sz w:val="32"/>
          <w:szCs w:val="32"/>
        </w:rPr>
      </w:pPr>
      <w:r>
        <w:rPr>
          <w:rFonts w:hint="eastAsia" w:ascii="仿宋_GB2312" w:hAnsi="宋体" w:eastAsia="仿宋_GB2312" w:cs="Courier New"/>
          <w:b/>
          <w:bCs/>
          <w:sz w:val="32"/>
          <w:szCs w:val="32"/>
        </w:rPr>
        <w:t>2.公务用车购置及运行费</w:t>
      </w:r>
      <w:r>
        <w:rPr>
          <w:rFonts w:hint="eastAsia" w:ascii="仿宋_GB2312" w:hAnsi="宋体" w:eastAsia="仿宋_GB2312" w:cs="Courier New"/>
          <w:sz w:val="32"/>
          <w:szCs w:val="32"/>
        </w:rPr>
        <w:t>支出37.5万元。浉河区法院共有车辆12辆</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支出37.5万元。</w:t>
      </w:r>
      <w:r>
        <w:rPr>
          <w:rFonts w:hint="eastAsia" w:ascii="仿宋_GB2312" w:hAnsi="宋体" w:eastAsia="仿宋_GB2312" w:cs="Courier New"/>
          <w:sz w:val="32"/>
          <w:szCs w:val="32"/>
          <w:lang w:eastAsia="zh-CN"/>
        </w:rPr>
        <w:t>公车保</w:t>
      </w:r>
      <w:bookmarkStart w:id="0" w:name="_GoBack"/>
      <w:bookmarkEnd w:id="0"/>
      <w:r>
        <w:rPr>
          <w:rFonts w:hint="eastAsia" w:ascii="仿宋_GB2312" w:hAnsi="宋体" w:eastAsia="仿宋_GB2312" w:cs="Courier New"/>
          <w:sz w:val="32"/>
          <w:szCs w:val="32"/>
          <w:lang w:eastAsia="zh-CN"/>
        </w:rPr>
        <w:t>有量为</w:t>
      </w:r>
      <w:r>
        <w:rPr>
          <w:rFonts w:hint="eastAsia" w:ascii="仿宋_GB2312" w:hAnsi="宋体" w:eastAsia="仿宋_GB2312" w:cs="Courier New"/>
          <w:sz w:val="32"/>
          <w:szCs w:val="32"/>
        </w:rPr>
        <w:t>12辆</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主要用于车辆维修、燃油费等。</w:t>
      </w:r>
    </w:p>
    <w:p>
      <w:pPr>
        <w:kinsoku w:val="0"/>
        <w:overflowPunct w:val="0"/>
        <w:autoSpaceDE w:val="0"/>
        <w:autoSpaceDN w:val="0"/>
        <w:adjustRightInd w:val="0"/>
        <w:snapToGrid w:val="0"/>
        <w:spacing w:line="360" w:lineRule="auto"/>
        <w:ind w:left="400"/>
        <w:rPr>
          <w:rFonts w:ascii="仿宋_GB2312" w:hAnsi="宋体" w:eastAsia="仿宋_GB2312" w:cs="Courier New"/>
          <w:b/>
          <w:bCs/>
          <w:sz w:val="32"/>
          <w:szCs w:val="32"/>
        </w:rPr>
      </w:pPr>
      <w:r>
        <w:rPr>
          <w:rFonts w:hint="eastAsia" w:ascii="仿宋_GB2312" w:hAnsi="宋体" w:eastAsia="仿宋_GB2312" w:cs="Courier New"/>
          <w:b/>
          <w:bCs/>
          <w:sz w:val="32"/>
          <w:szCs w:val="32"/>
        </w:rPr>
        <w:t>3.公务接待费</w:t>
      </w:r>
      <w:r>
        <w:rPr>
          <w:rFonts w:hint="eastAsia" w:ascii="仿宋_GB2312" w:hAnsi="宋体" w:eastAsia="仿宋_GB2312" w:cs="Courier New"/>
          <w:sz w:val="32"/>
          <w:szCs w:val="32"/>
        </w:rPr>
        <w:t>支出19.8万元。其中：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外宾接待支出为0万元。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支出为19.8万元，共计250批次2475人次。主要用于办公办案业务性招待。</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ind w:firstLine="480" w:firstLineChars="150"/>
        <w:rPr>
          <w:rFonts w:ascii="仿宋_GB2312" w:hAnsi="宋体" w:eastAsia="仿宋_GB2312" w:cs="Courier New"/>
          <w:sz w:val="32"/>
          <w:szCs w:val="32"/>
        </w:rPr>
      </w:pPr>
      <w:r>
        <w:rPr>
          <w:rFonts w:hint="eastAsia" w:ascii="仿宋_GB2312" w:hAnsi="宋体" w:eastAsia="仿宋_GB2312" w:cs="Courier New"/>
          <w:sz w:val="32"/>
          <w:szCs w:val="32"/>
        </w:rPr>
        <w:t>（一）绩效管理工作开展情况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我单位积极开展2017年预算绩效管理评价工作。在评价中主要遵循适用性原则、可操作性原则、产出与效果相结合原则。重点考虑产出与效果相结合，既考虑设计效果指标，反映专项资金绩效水平，又要设计效果指标，反映项目预算执行、管理好坏。在绩效评价指标评价中主要采用的指标包括：社会效益指标、资金使用指标和资金管理指标等，通过设定产出指标和效果指标，分别根据自评项目填写实际确定的各项具体指标。</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（二）部门决算中项目绩效自评结果</w:t>
      </w:r>
    </w:p>
    <w:p>
      <w:pPr>
        <w:ind w:left="420" w:firstLine="320" w:firstLineChars="100"/>
        <w:rPr>
          <w:rFonts w:ascii="仿宋_GB2312" w:hAnsi="宋体" w:eastAsia="仿宋_GB2312" w:cs="Courier New"/>
          <w:sz w:val="32"/>
          <w:szCs w:val="32"/>
        </w:rPr>
      </w:pPr>
      <w:r>
        <w:rPr>
          <w:rFonts w:hint="eastAsia" w:ascii="仿宋_GB2312" w:hAnsi="宋体" w:eastAsia="仿宋_GB2312" w:cs="Courier New"/>
          <w:sz w:val="32"/>
          <w:szCs w:val="32"/>
        </w:rPr>
        <w:t>在2017年度部门决算中增加项目绩效评价结果，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以实现项目绩效目标，项目自评得分为98分。</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2017年度机关运行经费支出2082.79万元，比2016年增加496.79万元，增长31.3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2017年度政府采购支出总额186.8万元，其中：政府采购货物支出186.8万元。</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2017年期末，浉河区法院共有车辆12辆，其中：一般公务用车0辆、一般执法执勤用车12辆。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584F4"/>
    <w:multiLevelType w:val="singleLevel"/>
    <w:tmpl w:val="D0B584F4"/>
    <w:lvl w:ilvl="0" w:tentative="0">
      <w:start w:val="1"/>
      <w:numFmt w:val="decimal"/>
      <w:lvlText w:val="%1."/>
      <w:lvlJc w:val="left"/>
      <w:pPr>
        <w:tabs>
          <w:tab w:val="left" w:pos="312"/>
        </w:tabs>
      </w:pPr>
    </w:lvl>
  </w:abstractNum>
  <w:abstractNum w:abstractNumId="1">
    <w:nsid w:val="3CF70BA9"/>
    <w:multiLevelType w:val="multilevel"/>
    <w:tmpl w:val="3CF70BA9"/>
    <w:lvl w:ilvl="0" w:tentative="0">
      <w:start w:val="1"/>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4">
    <w:nsid w:val="5971C193"/>
    <w:multiLevelType w:val="singleLevel"/>
    <w:tmpl w:val="5971C193"/>
    <w:lvl w:ilvl="0" w:tentative="0">
      <w:start w:val="2"/>
      <w:numFmt w:val="chineseCounting"/>
      <w:suff w:val="nothing"/>
      <w:lvlText w:val="%1、"/>
      <w:lvlJc w:val="left"/>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C454A"/>
    <w:rsid w:val="000D3AA5"/>
    <w:rsid w:val="00172A27"/>
    <w:rsid w:val="002A64A5"/>
    <w:rsid w:val="00432774"/>
    <w:rsid w:val="004676EC"/>
    <w:rsid w:val="004A0E8B"/>
    <w:rsid w:val="004C62EF"/>
    <w:rsid w:val="006125B4"/>
    <w:rsid w:val="00613B02"/>
    <w:rsid w:val="006251F7"/>
    <w:rsid w:val="00630D31"/>
    <w:rsid w:val="007157FF"/>
    <w:rsid w:val="00783862"/>
    <w:rsid w:val="00900064"/>
    <w:rsid w:val="00921599"/>
    <w:rsid w:val="00A61A46"/>
    <w:rsid w:val="00A945CB"/>
    <w:rsid w:val="00AF5647"/>
    <w:rsid w:val="00B23F64"/>
    <w:rsid w:val="00B54309"/>
    <w:rsid w:val="00B84FB0"/>
    <w:rsid w:val="00BE26E1"/>
    <w:rsid w:val="00C226C7"/>
    <w:rsid w:val="00CA7318"/>
    <w:rsid w:val="00D61111"/>
    <w:rsid w:val="00DA2A0E"/>
    <w:rsid w:val="00EE0BEE"/>
    <w:rsid w:val="00F93487"/>
    <w:rsid w:val="00FD6F2A"/>
    <w:rsid w:val="00FE2B3C"/>
    <w:rsid w:val="01064770"/>
    <w:rsid w:val="04453648"/>
    <w:rsid w:val="06D91204"/>
    <w:rsid w:val="094F235C"/>
    <w:rsid w:val="09BB2134"/>
    <w:rsid w:val="0B225F16"/>
    <w:rsid w:val="13DA4090"/>
    <w:rsid w:val="15492582"/>
    <w:rsid w:val="1BB26345"/>
    <w:rsid w:val="1E7D3B34"/>
    <w:rsid w:val="209C4FF0"/>
    <w:rsid w:val="258F34D6"/>
    <w:rsid w:val="2BA4769A"/>
    <w:rsid w:val="2CD06EF4"/>
    <w:rsid w:val="2E4F1699"/>
    <w:rsid w:val="32EF40CE"/>
    <w:rsid w:val="372974AC"/>
    <w:rsid w:val="3CE47224"/>
    <w:rsid w:val="42271DDB"/>
    <w:rsid w:val="48036E61"/>
    <w:rsid w:val="480E350C"/>
    <w:rsid w:val="48B52937"/>
    <w:rsid w:val="48EE3EF3"/>
    <w:rsid w:val="4C1E2F28"/>
    <w:rsid w:val="4D044C55"/>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22B79CC"/>
    <w:rsid w:val="737A5BE5"/>
    <w:rsid w:val="73F1196C"/>
    <w:rsid w:val="75210076"/>
    <w:rsid w:val="75531EF6"/>
    <w:rsid w:val="75D0003D"/>
    <w:rsid w:val="76BD5B9E"/>
    <w:rsid w:val="779E3F57"/>
    <w:rsid w:val="79960645"/>
    <w:rsid w:val="7D0D382E"/>
    <w:rsid w:val="7F39282F"/>
    <w:rsid w:val="7F7D2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611</Words>
  <Characters>3489</Characters>
  <Lines>29</Lines>
  <Paragraphs>8</Paragraphs>
  <TotalTime>0</TotalTime>
  <ScaleCrop>false</ScaleCrop>
  <LinksUpToDate>false</LinksUpToDate>
  <CharactersWithSpaces>4092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2019-02-13T08:25:00Z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