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国资办</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2017年度部门决算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国资办概况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国资办2017年度部门决算情况说明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国资办概况</w:t>
      </w:r>
    </w:p>
    <w:p>
      <w:pPr>
        <w:ind w:firstLine="320" w:firstLineChars="100"/>
        <w:rPr>
          <w:rFonts w:hint="eastAsia" w:ascii="黑体" w:hAnsi="黑体" w:eastAsia="黑体" w:cs="黑体"/>
          <w:sz w:val="32"/>
          <w:szCs w:val="32"/>
        </w:rPr>
      </w:pPr>
      <w:r>
        <w:rPr>
          <w:rFonts w:hint="eastAsia" w:ascii="黑体" w:hAnsi="黑体" w:eastAsia="黑体" w:cs="黑体"/>
          <w:sz w:val="32"/>
          <w:szCs w:val="32"/>
        </w:rPr>
        <w:t>一、主要职能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浉河区国有资产管理办公室为区政府直属全供事业单位，正科级规格，内设综合股，法规股，资产股，财务股等四个股室。二级机构设经营性资产管理中心。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负责贯彻执行有关国有资产的法律，法规和政策；负责制定全区行政事业单位国有资产管理的规章制度，建立行政事业单位资产保全制度和企业国有资产保值增值制度；调查研究国有资产管理工作中存在的问题，提出改革方案和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2、负责对全区国有资产的置换重组和优化配置，闲置资产的调剂，提高资产使用效率。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3、负责区属国有企业破产财产和原企业资产的管理，处置，收益等工作；负责妥善安置国有破产企业职工，解决国有企业改革扫尾遗留问题；统一申报和管理国有破产企业家属区棚户区改造项目。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区政府投资或区政府具体实施的各项工程项目建设工作，参与项目实施前期的评审和招投标工作；参与验收，接受和负责办理移交已完工的合格工程；管理接受，已交完工工程的有关档案资料；负责项目资产的清理收缴工作。</w:t>
      </w:r>
    </w:p>
    <w:p>
      <w:pPr>
        <w:spacing w:line="360" w:lineRule="auto"/>
        <w:ind w:left="851"/>
        <w:jc w:val="left"/>
        <w:outlineLvl w:val="1"/>
        <w:rPr>
          <w:rFonts w:hint="eastAsia" w:ascii="黑体" w:hAnsi="黑体" w:eastAsia="黑体" w:cs="黑体"/>
          <w:sz w:val="32"/>
          <w:szCs w:val="32"/>
        </w:rPr>
      </w:pPr>
    </w:p>
    <w:p>
      <w:pPr>
        <w:numPr>
          <w:ilvl w:val="0"/>
          <w:numId w:val="0"/>
        </w:numPr>
        <w:spacing w:line="360" w:lineRule="auto"/>
        <w:ind w:firstLine="320" w:firstLineChars="100"/>
        <w:jc w:val="left"/>
        <w:outlineLvl w:val="1"/>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纳入国资办2017年度部门决算编制范围的单位包括：</w:t>
      </w:r>
    </w:p>
    <w:p>
      <w:pPr>
        <w:numPr>
          <w:ilvl w:val="0"/>
          <w:numId w:val="2"/>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国资办本级</w:t>
      </w:r>
    </w:p>
    <w:p>
      <w:pPr>
        <w:numPr>
          <w:ilvl w:val="0"/>
          <w:numId w:val="2"/>
        </w:numPr>
        <w:spacing w:line="360" w:lineRule="auto"/>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szCs w:val="32"/>
        </w:rPr>
        <w:t>国资办经营性资产管理中心</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国资办</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2017年度收入总计363万元，支出总计363万元，与2016年相比，收、支总计各增加130万元，增长38%。</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收入合计363万元，其中：财政拨款收入363万元，占100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2017年度支出合计363万元，其中：基本支出253万元，占70</w:t>
      </w:r>
      <w:r>
        <w:rPr>
          <w:rFonts w:ascii="仿宋_GB2312" w:hAnsi="宋体" w:eastAsia="仿宋_GB2312" w:cs="Courier New"/>
          <w:sz w:val="32"/>
          <w:szCs w:val="32"/>
        </w:rPr>
        <w:t>%</w:t>
      </w:r>
      <w:r>
        <w:rPr>
          <w:rFonts w:hint="eastAsia" w:ascii="仿宋_GB2312" w:hAnsi="宋体" w:eastAsia="仿宋_GB2312" w:cs="Courier New"/>
          <w:sz w:val="32"/>
          <w:szCs w:val="32"/>
        </w:rPr>
        <w:t>；项目支出110万元，占30%；经营支出0万元，占0%。</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2017年财政拨款收支总决算363万元。与2016年相比，财政拨款收、支总计各增加130万元，增长38%。</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2017年一般公共预算财政拨款支出363万元，占支出合计的100%。与2016年相比，一般公共预算财政拨款支出增加130万元，增长38%。</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2017年度一般公共预算财政拨款支出363万元，主要用于以下方面：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支出363万元，占100%。</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2017年度一般公共预算财政拨款支出年初预算为363万元，支出决算为363万元，完成年初预算的100%。其中：</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年初预算为239万元，支出决算为239万元，完成年初预算的100%。</w:t>
      </w:r>
    </w:p>
    <w:p>
      <w:pPr>
        <w:numPr>
          <w:ilvl w:val="0"/>
          <w:numId w:val="5"/>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年初预算为124万元，支出决算为124万元，完成年初预算的100%。</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其他事项。</w:t>
      </w:r>
    </w:p>
    <w:p>
      <w:pPr>
        <w:adjustRightInd w:val="0"/>
        <w:snapToGrid w:val="0"/>
        <w:spacing w:line="360" w:lineRule="auto"/>
        <w:ind w:left="420" w:left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无</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2017年一般公共预算财政拨款基本支出363万元，其中：</w:t>
      </w:r>
      <w:r>
        <w:rPr>
          <w:rFonts w:hint="eastAsia" w:ascii="仿宋_GB2312" w:hAnsi="Times New Roman" w:eastAsia="仿宋_GB2312" w:cs="仿宋_GB2312"/>
          <w:bCs/>
          <w:spacing w:val="-1"/>
          <w:kern w:val="0"/>
          <w:sz w:val="32"/>
          <w:szCs w:val="32"/>
        </w:rPr>
        <w:t>人员经费253万元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主要包括：基本工资、津贴补贴、伙食补助费、绩效工资等；商品和服务支出110万元，主要包括：办公费、水电费、租赁费和差旅费等。</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_GB2312" w:hAnsi="宋体" w:cs="Courier New"/>
          <w:sz w:val="32"/>
          <w:szCs w:val="32"/>
        </w:rPr>
      </w:pPr>
      <w:r>
        <w:rPr>
          <w:rFonts w:hint="eastAsia" w:ascii="仿宋_GB2312" w:hAnsi="宋体" w:eastAsia="仿宋_GB2312" w:cs="Courier New"/>
          <w:sz w:val="32"/>
          <w:szCs w:val="32"/>
        </w:rPr>
        <w:t>2017年度“三公”经费财政拨款支出预算为6.58万元，支出决算为</w:t>
      </w:r>
      <w:r>
        <w:rPr>
          <w:rFonts w:hint="eastAsia" w:ascii="??_GB2312" w:hAnsi="宋体" w:cs="Courier New"/>
          <w:sz w:val="32"/>
          <w:szCs w:val="32"/>
        </w:rPr>
        <w:t>4.5</w:t>
      </w:r>
      <w:r>
        <w:rPr>
          <w:rFonts w:hint="eastAsia" w:ascii="仿宋_GB2312" w:hAnsi="宋体" w:eastAsia="仿宋_GB2312" w:cs="Courier New"/>
          <w:sz w:val="32"/>
          <w:szCs w:val="32"/>
        </w:rPr>
        <w:t>万元，完成预算的68%，其中：因公出国（境）费支出决算为0万元，完成预算的0%；公务用车购置及运行费支出决算为3.2万元，完成预算的91%；公务接待费支出决算为1.3万元，完成预算的42%。2017年度“三公”经费支出决算数小于预算数原因是大力压缩不必要的公务招待开支。</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2.08万元，下降32%，其中：因公出国（境）费支出决算增加0万元，增长0%；公务用车购置及运行费支出决算减少0.3万元，下降0.9%；公务接待费支出决算减少1.78万元，减少58%。无因公出国（境）费支出；公务用车购置及运行费支出减少的主要原因是减少不必要的汽车维护开销；公务接待费支出减少原因是大力压缩公务接待开支。</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2017年度“三公”经费财政拨款支出决算中，因公出国（境）费支出决算0万元，占0%；公务用车购置及运行费支出决算3.2万元，占71%；公务接待费支出决算1.3万元，占29%。具体情况如下：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支出3.2万元。其中：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支出3.2万元。</w:t>
      </w: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1辆，</w:t>
      </w:r>
      <w:bookmarkStart w:id="0" w:name="_GoBack"/>
      <w:bookmarkEnd w:id="0"/>
      <w:r>
        <w:rPr>
          <w:rFonts w:ascii="??_GB2312" w:hAnsi="宋体" w:eastAsia="Times New Roman" w:cs="Courier New"/>
          <w:sz w:val="32"/>
          <w:szCs w:val="32"/>
        </w:rPr>
        <w:t>主要用于车辆</w:t>
      </w:r>
      <w:r>
        <w:rPr>
          <w:rFonts w:hint="eastAsia" w:ascii="??_GB2312" w:hAnsi="宋体" w:cs="Courier New"/>
          <w:sz w:val="32"/>
          <w:szCs w:val="32"/>
        </w:rPr>
        <w:t>保险、</w:t>
      </w:r>
      <w:r>
        <w:rPr>
          <w:rFonts w:ascii="??_GB2312" w:hAnsi="宋体" w:eastAsia="Times New Roman" w:cs="Courier New"/>
          <w:sz w:val="32"/>
          <w:szCs w:val="32"/>
        </w:rPr>
        <w:t>维修和加油费。</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支出1.3万元。其中：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支出为1.3万元。主要用于日常公务接待。</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0"/>
        </w:numPr>
        <w:kinsoku w:val="0"/>
        <w:overflowPunct w:val="0"/>
        <w:autoSpaceDE w:val="0"/>
        <w:autoSpaceDN w:val="0"/>
        <w:adjustRightInd w:val="0"/>
        <w:snapToGrid w:val="0"/>
        <w:spacing w:line="360" w:lineRule="auto"/>
        <w:ind w:leftChars="200"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2018年</w:t>
      </w:r>
      <w:r>
        <w:rPr>
          <w:rFonts w:hint="eastAsia" w:ascii="楷体_GB2312" w:hAnsi="楷体_GB2312" w:eastAsia="楷体_GB2312" w:cs="楷体_GB2312"/>
          <w:sz w:val="32"/>
          <w:szCs w:val="32"/>
          <w:lang w:eastAsia="zh-CN"/>
        </w:rPr>
        <w:t>国资办</w:t>
      </w:r>
      <w:r>
        <w:rPr>
          <w:rFonts w:hint="eastAsia" w:ascii="楷体_GB2312" w:hAnsi="楷体_GB2312" w:eastAsia="楷体_GB2312" w:cs="楷体_GB2312"/>
          <w:sz w:val="32"/>
          <w:szCs w:val="32"/>
        </w:rPr>
        <w:t>没有开展项目预算绩效评价。</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无</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2017年度机关运行经费支出6.3万元，比2016年减少0.2万元，下降0.03</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left="420" w:left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 xml:space="preserve"> 无</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2017年期末，国资办共有车辆1辆，其中：一般公务用车1辆。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是指国资办用于保障机构正常运行、开展日常工作的基本支出。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p>
    <w:p>
      <w:pPr>
        <w:widowControl/>
        <w:adjustRightInd w:val="0"/>
        <w:snapToGrid w:val="0"/>
        <w:ind w:right="100"/>
        <w:jc w:val="left"/>
        <w:rPr>
          <w:rFonts w:ascii="隶书" w:hAnsi="隶书" w:eastAsia="隶书" w:cs="隶书"/>
          <w:sz w:val="48"/>
          <w:szCs w:val="48"/>
        </w:rPr>
      </w:pPr>
    </w:p>
    <w:p>
      <w:pPr>
        <w:widowControl/>
        <w:adjustRightInd w:val="0"/>
        <w:snapToGrid w:val="0"/>
        <w:ind w:right="100"/>
        <w:jc w:val="left"/>
        <w:rPr>
          <w:rFonts w:ascii="黑体" w:hAnsi="黑体" w:eastAsia="黑体"/>
          <w:sz w:val="32"/>
          <w:szCs w:val="32"/>
        </w:rPr>
      </w:pPr>
    </w:p>
    <w:tbl>
      <w:tblPr>
        <w:tblStyle w:val="6"/>
        <w:tblW w:w="10320" w:type="dxa"/>
        <w:tblInd w:w="-1051" w:type="dxa"/>
        <w:tblLayout w:type="fixed"/>
        <w:tblCellMar>
          <w:top w:w="15" w:type="dxa"/>
          <w:left w:w="15" w:type="dxa"/>
          <w:bottom w:w="15" w:type="dxa"/>
          <w:right w:w="15" w:type="dxa"/>
        </w:tblCellMar>
      </w:tblPr>
      <w:tblGrid>
        <w:gridCol w:w="707"/>
        <w:gridCol w:w="934"/>
        <w:gridCol w:w="711"/>
        <w:gridCol w:w="544"/>
        <w:gridCol w:w="353"/>
        <w:gridCol w:w="144"/>
        <w:gridCol w:w="97"/>
        <w:gridCol w:w="902"/>
        <w:gridCol w:w="236"/>
        <w:gridCol w:w="584"/>
        <w:gridCol w:w="179"/>
        <w:gridCol w:w="375"/>
        <w:gridCol w:w="624"/>
        <w:gridCol w:w="514"/>
        <w:gridCol w:w="157"/>
        <w:gridCol w:w="328"/>
        <w:gridCol w:w="65"/>
        <w:gridCol w:w="388"/>
        <w:gridCol w:w="200"/>
        <w:gridCol w:w="205"/>
        <w:gridCol w:w="141"/>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23"/>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2896" w:type="dxa"/>
            <w:gridSpan w:val="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353" w:type="dxa"/>
            <w:vAlign w:val="center"/>
          </w:tcPr>
          <w:p>
            <w:pPr>
              <w:rPr>
                <w:rFonts w:ascii="宋体" w:hAnsi="宋体" w:eastAsia="宋体" w:cs="宋体"/>
                <w:color w:val="000000"/>
                <w:sz w:val="16"/>
                <w:szCs w:val="16"/>
              </w:rPr>
            </w:pPr>
          </w:p>
        </w:tc>
        <w:tc>
          <w:tcPr>
            <w:tcW w:w="1963" w:type="dxa"/>
            <w:gridSpan w:val="5"/>
            <w:vAlign w:val="center"/>
          </w:tcPr>
          <w:p>
            <w:pPr>
              <w:rPr>
                <w:rFonts w:ascii="宋体" w:hAnsi="宋体" w:eastAsia="宋体" w:cs="宋体"/>
                <w:color w:val="000000"/>
                <w:sz w:val="16"/>
                <w:szCs w:val="16"/>
              </w:rPr>
            </w:pPr>
          </w:p>
        </w:tc>
        <w:tc>
          <w:tcPr>
            <w:tcW w:w="1849" w:type="dxa"/>
            <w:gridSpan w:val="5"/>
            <w:vAlign w:val="center"/>
          </w:tcPr>
          <w:p>
            <w:pPr>
              <w:rPr>
                <w:rFonts w:ascii="宋体" w:hAnsi="宋体" w:eastAsia="宋体" w:cs="宋体"/>
                <w:color w:val="000000"/>
                <w:sz w:val="16"/>
                <w:szCs w:val="16"/>
              </w:rPr>
            </w:pPr>
          </w:p>
        </w:tc>
        <w:tc>
          <w:tcPr>
            <w:tcW w:w="393" w:type="dxa"/>
            <w:gridSpan w:val="2"/>
            <w:vAlign w:val="center"/>
          </w:tcPr>
          <w:p>
            <w:pPr>
              <w:rPr>
                <w:rFonts w:ascii="宋体" w:hAnsi="宋体" w:eastAsia="宋体" w:cs="宋体"/>
                <w:color w:val="000000"/>
                <w:sz w:val="16"/>
                <w:szCs w:val="16"/>
              </w:rPr>
            </w:pPr>
          </w:p>
        </w:tc>
        <w:tc>
          <w:tcPr>
            <w:tcW w:w="2866" w:type="dxa"/>
            <w:gridSpan w:val="6"/>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tblLayout w:type="fixed"/>
          <w:tblCellMar>
            <w:top w:w="15" w:type="dxa"/>
            <w:left w:w="15" w:type="dxa"/>
            <w:bottom w:w="15" w:type="dxa"/>
            <w:right w:w="15" w:type="dxa"/>
          </w:tblCellMar>
        </w:tblPrEx>
        <w:trPr>
          <w:trHeight w:val="315" w:hRule="atLeast"/>
        </w:trPr>
        <w:tc>
          <w:tcPr>
            <w:tcW w:w="2896" w:type="dxa"/>
            <w:gridSpan w:val="4"/>
            <w:vAlign w:val="center"/>
          </w:tcPr>
          <w:p>
            <w:pPr>
              <w:rPr>
                <w:rFonts w:ascii="宋体" w:hAnsi="宋体" w:eastAsia="宋体" w:cs="宋体"/>
                <w:color w:val="000000"/>
                <w:sz w:val="16"/>
                <w:szCs w:val="16"/>
              </w:rPr>
            </w:pPr>
          </w:p>
        </w:tc>
        <w:tc>
          <w:tcPr>
            <w:tcW w:w="353" w:type="dxa"/>
            <w:vAlign w:val="center"/>
          </w:tcPr>
          <w:p>
            <w:pPr>
              <w:rPr>
                <w:rFonts w:ascii="宋体" w:hAnsi="宋体" w:eastAsia="宋体" w:cs="宋体"/>
                <w:color w:val="000000"/>
                <w:sz w:val="16"/>
                <w:szCs w:val="16"/>
              </w:rPr>
            </w:pPr>
          </w:p>
        </w:tc>
        <w:tc>
          <w:tcPr>
            <w:tcW w:w="1963" w:type="dxa"/>
            <w:gridSpan w:val="5"/>
            <w:vAlign w:val="center"/>
          </w:tcPr>
          <w:p>
            <w:pPr>
              <w:rPr>
                <w:rFonts w:ascii="宋体" w:hAnsi="宋体" w:eastAsia="宋体" w:cs="宋体"/>
                <w:color w:val="000000"/>
                <w:sz w:val="16"/>
                <w:szCs w:val="16"/>
              </w:rPr>
            </w:pPr>
          </w:p>
        </w:tc>
        <w:tc>
          <w:tcPr>
            <w:tcW w:w="1849" w:type="dxa"/>
            <w:gridSpan w:val="5"/>
            <w:vAlign w:val="center"/>
          </w:tcPr>
          <w:p>
            <w:pPr>
              <w:rPr>
                <w:rFonts w:ascii="宋体" w:hAnsi="宋体" w:eastAsia="宋体" w:cs="宋体"/>
                <w:color w:val="000000"/>
                <w:sz w:val="16"/>
                <w:szCs w:val="16"/>
              </w:rPr>
            </w:pPr>
          </w:p>
        </w:tc>
        <w:tc>
          <w:tcPr>
            <w:tcW w:w="393" w:type="dxa"/>
            <w:gridSpan w:val="2"/>
            <w:vAlign w:val="center"/>
          </w:tcPr>
          <w:p>
            <w:pPr>
              <w:rPr>
                <w:rFonts w:ascii="宋体" w:hAnsi="宋体" w:eastAsia="宋体" w:cs="宋体"/>
                <w:color w:val="000000"/>
                <w:sz w:val="16"/>
                <w:szCs w:val="16"/>
              </w:rPr>
            </w:pPr>
          </w:p>
        </w:tc>
        <w:tc>
          <w:tcPr>
            <w:tcW w:w="2866" w:type="dxa"/>
            <w:gridSpan w:val="6"/>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2" w:type="dxa"/>
            <w:gridSpan w:val="10"/>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5108" w:type="dxa"/>
            <w:gridSpan w:val="13"/>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tabs>
                <w:tab w:val="center" w:pos="966"/>
                <w:tab w:val="right" w:pos="2133"/>
              </w:tabs>
              <w:ind w:firstLine="160" w:firstLineChars="10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ab/>
            </w:r>
            <w:r>
              <w:rPr>
                <w:rFonts w:hint="eastAsia" w:ascii="宋体" w:hAnsi="宋体" w:eastAsia="宋体" w:cs="宋体"/>
                <w:color w:val="000000"/>
                <w:kern w:val="0"/>
                <w:sz w:val="16"/>
                <w:szCs w:val="16"/>
              </w:rPr>
              <w:t>363</w:t>
            </w:r>
            <w:r>
              <w:rPr>
                <w:rFonts w:hint="eastAsia" w:ascii="宋体" w:hAnsi="宋体" w:eastAsia="宋体" w:cs="宋体"/>
                <w:color w:val="000000"/>
                <w:kern w:val="0"/>
                <w:sz w:val="16"/>
                <w:szCs w:val="16"/>
              </w:rPr>
              <w:tab/>
            </w:r>
            <w:r>
              <w:rPr>
                <w:rFonts w:hint="eastAsia" w:ascii="宋体" w:hAnsi="宋体" w:eastAsia="宋体" w:cs="宋体"/>
                <w:color w:val="000000"/>
                <w:kern w:val="0"/>
                <w:sz w:val="16"/>
                <w:szCs w:val="16"/>
              </w:rPr>
              <w:t xml:space="preserve"> </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363</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24</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363</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52</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363</w:t>
            </w: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结余分配</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2073"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6" w:type="dxa"/>
            <w:gridSpan w:val="4"/>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28</w:t>
            </w:r>
          </w:p>
        </w:tc>
        <w:tc>
          <w:tcPr>
            <w:tcW w:w="1963" w:type="dxa"/>
            <w:gridSpan w:val="5"/>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363 </w:t>
            </w:r>
          </w:p>
        </w:tc>
        <w:tc>
          <w:tcPr>
            <w:tcW w:w="2630" w:type="dxa"/>
            <w:gridSpan w:val="8"/>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56</w:t>
            </w:r>
          </w:p>
        </w:tc>
        <w:tc>
          <w:tcPr>
            <w:tcW w:w="2073" w:type="dxa"/>
            <w:gridSpan w:val="3"/>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363</w:t>
            </w:r>
          </w:p>
        </w:tc>
      </w:tr>
      <w:tr>
        <w:tblPrEx>
          <w:tblLayout w:type="fixed"/>
          <w:tblCellMar>
            <w:top w:w="15" w:type="dxa"/>
            <w:left w:w="15" w:type="dxa"/>
            <w:bottom w:w="15" w:type="dxa"/>
            <w:right w:w="15" w:type="dxa"/>
          </w:tblCellMar>
        </w:tblPrEx>
        <w:trPr>
          <w:trHeight w:val="555" w:hRule="atLeast"/>
        </w:trPr>
        <w:tc>
          <w:tcPr>
            <w:tcW w:w="10320" w:type="dxa"/>
            <w:gridSpan w:val="23"/>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注：本表反映部门本年度的总收支和年末结转结余情况。</w:t>
            </w:r>
          </w:p>
        </w:tc>
      </w:tr>
      <w:tr>
        <w:tblPrEx>
          <w:tblLayout w:type="fixed"/>
          <w:tblCellMar>
            <w:top w:w="15" w:type="dxa"/>
            <w:left w:w="15" w:type="dxa"/>
            <w:bottom w:w="15" w:type="dxa"/>
            <w:right w:w="15" w:type="dxa"/>
          </w:tblCellMar>
        </w:tblPrEx>
        <w:trPr>
          <w:trHeight w:val="375" w:hRule="atLeast"/>
        </w:trPr>
        <w:tc>
          <w:tcPr>
            <w:tcW w:w="10320" w:type="dxa"/>
            <w:gridSpan w:val="23"/>
            <w:vAlign w:val="center"/>
          </w:tcPr>
          <w:p>
            <w:pPr>
              <w:widowControl/>
              <w:jc w:val="center"/>
              <w:textAlignment w:val="center"/>
              <w:rPr>
                <w:rFonts w:ascii="黑体" w:hAnsi="宋体" w:eastAsia="黑体" w:cs="黑体"/>
                <w:color w:val="000000"/>
                <w:kern w:val="0"/>
                <w:sz w:val="28"/>
                <w:szCs w:val="28"/>
              </w:rPr>
            </w:pPr>
          </w:p>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315" w:hRule="atLeast"/>
        </w:trPr>
        <w:tc>
          <w:tcPr>
            <w:tcW w:w="1641" w:type="dxa"/>
            <w:gridSpan w:val="2"/>
            <w:vAlign w:val="center"/>
          </w:tcPr>
          <w:p>
            <w:pPr>
              <w:rPr>
                <w:rFonts w:ascii="宋体" w:hAnsi="宋体" w:eastAsia="宋体" w:cs="宋体"/>
                <w:color w:val="000000"/>
                <w:sz w:val="16"/>
                <w:szCs w:val="16"/>
              </w:rPr>
            </w:pPr>
          </w:p>
        </w:tc>
        <w:tc>
          <w:tcPr>
            <w:tcW w:w="711" w:type="dxa"/>
            <w:vAlign w:val="center"/>
          </w:tcPr>
          <w:p>
            <w:pPr>
              <w:rPr>
                <w:rFonts w:ascii="宋体" w:hAnsi="宋体" w:eastAsia="宋体" w:cs="宋体"/>
                <w:color w:val="000000"/>
                <w:sz w:val="16"/>
                <w:szCs w:val="16"/>
              </w:rPr>
            </w:pPr>
          </w:p>
        </w:tc>
        <w:tc>
          <w:tcPr>
            <w:tcW w:w="1041" w:type="dxa"/>
            <w:gridSpan w:val="3"/>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3"/>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3"/>
            <w:vAlign w:val="center"/>
          </w:tcPr>
          <w:p>
            <w:pPr>
              <w:rPr>
                <w:rFonts w:ascii="宋体" w:hAnsi="宋体" w:eastAsia="宋体" w:cs="宋体"/>
                <w:color w:val="000000"/>
                <w:sz w:val="16"/>
                <w:szCs w:val="16"/>
              </w:rPr>
            </w:pPr>
          </w:p>
        </w:tc>
        <w:tc>
          <w:tcPr>
            <w:tcW w:w="999" w:type="dxa"/>
            <w:gridSpan w:val="5"/>
            <w:vAlign w:val="center"/>
          </w:tcPr>
          <w:p>
            <w:pPr>
              <w:rPr>
                <w:rFonts w:ascii="宋体" w:hAnsi="宋体" w:eastAsia="宋体" w:cs="宋体"/>
                <w:color w:val="000000"/>
                <w:sz w:val="16"/>
                <w:szCs w:val="16"/>
              </w:rPr>
            </w:pPr>
          </w:p>
        </w:tc>
        <w:tc>
          <w:tcPr>
            <w:tcW w:w="193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公开02表</w:t>
            </w:r>
          </w:p>
        </w:tc>
      </w:tr>
      <w:tr>
        <w:tblPrEx>
          <w:tblLayout w:type="fixed"/>
          <w:tblCellMar>
            <w:top w:w="15" w:type="dxa"/>
            <w:left w:w="15" w:type="dxa"/>
            <w:bottom w:w="15" w:type="dxa"/>
            <w:right w:w="15" w:type="dxa"/>
          </w:tblCellMar>
        </w:tblPrEx>
        <w:trPr>
          <w:trHeight w:val="315" w:hRule="atLeast"/>
        </w:trPr>
        <w:tc>
          <w:tcPr>
            <w:tcW w:w="1641" w:type="dxa"/>
            <w:gridSpan w:val="2"/>
            <w:vAlign w:val="center"/>
          </w:tcPr>
          <w:p>
            <w:pPr>
              <w:rPr>
                <w:rFonts w:ascii="宋体" w:hAnsi="宋体" w:eastAsia="宋体" w:cs="宋体"/>
                <w:color w:val="000000"/>
                <w:sz w:val="16"/>
                <w:szCs w:val="16"/>
              </w:rPr>
            </w:pPr>
          </w:p>
        </w:tc>
        <w:tc>
          <w:tcPr>
            <w:tcW w:w="711" w:type="dxa"/>
            <w:vAlign w:val="center"/>
          </w:tcPr>
          <w:p>
            <w:pPr>
              <w:rPr>
                <w:rFonts w:ascii="宋体" w:hAnsi="宋体" w:eastAsia="宋体" w:cs="宋体"/>
                <w:color w:val="000000"/>
                <w:sz w:val="16"/>
                <w:szCs w:val="16"/>
              </w:rPr>
            </w:pPr>
          </w:p>
        </w:tc>
        <w:tc>
          <w:tcPr>
            <w:tcW w:w="1041" w:type="dxa"/>
            <w:gridSpan w:val="3"/>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3"/>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3"/>
            <w:vAlign w:val="center"/>
          </w:tcPr>
          <w:p>
            <w:pPr>
              <w:rPr>
                <w:rFonts w:ascii="宋体" w:hAnsi="宋体" w:eastAsia="宋体" w:cs="宋体"/>
                <w:color w:val="000000"/>
                <w:sz w:val="16"/>
                <w:szCs w:val="16"/>
              </w:rPr>
            </w:pPr>
          </w:p>
        </w:tc>
        <w:tc>
          <w:tcPr>
            <w:tcW w:w="999" w:type="dxa"/>
            <w:gridSpan w:val="5"/>
            <w:vAlign w:val="center"/>
          </w:tcPr>
          <w:p>
            <w:pPr>
              <w:rPr>
                <w:rFonts w:ascii="宋体" w:hAnsi="宋体" w:eastAsia="宋体" w:cs="宋体"/>
                <w:color w:val="000000"/>
                <w:sz w:val="16"/>
                <w:szCs w:val="16"/>
              </w:rPr>
            </w:pPr>
          </w:p>
        </w:tc>
        <w:tc>
          <w:tcPr>
            <w:tcW w:w="193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1138"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财政拨款收入</w:t>
            </w:r>
          </w:p>
        </w:tc>
        <w:tc>
          <w:tcPr>
            <w:tcW w:w="1138"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事业收入</w:t>
            </w:r>
          </w:p>
        </w:tc>
        <w:tc>
          <w:tcPr>
            <w:tcW w:w="1138" w:type="dxa"/>
            <w:gridSpan w:val="5"/>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经营收入</w:t>
            </w:r>
          </w:p>
        </w:tc>
        <w:tc>
          <w:tcPr>
            <w:tcW w:w="1138"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1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38"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38"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38" w:type="dxa"/>
            <w:gridSpan w:val="5"/>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38"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363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363</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0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color w:val="000000"/>
                <w:kern w:val="0"/>
                <w:sz w:val="16"/>
                <w:szCs w:val="16"/>
              </w:rPr>
              <w:t>2150701</w:t>
            </w:r>
          </w:p>
        </w:tc>
        <w:tc>
          <w:tcPr>
            <w:tcW w:w="1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color w:val="000000"/>
                <w:kern w:val="0"/>
                <w:sz w:val="16"/>
                <w:szCs w:val="16"/>
              </w:rPr>
              <w:t>行政运行</w:t>
            </w: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color w:val="000000"/>
                <w:sz w:val="16"/>
                <w:szCs w:val="16"/>
              </w:rPr>
              <w:t>239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color w:val="000000"/>
                <w:sz w:val="16"/>
                <w:szCs w:val="16"/>
              </w:rPr>
              <w:t>239</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0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2150799</w:t>
            </w:r>
          </w:p>
        </w:tc>
        <w:tc>
          <w:tcPr>
            <w:tcW w:w="1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其他国有资产监管支出</w:t>
            </w: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124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124</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0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0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0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0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0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0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7"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7"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164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38" w:type="dxa"/>
            <w:gridSpan w:val="4"/>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5"/>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23"/>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hAnsi="宋体" w:eastAsia="宋体" w:cs="宋体"/>
                <w:color w:val="000000"/>
                <w:sz w:val="16"/>
                <w:szCs w:val="16"/>
              </w:rPr>
            </w:pPr>
          </w:p>
        </w:tc>
        <w:tc>
          <w:tcPr>
            <w:tcW w:w="1519" w:type="dxa"/>
            <w:vAlign w:val="center"/>
          </w:tcPr>
          <w:p>
            <w:pPr>
              <w:rPr>
                <w:rFonts w:ascii="宋体" w:hAnsi="宋体" w:eastAsia="宋体" w:cs="宋体"/>
                <w:color w:val="000000"/>
                <w:sz w:val="16"/>
                <w:szCs w:val="16"/>
              </w:rPr>
            </w:pPr>
          </w:p>
        </w:tc>
        <w:tc>
          <w:tcPr>
            <w:tcW w:w="116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1947"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hAnsi="宋体" w:eastAsia="宋体" w:cs="宋体"/>
                <w:color w:val="000000"/>
                <w:sz w:val="16"/>
                <w:szCs w:val="16"/>
              </w:rPr>
            </w:pPr>
          </w:p>
        </w:tc>
        <w:tc>
          <w:tcPr>
            <w:tcW w:w="1519" w:type="dxa"/>
            <w:vAlign w:val="center"/>
          </w:tcPr>
          <w:p>
            <w:pPr>
              <w:rPr>
                <w:rFonts w:ascii="宋体" w:hAnsi="宋体" w:eastAsia="宋体" w:cs="宋体"/>
                <w:color w:val="000000"/>
                <w:sz w:val="16"/>
                <w:szCs w:val="16"/>
              </w:rPr>
            </w:pPr>
          </w:p>
        </w:tc>
        <w:tc>
          <w:tcPr>
            <w:tcW w:w="116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1947"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363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363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color w:val="000000"/>
                <w:kern w:val="0"/>
                <w:sz w:val="16"/>
                <w:szCs w:val="16"/>
              </w:rPr>
              <w:t>2150701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color w:val="000000"/>
                <w:kern w:val="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color w:val="000000"/>
                <w:sz w:val="16"/>
                <w:szCs w:val="16"/>
              </w:rPr>
              <w:t>239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color w:val="000000"/>
                <w:kern w:val="0"/>
                <w:sz w:val="16"/>
                <w:szCs w:val="16"/>
              </w:rPr>
              <w:t>239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rPr>
              <w:t>2150799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rPr>
              <w:t>其他国有资产监管支出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124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124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51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102" w:type="dxa"/>
            <w:gridSpan w:val="2"/>
            <w:vAlign w:val="center"/>
          </w:tcPr>
          <w:p>
            <w:pPr>
              <w:rPr>
                <w:rFonts w:ascii="宋体" w:hAnsi="宋体" w:eastAsia="宋体" w:cs="宋体"/>
                <w:color w:val="000000"/>
                <w:sz w:val="16"/>
                <w:szCs w:val="16"/>
              </w:rPr>
            </w:pPr>
          </w:p>
        </w:tc>
        <w:tc>
          <w:tcPr>
            <w:tcW w:w="1746"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5"/>
            <w:vAlign w:val="center"/>
          </w:tcPr>
          <w:p>
            <w:pPr>
              <w:jc w:val="right"/>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2420" w:type="dxa"/>
            <w:gridSpan w:val="4"/>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102" w:type="dxa"/>
            <w:gridSpan w:val="2"/>
            <w:vAlign w:val="center"/>
          </w:tcPr>
          <w:p>
            <w:pPr>
              <w:rPr>
                <w:rFonts w:ascii="宋体" w:hAnsi="宋体" w:eastAsia="宋体" w:cs="宋体"/>
                <w:color w:val="000000"/>
                <w:sz w:val="16"/>
                <w:szCs w:val="16"/>
              </w:rPr>
            </w:pPr>
          </w:p>
        </w:tc>
        <w:tc>
          <w:tcPr>
            <w:tcW w:w="1746"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5"/>
            <w:vAlign w:val="center"/>
          </w:tcPr>
          <w:p>
            <w:pPr>
              <w:jc w:val="right"/>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2420" w:type="dxa"/>
            <w:gridSpan w:val="4"/>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363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363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363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363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363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363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363 </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363 </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363 </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注：本表反映部门本年度一般公共预算财政拨款和政府性基金预算财政拨款的总收入和年末结转结余情况。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宋体" w:hAnsi="宋体" w:eastAsia="宋体" w:cs="宋体"/>
                <w:color w:val="000000"/>
                <w:sz w:val="16"/>
                <w:szCs w:val="16"/>
              </w:rPr>
            </w:pPr>
          </w:p>
        </w:tc>
        <w:tc>
          <w:tcPr>
            <w:tcW w:w="1800" w:type="dxa"/>
            <w:gridSpan w:val="5"/>
            <w:vAlign w:val="center"/>
          </w:tcPr>
          <w:p>
            <w:pPr>
              <w:rPr>
                <w:rFonts w:ascii="宋体" w:hAnsi="宋体" w:eastAsia="宋体" w:cs="宋体"/>
                <w:color w:val="000000"/>
                <w:sz w:val="16"/>
                <w:szCs w:val="16"/>
              </w:rPr>
            </w:pPr>
          </w:p>
        </w:tc>
        <w:tc>
          <w:tcPr>
            <w:tcW w:w="2325" w:type="dxa"/>
            <w:gridSpan w:val="6"/>
            <w:vAlign w:val="center"/>
          </w:tcPr>
          <w:p>
            <w:pPr>
              <w:rPr>
                <w:rFonts w:ascii="宋体" w:hAnsi="宋体" w:eastAsia="宋体" w:cs="宋体"/>
                <w:color w:val="000000"/>
                <w:sz w:val="16"/>
                <w:szCs w:val="16"/>
              </w:rPr>
            </w:pPr>
          </w:p>
        </w:tc>
        <w:tc>
          <w:tcPr>
            <w:tcW w:w="1575" w:type="dxa"/>
            <w:gridSpan w:val="3"/>
            <w:vAlign w:val="center"/>
          </w:tcPr>
          <w:p>
            <w:pPr>
              <w:rPr>
                <w:rFonts w:ascii="宋体" w:hAnsi="宋体" w:eastAsia="宋体" w:cs="宋体"/>
                <w:color w:val="000000"/>
                <w:sz w:val="16"/>
                <w:szCs w:val="16"/>
              </w:rPr>
            </w:pPr>
          </w:p>
        </w:tc>
        <w:tc>
          <w:tcPr>
            <w:tcW w:w="2580" w:type="dxa"/>
            <w:gridSpan w:val="5"/>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宋体" w:hAnsi="宋体" w:eastAsia="宋体" w:cs="宋体"/>
                <w:color w:val="000000"/>
                <w:sz w:val="16"/>
                <w:szCs w:val="16"/>
              </w:rPr>
            </w:pPr>
          </w:p>
        </w:tc>
        <w:tc>
          <w:tcPr>
            <w:tcW w:w="1800" w:type="dxa"/>
            <w:gridSpan w:val="5"/>
            <w:vAlign w:val="center"/>
          </w:tcPr>
          <w:p>
            <w:pPr>
              <w:rPr>
                <w:rFonts w:ascii="宋体" w:hAnsi="宋体" w:eastAsia="宋体" w:cs="宋体"/>
                <w:color w:val="000000"/>
                <w:sz w:val="16"/>
                <w:szCs w:val="16"/>
              </w:rPr>
            </w:pPr>
          </w:p>
        </w:tc>
        <w:tc>
          <w:tcPr>
            <w:tcW w:w="2325" w:type="dxa"/>
            <w:gridSpan w:val="6"/>
            <w:vAlign w:val="center"/>
          </w:tcPr>
          <w:p>
            <w:pPr>
              <w:rPr>
                <w:rFonts w:ascii="宋体" w:hAnsi="宋体" w:eastAsia="宋体" w:cs="宋体"/>
                <w:color w:val="000000"/>
                <w:sz w:val="16"/>
                <w:szCs w:val="16"/>
              </w:rPr>
            </w:pPr>
          </w:p>
        </w:tc>
        <w:tc>
          <w:tcPr>
            <w:tcW w:w="1575" w:type="dxa"/>
            <w:gridSpan w:val="3"/>
            <w:vAlign w:val="center"/>
          </w:tcPr>
          <w:p>
            <w:pPr>
              <w:rPr>
                <w:rFonts w:ascii="宋体" w:hAnsi="宋体" w:eastAsia="宋体" w:cs="宋体"/>
                <w:color w:val="000000"/>
                <w:sz w:val="16"/>
                <w:szCs w:val="16"/>
              </w:rPr>
            </w:pPr>
          </w:p>
        </w:tc>
        <w:tc>
          <w:tcPr>
            <w:tcW w:w="2580" w:type="dxa"/>
            <w:gridSpan w:val="5"/>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363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363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color w:val="000000"/>
                <w:kern w:val="0"/>
                <w:sz w:val="16"/>
                <w:szCs w:val="16"/>
              </w:rPr>
              <w:t>2150701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color w:val="000000"/>
                <w:kern w:val="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color w:val="000000"/>
                <w:sz w:val="16"/>
                <w:szCs w:val="16"/>
              </w:rPr>
              <w:t>239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color w:val="000000"/>
                <w:sz w:val="16"/>
                <w:szCs w:val="16"/>
              </w:rPr>
              <w:t>239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2150799</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其他国有资产监管支出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124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124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6"/>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900"/>
        <w:gridCol w:w="93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568"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568"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253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110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219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4.5</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0.0173</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0.0112</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100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1.2715</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3.2</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16"/>
                <w:szCs w:val="16"/>
              </w:rPr>
            </w:pPr>
          </w:p>
        </w:tc>
      </w:tr>
      <w:tr>
        <w:tblPrEx>
          <w:tblLayout w:type="fixed"/>
        </w:tblPrEx>
        <w:trPr>
          <w:trHeight w:val="477" w:hRule="atLeast"/>
        </w:trPr>
        <w:tc>
          <w:tcPr>
            <w:tcW w:w="1036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80" w:type="dxa"/>
        <w:tblInd w:w="-876" w:type="dxa"/>
        <w:tblLayout w:type="fixed"/>
        <w:tblCellMar>
          <w:top w:w="15" w:type="dxa"/>
          <w:left w:w="15" w:type="dxa"/>
          <w:bottom w:w="15" w:type="dxa"/>
          <w:right w:w="15" w:type="dxa"/>
        </w:tblCellMar>
      </w:tblPr>
      <w:tblGrid>
        <w:gridCol w:w="945"/>
        <w:gridCol w:w="717"/>
        <w:gridCol w:w="1608"/>
        <w:gridCol w:w="1155"/>
        <w:gridCol w:w="1140"/>
        <w:gridCol w:w="1215"/>
        <w:gridCol w:w="288"/>
        <w:gridCol w:w="876"/>
        <w:gridCol w:w="51"/>
        <w:gridCol w:w="1215"/>
        <w:gridCol w:w="1170"/>
      </w:tblGrid>
      <w:tr>
        <w:tblPrEx>
          <w:tblLayout w:type="fixed"/>
          <w:tblCellMar>
            <w:top w:w="15" w:type="dxa"/>
            <w:left w:w="15" w:type="dxa"/>
            <w:bottom w:w="15" w:type="dxa"/>
            <w:right w:w="15" w:type="dxa"/>
          </w:tblCellMar>
        </w:tblPrEx>
        <w:trPr>
          <w:trHeight w:val="375" w:hRule="atLeast"/>
        </w:trPr>
        <w:tc>
          <w:tcPr>
            <w:tcW w:w="10380" w:type="dxa"/>
            <w:gridSpan w:val="11"/>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662" w:type="dxa"/>
            <w:gridSpan w:val="2"/>
            <w:vAlign w:val="center"/>
          </w:tcPr>
          <w:p>
            <w:pPr>
              <w:rPr>
                <w:rFonts w:ascii="宋体" w:hAnsi="宋体" w:eastAsia="宋体" w:cs="宋体"/>
                <w:color w:val="000000"/>
                <w:sz w:val="16"/>
                <w:szCs w:val="16"/>
              </w:rPr>
            </w:pPr>
          </w:p>
        </w:tc>
        <w:tc>
          <w:tcPr>
            <w:tcW w:w="1608" w:type="dxa"/>
            <w:vAlign w:val="center"/>
          </w:tcPr>
          <w:p>
            <w:pPr>
              <w:rPr>
                <w:rFonts w:ascii="宋体" w:hAnsi="宋体" w:eastAsia="宋体" w:cs="宋体"/>
                <w:color w:val="000000"/>
                <w:sz w:val="16"/>
                <w:szCs w:val="16"/>
              </w:rPr>
            </w:pPr>
          </w:p>
        </w:tc>
        <w:tc>
          <w:tcPr>
            <w:tcW w:w="1155" w:type="dxa"/>
            <w:vAlign w:val="center"/>
          </w:tcPr>
          <w:p>
            <w:pPr>
              <w:rPr>
                <w:rFonts w:ascii="宋体" w:hAnsi="宋体" w:eastAsia="宋体" w:cs="宋体"/>
                <w:color w:val="000000"/>
                <w:sz w:val="16"/>
                <w:szCs w:val="16"/>
              </w:rPr>
            </w:pPr>
          </w:p>
        </w:tc>
        <w:tc>
          <w:tcPr>
            <w:tcW w:w="1140" w:type="dxa"/>
            <w:vAlign w:val="center"/>
          </w:tcPr>
          <w:p>
            <w:pPr>
              <w:rPr>
                <w:rFonts w:ascii="宋体" w:hAnsi="宋体" w:eastAsia="宋体" w:cs="宋体"/>
                <w:color w:val="000000"/>
                <w:sz w:val="16"/>
                <w:szCs w:val="16"/>
              </w:rPr>
            </w:pPr>
          </w:p>
        </w:tc>
        <w:tc>
          <w:tcPr>
            <w:tcW w:w="1503" w:type="dxa"/>
            <w:gridSpan w:val="2"/>
            <w:vAlign w:val="center"/>
          </w:tcPr>
          <w:p>
            <w:pPr>
              <w:rPr>
                <w:rFonts w:ascii="宋体" w:hAnsi="宋体" w:eastAsia="宋体" w:cs="宋体"/>
                <w:color w:val="000000"/>
                <w:sz w:val="16"/>
                <w:szCs w:val="16"/>
              </w:rPr>
            </w:pPr>
          </w:p>
        </w:tc>
        <w:tc>
          <w:tcPr>
            <w:tcW w:w="876" w:type="dxa"/>
            <w:vAlign w:val="center"/>
          </w:tcPr>
          <w:p>
            <w:pPr>
              <w:rPr>
                <w:rFonts w:ascii="宋体" w:hAnsi="宋体" w:eastAsia="宋体" w:cs="宋体"/>
                <w:color w:val="000000"/>
                <w:sz w:val="16"/>
                <w:szCs w:val="16"/>
              </w:rPr>
            </w:pPr>
          </w:p>
        </w:tc>
        <w:tc>
          <w:tcPr>
            <w:tcW w:w="1266" w:type="dxa"/>
            <w:gridSpan w:val="2"/>
            <w:vAlign w:val="center"/>
          </w:tcPr>
          <w:p>
            <w:pPr>
              <w:rPr>
                <w:rFonts w:ascii="宋体" w:hAnsi="宋体" w:eastAsia="宋体" w:cs="宋体"/>
                <w:color w:val="000000"/>
                <w:sz w:val="16"/>
                <w:szCs w:val="16"/>
              </w:rPr>
            </w:pPr>
          </w:p>
        </w:tc>
        <w:tc>
          <w:tcPr>
            <w:tcW w:w="117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公开07表</w:t>
            </w:r>
          </w:p>
        </w:tc>
      </w:tr>
      <w:tr>
        <w:tblPrEx>
          <w:tblLayout w:type="fixed"/>
          <w:tblCellMar>
            <w:top w:w="15" w:type="dxa"/>
            <w:left w:w="15" w:type="dxa"/>
            <w:bottom w:w="15" w:type="dxa"/>
            <w:right w:w="15" w:type="dxa"/>
          </w:tblCellMar>
        </w:tblPrEx>
        <w:trPr>
          <w:trHeight w:val="270" w:hRule="atLeast"/>
        </w:trPr>
        <w:tc>
          <w:tcPr>
            <w:tcW w:w="1662" w:type="dxa"/>
            <w:gridSpan w:val="2"/>
            <w:vAlign w:val="center"/>
          </w:tcPr>
          <w:p>
            <w:pPr>
              <w:rPr>
                <w:rFonts w:ascii="宋体" w:hAnsi="宋体" w:eastAsia="宋体" w:cs="宋体"/>
                <w:color w:val="000000"/>
                <w:sz w:val="16"/>
                <w:szCs w:val="16"/>
              </w:rPr>
            </w:pPr>
          </w:p>
        </w:tc>
        <w:tc>
          <w:tcPr>
            <w:tcW w:w="1608" w:type="dxa"/>
            <w:vAlign w:val="center"/>
          </w:tcPr>
          <w:p>
            <w:pPr>
              <w:rPr>
                <w:rFonts w:ascii="宋体" w:hAnsi="宋体" w:eastAsia="宋体" w:cs="宋体"/>
                <w:color w:val="000000"/>
                <w:sz w:val="16"/>
                <w:szCs w:val="16"/>
              </w:rPr>
            </w:pPr>
          </w:p>
        </w:tc>
        <w:tc>
          <w:tcPr>
            <w:tcW w:w="1155" w:type="dxa"/>
            <w:vAlign w:val="center"/>
          </w:tcPr>
          <w:p>
            <w:pPr>
              <w:rPr>
                <w:rFonts w:ascii="宋体" w:hAnsi="宋体" w:eastAsia="宋体" w:cs="宋体"/>
                <w:color w:val="000000"/>
                <w:sz w:val="16"/>
                <w:szCs w:val="16"/>
              </w:rPr>
            </w:pPr>
          </w:p>
        </w:tc>
        <w:tc>
          <w:tcPr>
            <w:tcW w:w="1140" w:type="dxa"/>
            <w:vAlign w:val="center"/>
          </w:tcPr>
          <w:p>
            <w:pPr>
              <w:rPr>
                <w:rFonts w:ascii="宋体" w:hAnsi="宋体" w:eastAsia="宋体" w:cs="宋体"/>
                <w:color w:val="000000"/>
                <w:sz w:val="16"/>
                <w:szCs w:val="16"/>
              </w:rPr>
            </w:pPr>
          </w:p>
        </w:tc>
        <w:tc>
          <w:tcPr>
            <w:tcW w:w="1503" w:type="dxa"/>
            <w:gridSpan w:val="2"/>
            <w:vAlign w:val="center"/>
          </w:tcPr>
          <w:p>
            <w:pPr>
              <w:rPr>
                <w:rFonts w:ascii="宋体" w:hAnsi="宋体" w:eastAsia="宋体" w:cs="宋体"/>
                <w:color w:val="000000"/>
                <w:sz w:val="16"/>
                <w:szCs w:val="16"/>
              </w:rPr>
            </w:pPr>
          </w:p>
        </w:tc>
        <w:tc>
          <w:tcPr>
            <w:tcW w:w="876" w:type="dxa"/>
            <w:vAlign w:val="center"/>
          </w:tcPr>
          <w:p>
            <w:pPr>
              <w:rPr>
                <w:rFonts w:ascii="宋体" w:hAnsi="宋体" w:eastAsia="宋体" w:cs="宋体"/>
                <w:color w:val="000000"/>
                <w:sz w:val="16"/>
                <w:szCs w:val="16"/>
              </w:rPr>
            </w:pPr>
          </w:p>
        </w:tc>
        <w:tc>
          <w:tcPr>
            <w:tcW w:w="1266" w:type="dxa"/>
            <w:gridSpan w:val="2"/>
            <w:vAlign w:val="center"/>
          </w:tcPr>
          <w:p>
            <w:pPr>
              <w:rPr>
                <w:rFonts w:ascii="宋体" w:hAnsi="宋体" w:eastAsia="宋体" w:cs="宋体"/>
                <w:color w:val="000000"/>
                <w:sz w:val="16"/>
                <w:szCs w:val="16"/>
              </w:rPr>
            </w:pPr>
          </w:p>
        </w:tc>
        <w:tc>
          <w:tcPr>
            <w:tcW w:w="117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27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15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14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645"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17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09"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5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17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blPrEx>
          <w:tblLayout w:type="fixed"/>
        </w:tblPrEx>
        <w:trPr>
          <w:trHeight w:val="285" w:hRule="atLeast"/>
        </w:trPr>
        <w:tc>
          <w:tcPr>
            <w:tcW w:w="327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27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70" w:hRule="atLeast"/>
        </w:trPr>
        <w:tc>
          <w:tcPr>
            <w:tcW w:w="94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2320499</w:t>
            </w:r>
          </w:p>
        </w:tc>
        <w:tc>
          <w:tcPr>
            <w:tcW w:w="2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其他政府性基金债务付息支出</w:t>
            </w:r>
          </w:p>
        </w:tc>
        <w:tc>
          <w:tcPr>
            <w:tcW w:w="115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1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10380" w:type="dxa"/>
            <w:gridSpan w:val="1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blPrEx>
          <w:tblLayout w:type="fixed"/>
        </w:tblPrEx>
        <w:trPr>
          <w:trHeight w:val="285" w:hRule="atLeast"/>
        </w:trPr>
        <w:tc>
          <w:tcPr>
            <w:tcW w:w="10380" w:type="dxa"/>
            <w:gridSpan w:val="11"/>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kern w:val="0"/>
                <w:sz w:val="20"/>
                <w:szCs w:val="20"/>
              </w:rPr>
              <w:t>说明：国资办没有政府性基金收入，也没有使用政府性基金安排的支出，故本表无数据。</w:t>
            </w:r>
          </w:p>
        </w:tc>
      </w:tr>
    </w:tbl>
    <w:p>
      <w:pPr>
        <w:widowControl/>
        <w:adjustRightInd w:val="0"/>
        <w:snapToGrid w:val="0"/>
        <w:ind w:right="100"/>
        <w:jc w:val="left"/>
        <w:rPr>
          <w:rFonts w:ascii="方正小标宋简体" w:hAnsi="Times New Roman" w:eastAsia="方正小标宋简体"/>
          <w:sz w:val="36"/>
          <w:szCs w:val="36"/>
        </w:rPr>
      </w:pPr>
    </w:p>
    <w:p>
      <w:pPr>
        <w:adjustRightInd w:val="0"/>
        <w:snapToGrid w:val="0"/>
        <w:spacing w:line="590" w:lineRule="exact"/>
        <w:jc w:val="left"/>
        <w:rPr>
          <w:rFonts w:ascii="黑体" w:hAnsi="仿宋_GB2312" w:eastAsia="黑体" w:cs="仿宋_GB2312"/>
          <w:sz w:val="32"/>
          <w:szCs w:val="32"/>
        </w:rPr>
        <w:sectPr>
          <w:pgSz w:w="11906" w:h="16838"/>
          <w:pgMar w:top="1440" w:right="1531" w:bottom="1440" w:left="1587" w:header="851" w:footer="992" w:gutter="0"/>
          <w:pgNumType w:fmt="numberInDash"/>
          <w:cols w:space="720"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83"/>
        <w:gridCol w:w="853"/>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宋体" w:hAnsi="宋体" w:eastAsia="宋体" w:cs="宋体"/>
                <w:color w:val="000000"/>
                <w:sz w:val="16"/>
                <w:szCs w:val="16"/>
              </w:rPr>
            </w:pPr>
          </w:p>
        </w:tc>
        <w:tc>
          <w:tcPr>
            <w:tcW w:w="693" w:type="dxa"/>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24" w:type="dxa"/>
            <w:vAlign w:val="center"/>
          </w:tcPr>
          <w:p>
            <w:pPr>
              <w:rPr>
                <w:rFonts w:ascii="宋体" w:hAnsi="宋体" w:eastAsia="宋体" w:cs="宋体"/>
                <w:color w:val="000000"/>
                <w:sz w:val="16"/>
                <w:szCs w:val="16"/>
              </w:rPr>
            </w:pPr>
          </w:p>
        </w:tc>
        <w:tc>
          <w:tcPr>
            <w:tcW w:w="767" w:type="dxa"/>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1636"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宋体" w:hAnsi="宋体" w:eastAsia="宋体" w:cs="宋体"/>
                <w:color w:val="000000"/>
                <w:sz w:val="16"/>
                <w:szCs w:val="16"/>
              </w:rPr>
            </w:pPr>
          </w:p>
        </w:tc>
        <w:tc>
          <w:tcPr>
            <w:tcW w:w="693" w:type="dxa"/>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24" w:type="dxa"/>
            <w:vAlign w:val="center"/>
          </w:tcPr>
          <w:p>
            <w:pPr>
              <w:rPr>
                <w:rFonts w:ascii="宋体" w:hAnsi="宋体" w:eastAsia="宋体" w:cs="宋体"/>
                <w:color w:val="000000"/>
                <w:sz w:val="16"/>
                <w:szCs w:val="16"/>
              </w:rPr>
            </w:pPr>
          </w:p>
        </w:tc>
        <w:tc>
          <w:tcPr>
            <w:tcW w:w="767" w:type="dxa"/>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1636"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2016年度决算数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595"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公务用车购置及运行费</w:t>
            </w:r>
          </w:p>
        </w:tc>
        <w:tc>
          <w:tcPr>
            <w:tcW w:w="870"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582"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公务用车购置及运行费</w:t>
            </w:r>
          </w:p>
        </w:tc>
        <w:tc>
          <w:tcPr>
            <w:tcW w:w="853" w:type="dxa"/>
            <w:vMerge w:val="restart"/>
            <w:tcBorders>
              <w:top w:val="single" w:color="000000" w:sz="4" w:space="0"/>
              <w:left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运行费</w:t>
            </w:r>
          </w:p>
        </w:tc>
        <w:tc>
          <w:tcPr>
            <w:tcW w:w="870" w:type="dxa"/>
            <w:gridSpan w:val="2"/>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购置费</w:t>
            </w: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运行费</w:t>
            </w:r>
          </w:p>
        </w:tc>
        <w:tc>
          <w:tcPr>
            <w:tcW w:w="853" w:type="dxa"/>
            <w:vMerge w:val="continue"/>
            <w:tcBorders>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85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4.4715</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4.4715</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3.2</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1.2715</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4.4715</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4.4715</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w:t>
            </w:r>
          </w:p>
        </w:tc>
        <w:tc>
          <w:tcPr>
            <w:tcW w:w="857"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3.2</w:t>
            </w:r>
          </w:p>
        </w:tc>
        <w:tc>
          <w:tcPr>
            <w:tcW w:w="853"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1.2715</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pPr>
        <w:adjustRightInd w:val="0"/>
        <w:snapToGrid w:val="0"/>
        <w:spacing w:line="590" w:lineRule="exact"/>
        <w:jc w:val="left"/>
        <w:rPr>
          <w:rFonts w:ascii="黑体" w:hAnsi="仿宋_GB2312" w:eastAsia="黑体" w:cs="仿宋_GB2312"/>
          <w:sz w:val="32"/>
          <w:szCs w:val="32"/>
        </w:rPr>
      </w:pPr>
    </w:p>
    <w:p>
      <w:pPr>
        <w:jc w:val="center"/>
        <w:rPr>
          <w:rFonts w:ascii="方正小标宋简体" w:eastAsia="方正小标宋简体"/>
          <w:sz w:val="44"/>
          <w:szCs w:val="44"/>
        </w:rPr>
      </w:pPr>
    </w:p>
    <w:p>
      <w:pPr>
        <w:widowControl/>
        <w:snapToGrid w:val="0"/>
        <w:spacing w:line="600" w:lineRule="exact"/>
        <w:rPr>
          <w:rFonts w:ascii="华文仿宋" w:hAnsi="华文仿宋" w:eastAsia="华文仿宋"/>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仿宋">
    <w:altName w:val="仿宋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C2CF"/>
    <w:multiLevelType w:val="singleLevel"/>
    <w:tmpl w:val="5971C2CF"/>
    <w:lvl w:ilvl="0" w:tentative="0">
      <w:start w:val="1"/>
      <w:numFmt w:val="decimal"/>
      <w:suff w:val="nothing"/>
      <w:lvlText w:val="%1．"/>
      <w:lvlJc w:val="left"/>
      <w:pPr>
        <w:ind w:left="167" w:firstLine="400"/>
      </w:pPr>
      <w:rPr>
        <w:rFonts w:hint="default"/>
      </w:rPr>
    </w:lvl>
  </w:abstractNum>
  <w:abstractNum w:abstractNumId="2">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3">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4">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7">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085B"/>
    <w:rsid w:val="00125A28"/>
    <w:rsid w:val="00171400"/>
    <w:rsid w:val="00172A27"/>
    <w:rsid w:val="001758AE"/>
    <w:rsid w:val="001F213C"/>
    <w:rsid w:val="0039649C"/>
    <w:rsid w:val="00397CB7"/>
    <w:rsid w:val="003E7701"/>
    <w:rsid w:val="00630D31"/>
    <w:rsid w:val="009420A9"/>
    <w:rsid w:val="00A04D11"/>
    <w:rsid w:val="00A22968"/>
    <w:rsid w:val="00A54F41"/>
    <w:rsid w:val="00A6581B"/>
    <w:rsid w:val="00AF2448"/>
    <w:rsid w:val="00B54309"/>
    <w:rsid w:val="00B84FB0"/>
    <w:rsid w:val="00CC0517"/>
    <w:rsid w:val="01064770"/>
    <w:rsid w:val="04453648"/>
    <w:rsid w:val="04985751"/>
    <w:rsid w:val="061516EF"/>
    <w:rsid w:val="09BB2134"/>
    <w:rsid w:val="0B097459"/>
    <w:rsid w:val="11751280"/>
    <w:rsid w:val="12CB671C"/>
    <w:rsid w:val="13DA4090"/>
    <w:rsid w:val="14661166"/>
    <w:rsid w:val="15492582"/>
    <w:rsid w:val="1BB26345"/>
    <w:rsid w:val="1D375E40"/>
    <w:rsid w:val="1E7D3B34"/>
    <w:rsid w:val="1F1F0F93"/>
    <w:rsid w:val="209C4FF0"/>
    <w:rsid w:val="22080EE6"/>
    <w:rsid w:val="22576149"/>
    <w:rsid w:val="258F34D6"/>
    <w:rsid w:val="27A16F7C"/>
    <w:rsid w:val="2BA4769A"/>
    <w:rsid w:val="2CD06EF4"/>
    <w:rsid w:val="2FF950D9"/>
    <w:rsid w:val="30485E97"/>
    <w:rsid w:val="32EF40CE"/>
    <w:rsid w:val="340E390F"/>
    <w:rsid w:val="34464ED0"/>
    <w:rsid w:val="35B66CB8"/>
    <w:rsid w:val="372974AC"/>
    <w:rsid w:val="374B0DD2"/>
    <w:rsid w:val="3CE47224"/>
    <w:rsid w:val="3F287BFC"/>
    <w:rsid w:val="41A56C57"/>
    <w:rsid w:val="42271DDB"/>
    <w:rsid w:val="42845E93"/>
    <w:rsid w:val="452C588E"/>
    <w:rsid w:val="47CA283B"/>
    <w:rsid w:val="48036E61"/>
    <w:rsid w:val="48B52937"/>
    <w:rsid w:val="48EE3EF3"/>
    <w:rsid w:val="4A95625C"/>
    <w:rsid w:val="4C1E2F28"/>
    <w:rsid w:val="4CE812E8"/>
    <w:rsid w:val="4D797EC4"/>
    <w:rsid w:val="4F2153AE"/>
    <w:rsid w:val="50E07A46"/>
    <w:rsid w:val="51AD42DE"/>
    <w:rsid w:val="51DD37B0"/>
    <w:rsid w:val="53E9756D"/>
    <w:rsid w:val="5651051D"/>
    <w:rsid w:val="57BB5F84"/>
    <w:rsid w:val="57E961A8"/>
    <w:rsid w:val="581E77CF"/>
    <w:rsid w:val="58B06254"/>
    <w:rsid w:val="59E3092F"/>
    <w:rsid w:val="5ADC2402"/>
    <w:rsid w:val="5AF25131"/>
    <w:rsid w:val="5B39011D"/>
    <w:rsid w:val="5D394358"/>
    <w:rsid w:val="5D9F4273"/>
    <w:rsid w:val="5F3A0145"/>
    <w:rsid w:val="600176AC"/>
    <w:rsid w:val="612457AD"/>
    <w:rsid w:val="627358F6"/>
    <w:rsid w:val="6431638A"/>
    <w:rsid w:val="664A46E0"/>
    <w:rsid w:val="674E08EC"/>
    <w:rsid w:val="6A2415C4"/>
    <w:rsid w:val="6B1A4A24"/>
    <w:rsid w:val="6C2F3976"/>
    <w:rsid w:val="6DEF1F4E"/>
    <w:rsid w:val="6EA970D1"/>
    <w:rsid w:val="704F44A3"/>
    <w:rsid w:val="737A5BE5"/>
    <w:rsid w:val="73923AE0"/>
    <w:rsid w:val="73F1196C"/>
    <w:rsid w:val="75531EF6"/>
    <w:rsid w:val="75D0003D"/>
    <w:rsid w:val="7645175D"/>
    <w:rsid w:val="779E3F57"/>
    <w:rsid w:val="794368A0"/>
    <w:rsid w:val="79960645"/>
    <w:rsid w:val="7CB67838"/>
    <w:rsid w:val="7D0D382E"/>
    <w:rsid w:val="7F39282F"/>
    <w:rsid w:val="7F826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01"/>
    <w:basedOn w:val="4"/>
    <w:qFormat/>
    <w:uiPriority w:val="0"/>
    <w:rPr>
      <w:rFonts w:hint="default" w:ascii="Arial" w:hAnsi="Arial" w:cs="Arial"/>
      <w:color w:val="000000"/>
      <w:sz w:val="16"/>
      <w:szCs w:val="16"/>
      <w:u w:val="none"/>
    </w:rPr>
  </w:style>
  <w:style w:type="character" w:customStyle="1" w:styleId="9">
    <w:name w:val="font41"/>
    <w:basedOn w:val="4"/>
    <w:qFormat/>
    <w:uiPriority w:val="0"/>
    <w:rPr>
      <w:rFonts w:hint="eastAsia" w:ascii="宋体" w:hAnsi="宋体" w:eastAsia="宋体" w:cs="宋体"/>
      <w:color w:val="000000"/>
      <w:sz w:val="16"/>
      <w:szCs w:val="16"/>
      <w:u w:val="non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1245</Words>
  <Characters>7099</Characters>
  <Lines>59</Lines>
  <Paragraphs>16</Paragraphs>
  <TotalTime>12</TotalTime>
  <ScaleCrop>false</ScaleCrop>
  <LinksUpToDate>false</LinksUpToDate>
  <CharactersWithSpaces>8328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2019-02-13T08:30:43Z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