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浉河区旅游局</w:t>
      </w:r>
    </w:p>
    <w:p>
      <w:pPr>
        <w:jc w:val="center"/>
        <w:rPr>
          <w:rFonts w:ascii="黑体" w:hAnsi="黑体" w:eastAsia="黑体" w:cs="黑体"/>
          <w:sz w:val="52"/>
          <w:szCs w:val="52"/>
        </w:rPr>
      </w:pPr>
    </w:p>
    <w:p>
      <w:pPr>
        <w:jc w:val="center"/>
        <w:rPr>
          <w:rFonts w:hint="eastAsia" w:ascii="隶书" w:hAnsi="隶书" w:eastAsia="隶书" w:cs="隶书"/>
          <w:sz w:val="52"/>
          <w:szCs w:val="52"/>
        </w:rPr>
      </w:pPr>
      <w:r>
        <w:rPr>
          <w:rFonts w:hint="eastAsia" w:ascii="隶书" w:hAnsi="隶书" w:eastAsia="隶书" w:cs="隶书"/>
          <w:sz w:val="52"/>
          <w:szCs w:val="52"/>
        </w:rPr>
        <w:t>2017年度部门决算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28"/>
          <w:szCs w:val="28"/>
          <w:lang w:val="en-US" w:eastAsia="zh-CN"/>
        </w:rPr>
      </w:pPr>
      <w:r>
        <w:rPr>
          <w:rFonts w:hint="eastAsia" w:ascii="隶书" w:hAnsi="隶书" w:eastAsia="隶书" w:cs="隶书"/>
          <w:sz w:val="28"/>
          <w:szCs w:val="28"/>
          <w:lang w:val="en-US" w:eastAsia="zh-CN"/>
        </w:rPr>
        <w:t>公开单位联系人：张万莲</w:t>
      </w:r>
    </w:p>
    <w:p>
      <w:pPr>
        <w:jc w:val="center"/>
        <w:rPr>
          <w:rFonts w:hint="eastAsia" w:ascii="隶书" w:hAnsi="隶书" w:eastAsia="隶书" w:cs="隶书"/>
          <w:sz w:val="28"/>
          <w:szCs w:val="28"/>
          <w:lang w:val="en-US" w:eastAsia="zh-CN"/>
        </w:rPr>
      </w:pPr>
      <w:r>
        <w:rPr>
          <w:rFonts w:hint="eastAsia" w:ascii="隶书" w:hAnsi="隶书" w:eastAsia="隶书" w:cs="隶书"/>
          <w:sz w:val="28"/>
          <w:szCs w:val="28"/>
          <w:lang w:val="en-US" w:eastAsia="zh-CN"/>
        </w:rPr>
        <w:t xml:space="preserve">   联系电话：13663763070</w:t>
      </w:r>
    </w:p>
    <w:p>
      <w:pPr>
        <w:jc w:val="center"/>
        <w:rPr>
          <w:rFonts w:hint="eastAsia"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目　　录</w:t>
      </w:r>
    </w:p>
    <w:p>
      <w:pPr>
        <w:jc w:val="center"/>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浉河区旅游局概况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浉河区旅游局2017年度部门决算情况说明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浉河区旅游局概况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1、贯彻执行党和国家、省、市有关旅游业的方针、政策及法律、法规；拟订全区旅游业发展政策、规划并监督实施。贯彻落实国家、省、市旅游行业设施标准和服务标准。</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研究拟定国际旅游市场开发战略，组织全区旅游整体形象的对外宣传和重大促销活动，组织实施全区旅游产品开发；研究并拟定全区国内旅游发展的战略措施，培育和完善全区国内旅游市场；指导乡、镇旅游工作。</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3、协助区发展改革部门审批国家、省、市区下达的旅游业发展资金的投资立项工作；指导、监督全区重点旅游区域的规划、开发、建设；负责全区旅游业利用外资和社会投资工作；负责全区旅游资源的调查和旅游统计工作。</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4、负责全区国内旅行社、旅游涉外星级饭店、旅游涉外车、船公司、旅游定点单位以及其他经营旅游业的企事业单位的申报和管理工作；组织、参与全区旅游交通的协调及旅游安全、旅游保险和娱乐文化工作。</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5、承担规范旅游市场秩序、监督管理服务质量、维护旅游消费者和经营者合法权益的责任；规范全区旅游企业和从业人员的经营和服务行为；负责旅游安全的综合协调和监督管理，指导应急救援工作；指导旅游行业精神文明建设和诚信体系建设。</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6、监督、检查全区旅游行业经营单位的财务工作。</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7、制定并组织实施人才规划，组织指导全区旅游行业教育培训和旅游从业人员岗位资格考试工作。</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8、承办区委、区政府和上级主管部门交办的其他事项。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信阳市浉河区旅游局共有编制32人，其中：机关编制</w:t>
      </w:r>
      <w:r>
        <w:rPr>
          <w:rFonts w:ascii="仿宋" w:hAnsi="仿宋" w:eastAsia="仿宋" w:cs="Courier New"/>
          <w:sz w:val="32"/>
          <w:szCs w:val="32"/>
        </w:rPr>
        <w:t>14</w:t>
      </w:r>
      <w:r>
        <w:rPr>
          <w:rFonts w:hint="eastAsia" w:ascii="仿宋" w:hAnsi="仿宋" w:eastAsia="仿宋" w:cs="Courier New"/>
          <w:sz w:val="32"/>
          <w:szCs w:val="32"/>
        </w:rPr>
        <w:t>人，事业编制18人；在职在岗实有人数19人，退休人员9人。</w:t>
      </w:r>
    </w:p>
    <w:p>
      <w:pPr>
        <w:spacing w:line="360" w:lineRule="auto"/>
        <w:ind w:firstLine="640" w:firstLineChars="200"/>
        <w:jc w:val="left"/>
        <w:outlineLvl w:val="1"/>
        <w:rPr>
          <w:rFonts w:ascii="??" w:hAnsi="??" w:eastAsia="Times New Roman" w:cs="仿宋_GB2312"/>
          <w:sz w:val="32"/>
          <w:szCs w:val="32"/>
        </w:rPr>
      </w:pPr>
      <w:r>
        <w:rPr>
          <w:rFonts w:hint="eastAsia" w:ascii="仿宋" w:hAnsi="仿宋" w:eastAsia="仿宋" w:cs="Courier New"/>
          <w:sz w:val="32"/>
          <w:szCs w:val="32"/>
        </w:rPr>
        <w:t>信阳市浉河区旅游局</w:t>
      </w:r>
      <w:r>
        <w:rPr>
          <w:rFonts w:hint="eastAsia" w:ascii="仿宋" w:hAnsi="仿宋" w:eastAsia="仿宋" w:cs="Courier New"/>
          <w:sz w:val="32"/>
          <w:szCs w:val="32"/>
          <w:lang w:eastAsia="zh-CN"/>
        </w:rPr>
        <w:t>设有两个二级机构（旅游质量监督管理所、旅游服务中心），内设</w:t>
      </w:r>
      <w:r>
        <w:rPr>
          <w:rFonts w:hint="eastAsia" w:ascii="仿宋" w:hAnsi="仿宋" w:eastAsia="仿宋" w:cs="Courier New"/>
          <w:sz w:val="32"/>
          <w:szCs w:val="32"/>
          <w:lang w:val="en-US" w:eastAsia="zh-CN"/>
        </w:rPr>
        <w:t>3个科室（</w:t>
      </w:r>
      <w:r>
        <w:rPr>
          <w:rFonts w:hint="eastAsia" w:ascii="仿宋" w:hAnsi="仿宋" w:eastAsia="仿宋" w:cs="Courier New"/>
          <w:sz w:val="32"/>
          <w:szCs w:val="32"/>
          <w:lang w:eastAsia="zh-CN"/>
        </w:rPr>
        <w:t>办公室、旅游行业管理股、旅游资源开发股</w:t>
      </w:r>
      <w:r>
        <w:rPr>
          <w:rFonts w:hint="eastAsia" w:ascii="仿宋" w:hAnsi="仿宋" w:eastAsia="仿宋" w:cs="Courier New"/>
          <w:sz w:val="32"/>
          <w:szCs w:val="32"/>
          <w:lang w:val="en-US" w:eastAsia="zh-CN"/>
        </w:rPr>
        <w:t>）。</w:t>
      </w:r>
    </w:p>
    <w:p>
      <w:pPr>
        <w:adjustRightInd w:val="0"/>
        <w:snapToGrid w:val="0"/>
        <w:spacing w:line="360" w:lineRule="auto"/>
        <w:ind w:firstLine="640" w:firstLineChars="200"/>
        <w:rPr>
          <w:rFonts w:ascii="仿宋" w:hAnsi="仿宋" w:eastAsia="仿宋" w:cs="Courier New"/>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Courier New"/>
          <w:sz w:val="32"/>
          <w:szCs w:val="32"/>
          <w:lang w:val="en-US" w:eastAsia="zh-CN"/>
        </w:rPr>
        <w:t>纳入旅游局2017年度部门决算编制范围的单位包括：旅游局</w:t>
      </w:r>
      <w:bookmarkStart w:id="0" w:name="_GoBack"/>
      <w:r>
        <w:rPr>
          <w:rFonts w:hint="eastAsia" w:ascii="仿宋" w:hAnsi="仿宋" w:eastAsia="仿宋" w:cs="Courier New"/>
          <w:sz w:val="32"/>
          <w:szCs w:val="32"/>
          <w:lang w:val="en-US" w:eastAsia="zh-CN"/>
        </w:rPr>
        <w:t>本级和所属单位预算在内的汇总预算。</w:t>
      </w:r>
      <w:bookmarkEnd w:id="0"/>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浉河区旅游局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 w:hAnsi="仿宋" w:eastAsia="仿宋" w:cs="宋体"/>
          <w:sz w:val="24"/>
        </w:rPr>
      </w:pPr>
      <w:r>
        <w:rPr>
          <w:rFonts w:hint="eastAsia" w:ascii="仿宋_GB2312" w:hAnsi="宋体" w:eastAsia="仿宋_GB2312" w:cs="Courier New"/>
          <w:sz w:val="32"/>
          <w:szCs w:val="32"/>
        </w:rPr>
        <w:t>2017年度收入总计510.5万元，支出总计515.78万元；年初结转数为159.9元，年终结转数为154.62元；与2016年相比，收入总计减少457.35万元，下降47%，支出总计减少292.12万元，下降36%。</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收入合计510.5万元，其中：财政拨款收入510.5万元，占100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2017年度支出合计515.78万元，其中：基本支出205.64万元，占40</w:t>
      </w:r>
      <w:r>
        <w:rPr>
          <w:rFonts w:ascii="仿宋_GB2312" w:hAnsi="宋体" w:eastAsia="仿宋_GB2312" w:cs="Courier New"/>
          <w:sz w:val="32"/>
          <w:szCs w:val="32"/>
        </w:rPr>
        <w:t>%</w:t>
      </w:r>
      <w:r>
        <w:rPr>
          <w:rFonts w:hint="eastAsia" w:ascii="仿宋_GB2312" w:hAnsi="宋体" w:eastAsia="仿宋_GB2312" w:cs="Courier New"/>
          <w:sz w:val="32"/>
          <w:szCs w:val="32"/>
        </w:rPr>
        <w:t>；项目支出310.15万元，占60%；经营支出0万元，占0%。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 w:hAnsi="仿宋" w:eastAsia="仿宋" w:cs="宋体"/>
          <w:sz w:val="24"/>
        </w:rPr>
      </w:pPr>
      <w:r>
        <w:rPr>
          <w:rFonts w:hint="eastAsia" w:ascii="仿宋_GB2312" w:hAnsi="宋体" w:eastAsia="仿宋_GB2312" w:cs="Courier New"/>
          <w:sz w:val="32"/>
          <w:szCs w:val="32"/>
        </w:rPr>
        <w:t>2017年财政拨款收支总决算510.</w:t>
      </w:r>
      <w:r>
        <w:rPr>
          <w:rFonts w:hint="eastAsia"/>
        </w:rPr>
        <w:t xml:space="preserve"> </w:t>
      </w:r>
      <w:r>
        <w:rPr>
          <w:rFonts w:hint="eastAsia" w:ascii="仿宋_GB2312" w:hAnsi="宋体" w:eastAsia="仿宋_GB2312" w:cs="Courier New"/>
          <w:sz w:val="32"/>
          <w:szCs w:val="32"/>
        </w:rPr>
        <w:t>5万元，支出总计515.78万元；年初结转数为159.9元，年终结转数为154.62元；与2016年相比，收入总计减少457.35万元，下降47%，支出总计减少292.12万元，下降36%。</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关于一般公共预算财政拨款收入支出决算情况说明</w:t>
      </w:r>
    </w:p>
    <w:p>
      <w:pPr>
        <w:numPr>
          <w:ilvl w:val="0"/>
          <w:numId w:val="5"/>
        </w:num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财政拨款收入决算总体情况。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2017年一般公共预算财政拨款收入510.5万元，占收入合计的100%；与2016年相比，一般公共预算财政拨款收入减少457.35万元，下降47%。</w:t>
      </w:r>
    </w:p>
    <w:p>
      <w:pPr>
        <w:numPr>
          <w:ilvl w:val="0"/>
          <w:numId w:val="5"/>
        </w:num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2017年度一般公共预算财政拨款支出515.78万元，主要用于以下方面：社会保障和就业支出17.7万元，占3%；医疗卫生与计划生育支出7.8万元，占2%；商业服务业等支出477.1万元，占92%；住房保障支出13.18万元，占3%。</w:t>
      </w:r>
    </w:p>
    <w:p>
      <w:pPr>
        <w:numPr>
          <w:ilvl w:val="0"/>
          <w:numId w:val="5"/>
        </w:numPr>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rPr>
        <w:t>2017年度一般公共预算财政拨款支出年初预算为618.29万元，支出决算为515.78万元，完成年初预算的83.4%。其中：</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rPr>
        <w:t>618.29万元，支出决算为515.78</w:t>
      </w:r>
      <w:r>
        <w:rPr>
          <w:rFonts w:hint="eastAsia" w:ascii="仿宋_GB2312" w:hAnsi="宋体" w:eastAsia="仿宋_GB2312" w:cs="Courier New"/>
          <w:sz w:val="32"/>
          <w:szCs w:val="32"/>
        </w:rPr>
        <w:t>万元，完成年初预算的83.4%。决算数小于预算数的主要原因是</w:t>
      </w:r>
      <w:r>
        <w:rPr>
          <w:rFonts w:hint="eastAsia" w:ascii="仿宋_GB2312" w:hAnsi="宋体" w:eastAsia="仿宋_GB2312" w:cs="Courier New"/>
          <w:sz w:val="32"/>
          <w:szCs w:val="32"/>
          <w:lang w:eastAsia="zh-CN"/>
        </w:rPr>
        <w:t>因工程验收评审走程序造成工程款拨付延迟</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年初预算为0万元，支出决算为0万元，完成年初预算的0%。。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515.78万元，其中：基本支出205.64万元，主要包括：1、机关事业单位基本养老保险缴费、其他社会保障和就业、医疗、住房公积金、基本工资、津贴补贴、伙食补助费、绩效工资等；2、公用经费：水电费、电话费差旅费、交通费、办公费等。项目支出310.14万元，主要包括：项目资金，宣传费等。</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2017年度“三公”经费财政拨款支出预算为4</w:t>
      </w:r>
      <w:r>
        <w:rPr>
          <w:rFonts w:hint="eastAsia" w:ascii="仿宋_GB2312" w:hAnsi="宋体" w:eastAsia="仿宋_GB2312" w:cs="Courier New"/>
          <w:sz w:val="32"/>
          <w:szCs w:val="32"/>
          <w:lang w:val="en-US" w:eastAsia="zh-CN"/>
        </w:rPr>
        <w:t>.01</w:t>
      </w:r>
      <w:r>
        <w:rPr>
          <w:rFonts w:hint="eastAsia" w:ascii="仿宋_GB2312" w:hAnsi="宋体" w:eastAsia="仿宋_GB2312" w:cs="Courier New"/>
          <w:sz w:val="32"/>
          <w:szCs w:val="32"/>
        </w:rPr>
        <w:t>万元，支出决算为4万元，完成预算的100%，其中：因公出国（境）费支出决算为0万元，完成预算的0%；公务用车购置及运行费支出决算为0万元，完成预算的0%；公务接待费支出决算为4万元，完成预算的100%。</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0万元，下降0%，其中：因公出国（境）费支出决算减少0万元，下降0%；公务用车购置及运行费支出决算减少0万元，下降0%；公务接待费支出决算减少0万元，下降0%。公务接待费支出减少的主要原因是按照上级政策逐年递减的原则。</w:t>
      </w:r>
    </w:p>
    <w:p>
      <w:pPr>
        <w:numPr>
          <w:ilvl w:val="0"/>
          <w:numId w:val="7"/>
        </w:num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2017年度“三公”经费财政拨款支出决算中，因公出国（境）费支出决算0万元，占0%；公务用车购置及运行费支出决算0万元，占0%；公务接待费支出决算</w:t>
      </w:r>
      <w:r>
        <w:rPr>
          <w:rFonts w:hint="eastAsia" w:ascii="仿宋_GB2312" w:hAnsi="宋体" w:eastAsia="仿宋_GB2312" w:cs="Courier New"/>
          <w:sz w:val="32"/>
          <w:szCs w:val="32"/>
          <w:lang w:val="en-US" w:eastAsia="zh-CN"/>
        </w:rPr>
        <w:t>4.01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0%。具体情况如下：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支出0万元。全年安排厅（局）机关、0和0单位因公出国（境）团组0个，累计0次。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0辆。</w:t>
      </w:r>
    </w:p>
    <w:p>
      <w:pPr>
        <w:numPr>
          <w:ilvl w:val="0"/>
          <w:numId w:val="0"/>
        </w:numPr>
        <w:kinsoku w:val="0"/>
        <w:overflowPunct w:val="0"/>
        <w:autoSpaceDE w:val="0"/>
        <w:autoSpaceDN w:val="0"/>
        <w:adjustRightInd w:val="0"/>
        <w:snapToGrid w:val="0"/>
        <w:spacing w:line="360" w:lineRule="auto"/>
        <w:ind w:leftChars="200" w:firstLine="321" w:firstLineChars="1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支出4万元。主要用于日常工作中公务接待。</w:t>
      </w:r>
      <w:r>
        <w:rPr>
          <w:rFonts w:hint="eastAsia" w:ascii="仿宋_GB2312" w:hAnsi="宋体" w:eastAsia="仿宋_GB2312" w:cs="Courier New"/>
          <w:sz w:val="32"/>
          <w:szCs w:val="32"/>
          <w:lang w:val="en-US" w:eastAsia="zh-CN"/>
        </w:rPr>
        <w:t>2017年度共接待国内来访团80次，来访人员405人次（不包括陪同人员）。</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kinsoku w:val="0"/>
        <w:overflowPunct w:val="0"/>
        <w:autoSpaceDE w:val="0"/>
        <w:autoSpaceDN w:val="0"/>
        <w:adjustRightInd w:val="0"/>
        <w:snapToGrid w:val="0"/>
        <w:spacing w:line="360" w:lineRule="auto"/>
        <w:ind w:firstLine="640" w:firstLineChars="200"/>
        <w:rPr>
          <w:rFonts w:hint="eastAsia" w:ascii="黑体" w:hAnsi="黑体" w:eastAsia="黑体"/>
          <w:sz w:val="32"/>
          <w:szCs w:val="32"/>
          <w:lang w:val="en-US" w:eastAsia="zh-CN"/>
        </w:rPr>
      </w:pPr>
      <w:r>
        <w:rPr>
          <w:rFonts w:hint="eastAsia" w:ascii="仿宋_GB2312" w:hAnsi="宋体" w:eastAsia="仿宋_GB2312" w:cs="Courier New"/>
          <w:sz w:val="32"/>
          <w:szCs w:val="32"/>
          <w:lang w:val="en-US" w:eastAsia="zh-CN"/>
        </w:rPr>
        <w:t xml:space="preserve"> 浉河区旅游局未开展</w:t>
      </w:r>
      <w:r>
        <w:rPr>
          <w:rFonts w:hint="eastAsia" w:ascii="仿宋_GB2312" w:hAnsi="宋体" w:eastAsia="仿宋_GB2312" w:cs="Courier New"/>
          <w:sz w:val="32"/>
          <w:szCs w:val="32"/>
          <w:lang w:eastAsia="zh-CN"/>
        </w:rPr>
        <w:t>绩效管理考评项目。</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2017年度政府性基金预算财政拨款支出年初预算为0万元，支出决算为0万元，完成年初预算的0%。主要原因：</w:t>
      </w:r>
      <w:r>
        <w:rPr>
          <w:rFonts w:hint="eastAsia" w:ascii="仿宋_GB2312" w:hAnsi="宋体" w:eastAsia="仿宋_GB2312" w:cs="Courier New"/>
          <w:sz w:val="32"/>
          <w:szCs w:val="32"/>
          <w:lang w:eastAsia="zh-CN"/>
        </w:rPr>
        <w:t>无政府性基金支出</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2017年度机关运行经费支出54.63万元，比2016年增加19.03万元，增长53</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8"/>
        </w:num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w:t>
      </w:r>
      <w:r>
        <w:rPr>
          <w:rFonts w:hint="eastAsia" w:ascii="仿宋_GB2312" w:hAnsi="宋体" w:eastAsia="仿宋_GB2312" w:cs="Courier New"/>
          <w:sz w:val="32"/>
          <w:szCs w:val="32"/>
          <w:lang w:val="en-US" w:eastAsia="zh-CN"/>
        </w:rPr>
        <w:t>浉河区旅游局</w:t>
      </w:r>
      <w:r>
        <w:rPr>
          <w:rFonts w:hint="eastAsia" w:ascii="仿宋_GB2312" w:hAnsi="宋体" w:eastAsia="仿宋_GB2312" w:cs="Courier New"/>
          <w:sz w:val="32"/>
          <w:szCs w:val="32"/>
        </w:rPr>
        <w:t>共有车辆0辆。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- 13 -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4D19"/>
    <w:rsid w:val="00066673"/>
    <w:rsid w:val="000742E9"/>
    <w:rsid w:val="000866A1"/>
    <w:rsid w:val="000F53B8"/>
    <w:rsid w:val="00105650"/>
    <w:rsid w:val="00132857"/>
    <w:rsid w:val="00172A27"/>
    <w:rsid w:val="0017469B"/>
    <w:rsid w:val="001968F5"/>
    <w:rsid w:val="001E3DA7"/>
    <w:rsid w:val="0026046E"/>
    <w:rsid w:val="002874DD"/>
    <w:rsid w:val="002B5279"/>
    <w:rsid w:val="002C1FFD"/>
    <w:rsid w:val="002E609F"/>
    <w:rsid w:val="003B2D4B"/>
    <w:rsid w:val="00431299"/>
    <w:rsid w:val="004745D9"/>
    <w:rsid w:val="004C47A9"/>
    <w:rsid w:val="00507EB7"/>
    <w:rsid w:val="00513E15"/>
    <w:rsid w:val="00567F43"/>
    <w:rsid w:val="00603676"/>
    <w:rsid w:val="00630D31"/>
    <w:rsid w:val="006322F5"/>
    <w:rsid w:val="0066245A"/>
    <w:rsid w:val="00776B9A"/>
    <w:rsid w:val="007D4A3E"/>
    <w:rsid w:val="008A3C71"/>
    <w:rsid w:val="008D7B44"/>
    <w:rsid w:val="008E7C71"/>
    <w:rsid w:val="00915C16"/>
    <w:rsid w:val="00981F10"/>
    <w:rsid w:val="00A02B1E"/>
    <w:rsid w:val="00A341FC"/>
    <w:rsid w:val="00B44EC1"/>
    <w:rsid w:val="00B54309"/>
    <w:rsid w:val="00B56F18"/>
    <w:rsid w:val="00B84FB0"/>
    <w:rsid w:val="00C4349F"/>
    <w:rsid w:val="00C80E16"/>
    <w:rsid w:val="00C8385B"/>
    <w:rsid w:val="00CB3494"/>
    <w:rsid w:val="00CD128C"/>
    <w:rsid w:val="00D3776E"/>
    <w:rsid w:val="00D57DD4"/>
    <w:rsid w:val="00DF4081"/>
    <w:rsid w:val="00E76223"/>
    <w:rsid w:val="00E8703F"/>
    <w:rsid w:val="00F02CE8"/>
    <w:rsid w:val="00F047DA"/>
    <w:rsid w:val="00F04886"/>
    <w:rsid w:val="00F11952"/>
    <w:rsid w:val="00F9119C"/>
    <w:rsid w:val="00FB6432"/>
    <w:rsid w:val="00FC498B"/>
    <w:rsid w:val="00FC5650"/>
    <w:rsid w:val="00FD55AC"/>
    <w:rsid w:val="01064770"/>
    <w:rsid w:val="02105E37"/>
    <w:rsid w:val="04453648"/>
    <w:rsid w:val="09BB2134"/>
    <w:rsid w:val="0C3828EF"/>
    <w:rsid w:val="104022DF"/>
    <w:rsid w:val="13DA4090"/>
    <w:rsid w:val="15492582"/>
    <w:rsid w:val="1A6227E7"/>
    <w:rsid w:val="1BB26345"/>
    <w:rsid w:val="1E7D3B34"/>
    <w:rsid w:val="1F122D5B"/>
    <w:rsid w:val="1FEC1912"/>
    <w:rsid w:val="209C4FF0"/>
    <w:rsid w:val="258F34D6"/>
    <w:rsid w:val="2BA4769A"/>
    <w:rsid w:val="2CD06EF4"/>
    <w:rsid w:val="2DB7125F"/>
    <w:rsid w:val="32EF40CE"/>
    <w:rsid w:val="35E66C8E"/>
    <w:rsid w:val="371B025B"/>
    <w:rsid w:val="372974AC"/>
    <w:rsid w:val="3CE47224"/>
    <w:rsid w:val="42271DDB"/>
    <w:rsid w:val="48036E61"/>
    <w:rsid w:val="48B52937"/>
    <w:rsid w:val="48EE3EF3"/>
    <w:rsid w:val="4AF52C96"/>
    <w:rsid w:val="4C1E2F28"/>
    <w:rsid w:val="4EBE23D3"/>
    <w:rsid w:val="50D25E55"/>
    <w:rsid w:val="51AD42DE"/>
    <w:rsid w:val="53E9756D"/>
    <w:rsid w:val="5651051D"/>
    <w:rsid w:val="57BB5F84"/>
    <w:rsid w:val="57E961A8"/>
    <w:rsid w:val="581E77CF"/>
    <w:rsid w:val="58B06254"/>
    <w:rsid w:val="58EA5CCE"/>
    <w:rsid w:val="59E3092F"/>
    <w:rsid w:val="59F0376A"/>
    <w:rsid w:val="5AF25131"/>
    <w:rsid w:val="5BD235B6"/>
    <w:rsid w:val="5CC435A8"/>
    <w:rsid w:val="5F3A0145"/>
    <w:rsid w:val="600176AC"/>
    <w:rsid w:val="627358F6"/>
    <w:rsid w:val="6431638A"/>
    <w:rsid w:val="664A46E0"/>
    <w:rsid w:val="674E08EC"/>
    <w:rsid w:val="69A666FA"/>
    <w:rsid w:val="6A2415C4"/>
    <w:rsid w:val="6C2F3976"/>
    <w:rsid w:val="737A5BE5"/>
    <w:rsid w:val="73F1196C"/>
    <w:rsid w:val="75531EF6"/>
    <w:rsid w:val="75D0003D"/>
    <w:rsid w:val="779E3F57"/>
    <w:rsid w:val="789177A5"/>
    <w:rsid w:val="79960645"/>
    <w:rsid w:val="7D0D382E"/>
    <w:rsid w:val="7E6B7DBA"/>
    <w:rsid w:val="7E806ECA"/>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5501F-5879-4D0B-A406-B805D08567A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4483</Words>
  <Characters>334</Characters>
  <Lines>2</Lines>
  <Paragraphs>9</Paragraphs>
  <TotalTime>0</TotalTime>
  <ScaleCrop>false</ScaleCrop>
  <LinksUpToDate>false</LinksUpToDate>
  <CharactersWithSpaces>4808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2019-02-13T08:42:34Z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