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_GB2312" w:hAnsi="??_GB2312" w:cs="??_GB2312"/>
          <w:sz w:val="44"/>
          <w:szCs w:val="44"/>
        </w:rPr>
      </w:pPr>
      <w:r>
        <w:rPr>
          <w:rFonts w:hint="eastAsia" w:ascii="隶书" w:hAnsi="隶书" w:eastAsia="隶书" w:cs="隶书"/>
          <w:sz w:val="52"/>
          <w:szCs w:val="52"/>
        </w:rPr>
        <w:t>浉河区委党校</w:t>
      </w:r>
    </w:p>
    <w:p>
      <w:pPr>
        <w:jc w:val="center"/>
        <w:rPr>
          <w:rFonts w:ascii="黑体" w:hAnsi="黑体" w:eastAsia="黑体" w:cs="黑体"/>
          <w:sz w:val="52"/>
          <w:szCs w:val="52"/>
        </w:rPr>
      </w:pPr>
    </w:p>
    <w:p>
      <w:pPr>
        <w:jc w:val="center"/>
        <w:rPr>
          <w:rFonts w:ascii="隶书" w:hAnsi="隶书" w:eastAsia="隶书" w:cs="隶书"/>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隶书" w:hAnsi="隶书" w:eastAsia="隶书" w:cs="隶书"/>
          <w:sz w:val="52"/>
          <w:szCs w:val="52"/>
        </w:rPr>
        <w:t>201</w:t>
      </w:r>
      <w:r>
        <w:rPr>
          <w:rFonts w:hint="eastAsia" w:ascii="隶书" w:hAnsi="隶书" w:eastAsia="隶书" w:cs="隶书"/>
          <w:sz w:val="52"/>
          <w:szCs w:val="52"/>
        </w:rPr>
        <w:t>8年度部门预算公开情况</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党校基本情况</w:t>
      </w:r>
    </w:p>
    <w:p>
      <w:pPr>
        <w:numPr>
          <w:ilvl w:val="0"/>
          <w:numId w:val="1"/>
        </w:numPr>
        <w:jc w:val="left"/>
        <w:rPr>
          <w:rFonts w:ascii="宋体" w:cs="宋体"/>
          <w:sz w:val="32"/>
          <w:szCs w:val="32"/>
        </w:rPr>
      </w:pPr>
      <w:r>
        <w:rPr>
          <w:rFonts w:hint="eastAsia" w:ascii="宋体" w:hAnsi="宋体" w:cs="宋体"/>
          <w:sz w:val="32"/>
          <w:szCs w:val="32"/>
        </w:rPr>
        <w:t>党校主要职责</w:t>
      </w:r>
    </w:p>
    <w:p>
      <w:pPr>
        <w:numPr>
          <w:ilvl w:val="0"/>
          <w:numId w:val="1"/>
        </w:numPr>
        <w:jc w:val="left"/>
        <w:rPr>
          <w:rFonts w:ascii="宋体" w:cs="宋体"/>
          <w:sz w:val="32"/>
          <w:szCs w:val="32"/>
        </w:rPr>
      </w:pPr>
      <w:r>
        <w:rPr>
          <w:rFonts w:hint="eastAsia" w:ascii="宋体" w:hAnsi="宋体" w:cs="宋体"/>
          <w:sz w:val="32"/>
          <w:szCs w:val="32"/>
        </w:rPr>
        <w:t>党校机构设置</w:t>
      </w:r>
    </w:p>
    <w:p>
      <w:pPr>
        <w:jc w:val="left"/>
        <w:rPr>
          <w:rFonts w:ascii="黑体" w:hAnsi="黑体" w:eastAsia="黑体" w:cs="黑体"/>
          <w:sz w:val="32"/>
          <w:szCs w:val="32"/>
        </w:rPr>
      </w:pPr>
      <w:r>
        <w:rPr>
          <w:rFonts w:hint="eastAsia" w:ascii="黑体" w:hAnsi="黑体" w:eastAsia="黑体" w:cs="黑体"/>
          <w:sz w:val="32"/>
          <w:szCs w:val="32"/>
        </w:rPr>
        <w:t>第二部分　　党校</w:t>
      </w:r>
      <w:r>
        <w:rPr>
          <w:rFonts w:ascii="黑体" w:hAnsi="黑体" w:eastAsia="黑体" w:cs="黑体"/>
          <w:sz w:val="32"/>
          <w:szCs w:val="32"/>
        </w:rPr>
        <w:t>201</w:t>
      </w:r>
      <w:r>
        <w:rPr>
          <w:rFonts w:hint="eastAsia" w:ascii="黑体" w:hAnsi="黑体" w:eastAsia="黑体" w:cs="黑体"/>
          <w:sz w:val="32"/>
          <w:szCs w:val="32"/>
        </w:rPr>
        <w:t>8年度部门预算表</w:t>
      </w:r>
    </w:p>
    <w:p>
      <w:pPr>
        <w:jc w:val="left"/>
        <w:rPr>
          <w:rFonts w:ascii="黑体" w:hAnsi="黑体" w:eastAsia="黑体" w:cs="黑体"/>
          <w:sz w:val="32"/>
          <w:szCs w:val="32"/>
        </w:rPr>
      </w:pPr>
      <w:r>
        <w:rPr>
          <w:rFonts w:hint="eastAsia" w:ascii="黑体" w:hAnsi="黑体" w:eastAsia="黑体" w:cs="黑体"/>
          <w:sz w:val="32"/>
          <w:szCs w:val="32"/>
        </w:rPr>
        <w:t>第三部分　　党校</w:t>
      </w:r>
      <w:r>
        <w:rPr>
          <w:rFonts w:ascii="黑体" w:hAnsi="黑体" w:eastAsia="黑体" w:cs="黑体"/>
          <w:sz w:val="32"/>
          <w:szCs w:val="32"/>
        </w:rPr>
        <w:t>201</w:t>
      </w:r>
      <w:r>
        <w:rPr>
          <w:rFonts w:hint="eastAsia" w:ascii="黑体" w:hAnsi="黑体" w:eastAsia="黑体" w:cs="黑体"/>
          <w:sz w:val="32"/>
          <w:szCs w:val="32"/>
        </w:rPr>
        <w:t>8年度部门预算情况说明</w:t>
      </w:r>
    </w:p>
    <w:p>
      <w:pPr>
        <w:jc w:val="left"/>
        <w:rPr>
          <w:rFonts w:ascii="宋体" w:cs="宋体"/>
          <w:sz w:val="32"/>
          <w:szCs w:val="32"/>
        </w:rPr>
      </w:pPr>
      <w:r>
        <w:rPr>
          <w:rFonts w:hint="eastAsia" w:ascii="宋体" w:hAnsi="宋体" w:cs="宋体"/>
          <w:sz w:val="32"/>
          <w:szCs w:val="32"/>
        </w:rPr>
        <w:t>一、收入支出预算总表</w:t>
      </w:r>
    </w:p>
    <w:p>
      <w:pPr>
        <w:jc w:val="left"/>
        <w:rPr>
          <w:rFonts w:ascii="宋体" w:cs="宋体"/>
          <w:sz w:val="32"/>
          <w:szCs w:val="32"/>
        </w:rPr>
      </w:pPr>
      <w:r>
        <w:rPr>
          <w:rFonts w:hint="eastAsia" w:ascii="宋体" w:hAnsi="宋体" w:cs="宋体"/>
          <w:sz w:val="32"/>
          <w:szCs w:val="32"/>
        </w:rPr>
        <w:t>二、收入预算表</w:t>
      </w:r>
    </w:p>
    <w:p>
      <w:pPr>
        <w:jc w:val="left"/>
        <w:rPr>
          <w:rFonts w:ascii="宋体" w:cs="宋体"/>
          <w:sz w:val="32"/>
          <w:szCs w:val="32"/>
        </w:rPr>
      </w:pPr>
      <w:r>
        <w:rPr>
          <w:rFonts w:hint="eastAsia" w:ascii="宋体" w:hAnsi="宋体" w:cs="宋体"/>
          <w:sz w:val="32"/>
          <w:szCs w:val="32"/>
        </w:rPr>
        <w:t>三、支出预算表</w:t>
      </w:r>
    </w:p>
    <w:p>
      <w:pPr>
        <w:jc w:val="left"/>
        <w:rPr>
          <w:rFonts w:ascii="宋体" w:cs="宋体"/>
          <w:sz w:val="32"/>
          <w:szCs w:val="32"/>
        </w:rPr>
      </w:pPr>
      <w:r>
        <w:rPr>
          <w:rFonts w:hint="eastAsia" w:ascii="宋体" w:hAnsi="宋体" w:cs="宋体"/>
          <w:sz w:val="32"/>
          <w:szCs w:val="32"/>
        </w:rPr>
        <w:t>四、财政拨款收入支出预算总表</w:t>
      </w:r>
    </w:p>
    <w:p>
      <w:pPr>
        <w:jc w:val="left"/>
        <w:rPr>
          <w:rFonts w:ascii="宋体" w:cs="宋体"/>
          <w:sz w:val="32"/>
          <w:szCs w:val="32"/>
        </w:rPr>
      </w:pPr>
      <w:r>
        <w:rPr>
          <w:rFonts w:hint="eastAsia" w:ascii="宋体" w:hAnsi="宋体" w:cs="宋体"/>
          <w:sz w:val="32"/>
          <w:szCs w:val="32"/>
        </w:rPr>
        <w:t>五、一般公共预算财政拨款支出预算表</w:t>
      </w:r>
    </w:p>
    <w:p>
      <w:pPr>
        <w:jc w:val="left"/>
        <w:rPr>
          <w:rFonts w:ascii="宋体" w:cs="宋体"/>
          <w:sz w:val="32"/>
          <w:szCs w:val="32"/>
        </w:rPr>
      </w:pPr>
      <w:r>
        <w:rPr>
          <w:rFonts w:hint="eastAsia" w:ascii="宋体" w:hAnsi="宋体" w:cs="宋体"/>
          <w:sz w:val="32"/>
          <w:szCs w:val="32"/>
        </w:rPr>
        <w:t>六、一般公共预算财政拨款基本支出预算表</w:t>
      </w:r>
    </w:p>
    <w:p>
      <w:pPr>
        <w:jc w:val="left"/>
        <w:rPr>
          <w:rFonts w:ascii="宋体" w:cs="宋体"/>
          <w:sz w:val="32"/>
          <w:szCs w:val="32"/>
        </w:rPr>
      </w:pPr>
      <w:r>
        <w:rPr>
          <w:rFonts w:hint="eastAsia" w:ascii="宋体" w:hAnsi="宋体" w:cs="宋体"/>
          <w:sz w:val="32"/>
          <w:szCs w:val="32"/>
        </w:rPr>
        <w:t>七、一般公共预算财政拨款“三公”经费支出预算表</w:t>
      </w:r>
    </w:p>
    <w:p>
      <w:pPr>
        <w:jc w:val="left"/>
        <w:rPr>
          <w:rFonts w:ascii="宋体" w:cs="宋体"/>
          <w:sz w:val="32"/>
          <w:szCs w:val="32"/>
        </w:rPr>
      </w:pPr>
      <w:r>
        <w:rPr>
          <w:rFonts w:hint="eastAsia" w:ascii="宋体" w:hAnsi="宋体" w:cs="宋体"/>
          <w:sz w:val="32"/>
          <w:szCs w:val="32"/>
        </w:rPr>
        <w:t>八、政府性基金预算财政拨款收入支出预算表</w:t>
      </w:r>
    </w:p>
    <w:p>
      <w:pPr>
        <w:jc w:val="left"/>
        <w:rPr>
          <w:rFonts w:ascii="黑体" w:hAnsi="黑体" w:eastAsia="黑体" w:cs="黑体"/>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第四部分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第一部分　　党校概况</w:t>
      </w: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outlineLvl w:val="0"/>
        <w:rPr>
          <w:rFonts w:ascii="隶书" w:hAnsi="隶书" w:eastAsia="隶书"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黑体" w:hAnsi="黑体" w:eastAsia="黑体" w:cs="黑体"/>
          <w:sz w:val="32"/>
          <w:szCs w:val="32"/>
        </w:rPr>
      </w:pPr>
    </w:p>
    <w:p>
      <w:pPr>
        <w:pStyle w:val="13"/>
        <w:numPr>
          <w:ilvl w:val="0"/>
          <w:numId w:val="2"/>
        </w:numPr>
        <w:ind w:firstLineChars="0"/>
        <w:rPr>
          <w:rFonts w:ascii="仿宋_GB2312" w:eastAsia="仿宋_GB2312"/>
          <w:b/>
          <w:sz w:val="32"/>
          <w:szCs w:val="32"/>
        </w:rPr>
      </w:pPr>
      <w:r>
        <w:rPr>
          <w:rFonts w:hint="eastAsia" w:ascii="仿宋_GB2312" w:eastAsia="仿宋_GB2312"/>
          <w:b/>
          <w:sz w:val="32"/>
          <w:szCs w:val="32"/>
        </w:rPr>
        <w:t>部门基本情况</w:t>
      </w:r>
    </w:p>
    <w:p>
      <w:pPr>
        <w:pStyle w:val="13"/>
        <w:ind w:left="1713" w:firstLine="0" w:firstLineChars="0"/>
        <w:rPr>
          <w:rFonts w:ascii="仿宋_GB2312" w:eastAsia="仿宋_GB2312"/>
          <w:sz w:val="32"/>
          <w:szCs w:val="32"/>
        </w:rPr>
      </w:pPr>
    </w:p>
    <w:p>
      <w:pPr>
        <w:pStyle w:val="13"/>
        <w:numPr>
          <w:ilvl w:val="0"/>
          <w:numId w:val="3"/>
        </w:numPr>
        <w:ind w:firstLineChars="0"/>
        <w:rPr>
          <w:rFonts w:ascii="仿宋_GB2312" w:eastAsia="仿宋_GB2312"/>
          <w:sz w:val="32"/>
          <w:szCs w:val="32"/>
        </w:rPr>
      </w:pPr>
      <w:r>
        <w:rPr>
          <w:rFonts w:hint="eastAsia" w:ascii="仿宋_GB2312" w:eastAsia="仿宋_GB2312"/>
          <w:sz w:val="32"/>
          <w:szCs w:val="32"/>
        </w:rPr>
        <w:t>党校主要职责</w:t>
      </w:r>
    </w:p>
    <w:p>
      <w:pPr>
        <w:spacing w:line="568" w:lineRule="atLeast"/>
        <w:ind w:firstLine="489" w:firstLineChars="150"/>
        <w:rPr>
          <w:rFonts w:ascii="仿宋_GB2312" w:eastAsia="仿宋_GB2312"/>
          <w:spacing w:val="3"/>
          <w:sz w:val="32"/>
        </w:rPr>
      </w:pPr>
      <w:r>
        <w:rPr>
          <w:rFonts w:hint="eastAsia" w:ascii="仿宋_GB2312" w:eastAsia="仿宋_GB2312"/>
          <w:spacing w:val="3"/>
          <w:sz w:val="32"/>
        </w:rPr>
        <w:t>负责落实党校党委的决议、决定；负责组织重大活动和会议；负责上传下达、文件收发、立卷归档、文秘、党务、机要、保密、信访、计划生育和安全保卫工作；负责对内对外的联系、协调工作；负责车辆使用和管理工作；负责党校干部人事管理和劳动工资工作；负责老干部服务和管理工作。负责校内各学科的教学工作，负责编制科研规划、管理、协调科研活动，对马列主义基本理论和改革开放以来出现的新情况、新问题开展理论研究。负责教学计划的制定和教学管理；负责在校学员的日常管理；负责师资队伍建设工作；负责函授学员的招生、教学、学籍管理等方面的管理工作。负责学校的物资供应和财务管理工作；负责学校各项经费的收支预算、结算、分配和使用；承担在校学员和工作人员的生活服务；负责学校基本建设、卫生管理、绿化建设、固定资产、水电管理和维修工作。</w:t>
      </w:r>
    </w:p>
    <w:p>
      <w:pPr>
        <w:pStyle w:val="13"/>
        <w:numPr>
          <w:ilvl w:val="0"/>
          <w:numId w:val="3"/>
        </w:numPr>
        <w:ind w:firstLineChars="0"/>
        <w:rPr>
          <w:rFonts w:ascii="仿宋_GB2312" w:eastAsia="仿宋_GB2312"/>
          <w:sz w:val="32"/>
          <w:szCs w:val="32"/>
        </w:rPr>
      </w:pPr>
      <w:r>
        <w:rPr>
          <w:rFonts w:hint="eastAsia" w:ascii="仿宋_GB2312" w:eastAsia="仿宋_GB2312"/>
          <w:sz w:val="32"/>
          <w:szCs w:val="32"/>
        </w:rPr>
        <w:t>机构设置</w:t>
      </w:r>
    </w:p>
    <w:p>
      <w:pPr>
        <w:spacing w:line="568" w:lineRule="atLeast"/>
        <w:ind w:firstLine="652"/>
        <w:rPr>
          <w:rFonts w:ascii="仿宋_GB2312" w:eastAsia="仿宋_GB2312"/>
          <w:spacing w:val="3"/>
          <w:sz w:val="32"/>
        </w:rPr>
      </w:pPr>
      <w:r>
        <w:rPr>
          <w:rFonts w:hint="eastAsia" w:ascii="仿宋_GB2312" w:eastAsia="仿宋_GB2312"/>
          <w:spacing w:val="3"/>
          <w:sz w:val="32"/>
        </w:rPr>
        <w:t>中共信阳市</w:t>
      </w:r>
      <w:r>
        <w:rPr>
          <w:rFonts w:hint="eastAsia" w:ascii="仿宋_GB2312"/>
          <w:spacing w:val="3"/>
          <w:sz w:val="32"/>
        </w:rPr>
        <w:t>浉</w:t>
      </w:r>
      <w:r>
        <w:rPr>
          <w:rFonts w:hint="eastAsia" w:ascii="仿宋_GB2312" w:eastAsia="仿宋_GB2312"/>
          <w:spacing w:val="3"/>
          <w:sz w:val="32"/>
        </w:rPr>
        <w:t>河区委党校（信阳市</w:t>
      </w:r>
      <w:r>
        <w:rPr>
          <w:rFonts w:hint="eastAsia" w:ascii="仿宋_GB2312"/>
          <w:spacing w:val="3"/>
          <w:sz w:val="32"/>
        </w:rPr>
        <w:t>浉</w:t>
      </w:r>
      <w:r>
        <w:rPr>
          <w:rFonts w:hint="eastAsia" w:ascii="仿宋_GB2312" w:eastAsia="仿宋_GB2312"/>
          <w:spacing w:val="3"/>
          <w:sz w:val="32"/>
        </w:rPr>
        <w:t>河区行政干部学校）内设4个职能股室：1、</w:t>
      </w:r>
      <w:r>
        <w:rPr>
          <w:rFonts w:hint="eastAsia" w:ascii="仿宋_GB2312" w:eastAsia="仿宋_GB2312"/>
          <w:b/>
          <w:spacing w:val="3"/>
          <w:sz w:val="32"/>
        </w:rPr>
        <w:t>办公室</w:t>
      </w:r>
      <w:r>
        <w:rPr>
          <w:rFonts w:hint="eastAsia" w:ascii="仿宋_GB2312" w:eastAsia="仿宋_GB2312"/>
          <w:spacing w:val="3"/>
          <w:sz w:val="32"/>
        </w:rPr>
        <w:t>2、</w:t>
      </w:r>
      <w:r>
        <w:rPr>
          <w:rFonts w:hint="eastAsia" w:ascii="仿宋_GB2312" w:eastAsia="仿宋_GB2312"/>
          <w:b/>
          <w:spacing w:val="3"/>
          <w:sz w:val="32"/>
        </w:rPr>
        <w:t>教研室</w:t>
      </w:r>
      <w:r>
        <w:rPr>
          <w:rFonts w:hint="eastAsia" w:ascii="仿宋_GB2312" w:eastAsia="仿宋_GB2312"/>
          <w:spacing w:val="3"/>
          <w:sz w:val="32"/>
        </w:rPr>
        <w:t>3</w:t>
      </w:r>
      <w:r>
        <w:rPr>
          <w:rFonts w:hint="eastAsia" w:ascii="仿宋_GB2312" w:eastAsia="仿宋_GB2312"/>
          <w:b/>
          <w:spacing w:val="3"/>
          <w:sz w:val="32"/>
        </w:rPr>
        <w:t>教务处</w:t>
      </w:r>
      <w:r>
        <w:rPr>
          <w:rFonts w:hint="eastAsia" w:ascii="仿宋_GB2312" w:eastAsia="仿宋_GB2312"/>
          <w:spacing w:val="3"/>
          <w:sz w:val="32"/>
        </w:rPr>
        <w:t>负4、</w:t>
      </w:r>
      <w:r>
        <w:rPr>
          <w:rFonts w:hint="eastAsia" w:ascii="仿宋_GB2312" w:eastAsia="仿宋_GB2312"/>
          <w:b/>
          <w:spacing w:val="3"/>
          <w:sz w:val="32"/>
        </w:rPr>
        <w:t>总务处</w:t>
      </w:r>
    </w:p>
    <w:p>
      <w:pPr>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三</w:t>
      </w:r>
      <w:r>
        <w:rPr>
          <w:rFonts w:hint="eastAsia" w:ascii="仿宋_GB2312" w:eastAsia="仿宋_GB2312"/>
          <w:sz w:val="32"/>
          <w:szCs w:val="32"/>
        </w:rPr>
        <w:t>）人员编制基本情况：</w:t>
      </w:r>
    </w:p>
    <w:p>
      <w:pPr>
        <w:spacing w:line="568" w:lineRule="atLeast"/>
        <w:ind w:firstLine="652"/>
        <w:rPr>
          <w:rFonts w:ascii="仿宋_GB2312" w:eastAsia="仿宋_GB2312"/>
          <w:spacing w:val="3"/>
          <w:sz w:val="32"/>
        </w:rPr>
      </w:pPr>
      <w:r>
        <w:rPr>
          <w:rFonts w:hint="eastAsia" w:ascii="仿宋_GB2312" w:eastAsia="仿宋_GB2312"/>
          <w:spacing w:val="3"/>
          <w:sz w:val="32"/>
        </w:rPr>
        <w:t>在职职工20人，离只退休人员18人。中共信阳市</w:t>
      </w:r>
      <w:r>
        <w:rPr>
          <w:rFonts w:hint="eastAsia" w:ascii="仿宋_GB2312"/>
          <w:spacing w:val="3"/>
          <w:sz w:val="32"/>
        </w:rPr>
        <w:t>浉</w:t>
      </w:r>
      <w:r>
        <w:rPr>
          <w:rFonts w:hint="eastAsia" w:ascii="仿宋_GB2312" w:hAnsi="Arial" w:eastAsia="仿宋_GB2312"/>
          <w:spacing w:val="3"/>
          <w:sz w:val="32"/>
        </w:rPr>
        <w:t>河区</w:t>
      </w:r>
      <w:r>
        <w:rPr>
          <w:rFonts w:hint="eastAsia" w:ascii="仿宋_GB2312" w:eastAsia="仿宋_GB2312"/>
          <w:spacing w:val="3"/>
          <w:sz w:val="32"/>
        </w:rPr>
        <w:t>委党校（信阳市</w:t>
      </w:r>
      <w:r>
        <w:rPr>
          <w:rFonts w:hint="eastAsia" w:ascii="仿宋_GB2312"/>
          <w:spacing w:val="3"/>
          <w:sz w:val="32"/>
        </w:rPr>
        <w:t>浉</w:t>
      </w:r>
      <w:r>
        <w:rPr>
          <w:rFonts w:hint="eastAsia" w:ascii="仿宋_GB2312" w:eastAsia="仿宋_GB2312"/>
          <w:spacing w:val="3"/>
          <w:sz w:val="32"/>
        </w:rPr>
        <w:t>河区行政干部学校）事业编制22名 。其中参公编制6人；事业编制18人；在职20人.离休1人.退休16人.</w:t>
      </w:r>
    </w:p>
    <w:p>
      <w:pPr>
        <w:ind w:firstLine="640" w:firstLineChars="200"/>
        <w:rPr>
          <w:rFonts w:ascii="黑体" w:hAnsi="黑体" w:eastAsia="黑体" w:cs="黑体"/>
          <w:sz w:val="32"/>
          <w:szCs w:val="32"/>
        </w:rPr>
      </w:pPr>
      <w:r>
        <w:rPr>
          <w:rFonts w:hint="eastAsia" w:ascii="黑体" w:hAnsi="黑体" w:eastAsia="黑体" w:cs="黑体"/>
          <w:sz w:val="32"/>
          <w:szCs w:val="32"/>
        </w:rPr>
        <w:t>二、部门预算单位构成</w:t>
      </w:r>
    </w:p>
    <w:p>
      <w:pPr>
        <w:spacing w:line="600" w:lineRule="exact"/>
        <w:ind w:firstLine="630"/>
        <w:rPr>
          <w:rFonts w:hint="eastAsia" w:eastAsia="仿宋_GB2312"/>
          <w:color w:val="000000"/>
          <w:sz w:val="32"/>
          <w:szCs w:val="32"/>
          <w:lang w:eastAsia="zh-CN"/>
        </w:rPr>
      </w:pPr>
      <w:r>
        <w:rPr>
          <w:rFonts w:hint="eastAsia"/>
          <w:lang w:val="en-US" w:eastAsia="zh-CN"/>
        </w:rPr>
        <w:t xml:space="preserve"> </w:t>
      </w:r>
      <w:r>
        <w:rPr>
          <w:rFonts w:hint="eastAsia" w:eastAsia="仿宋_GB2312"/>
          <w:color w:val="000000"/>
          <w:sz w:val="32"/>
          <w:szCs w:val="32"/>
        </w:rPr>
        <w:t>纳入</w:t>
      </w:r>
      <w:r>
        <w:rPr>
          <w:rFonts w:hint="eastAsia" w:ascii="仿宋_GB2312" w:hAnsi="Arial" w:eastAsia="仿宋_GB2312"/>
          <w:spacing w:val="3"/>
          <w:sz w:val="32"/>
        </w:rPr>
        <w:t>区</w:t>
      </w:r>
      <w:r>
        <w:rPr>
          <w:rFonts w:hint="eastAsia" w:ascii="仿宋_GB2312" w:eastAsia="仿宋_GB2312"/>
          <w:spacing w:val="3"/>
          <w:sz w:val="32"/>
        </w:rPr>
        <w:t>委党校</w:t>
      </w:r>
      <w:r>
        <w:rPr>
          <w:rFonts w:hint="eastAsia" w:eastAsia="仿宋_GB2312"/>
          <w:color w:val="000000"/>
          <w:sz w:val="32"/>
          <w:szCs w:val="32"/>
        </w:rPr>
        <w:t>2018年度部门预算编制范围包括本级预算</w:t>
      </w:r>
      <w:r>
        <w:rPr>
          <w:rFonts w:hint="eastAsia" w:eastAsia="仿宋_GB2312"/>
          <w:color w:val="000000"/>
          <w:sz w:val="32"/>
          <w:szCs w:val="32"/>
          <w:lang w:eastAsia="zh-CN"/>
        </w:rPr>
        <w:t>，无二级机构</w:t>
      </w:r>
      <w:bookmarkStart w:id="0" w:name="_GoBack"/>
      <w:bookmarkEnd w:id="0"/>
      <w:r>
        <w:rPr>
          <w:rFonts w:hint="eastAsia" w:eastAsia="仿宋_GB2312"/>
          <w:color w:val="000000"/>
          <w:sz w:val="32"/>
          <w:szCs w:val="32"/>
          <w:lang w:eastAsia="zh-CN"/>
        </w:rPr>
        <w:t>。</w:t>
      </w: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浉河区委党校</w:t>
      </w:r>
      <w:r>
        <w:rPr>
          <w:rFonts w:ascii="隶书" w:hAnsi="隶书" w:eastAsia="隶书" w:cs="隶书"/>
          <w:sz w:val="48"/>
          <w:szCs w:val="48"/>
        </w:rPr>
        <w:t>201</w:t>
      </w:r>
      <w:r>
        <w:rPr>
          <w:rFonts w:hint="eastAsia" w:ascii="隶书" w:hAnsi="隶书" w:eastAsia="隶书" w:cs="隶书"/>
          <w:sz w:val="48"/>
          <w:szCs w:val="48"/>
        </w:rPr>
        <w:t>8年度部门预算表</w:t>
      </w:r>
    </w:p>
    <w:tbl>
      <w:tblPr>
        <w:tblStyle w:val="6"/>
        <w:tblW w:w="10320" w:type="dxa"/>
        <w:tblInd w:w="-1051" w:type="dxa"/>
        <w:tblLayout w:type="fixed"/>
        <w:tblCellMar>
          <w:top w:w="15" w:type="dxa"/>
          <w:left w:w="15" w:type="dxa"/>
          <w:bottom w:w="15" w:type="dxa"/>
          <w:right w:w="15" w:type="dxa"/>
        </w:tblCellMar>
      </w:tblPr>
      <w:tblGrid>
        <w:gridCol w:w="2899"/>
        <w:gridCol w:w="353"/>
        <w:gridCol w:w="1963"/>
        <w:gridCol w:w="1849"/>
        <w:gridCol w:w="393"/>
        <w:gridCol w:w="388"/>
        <w:gridCol w:w="405"/>
        <w:gridCol w:w="2070"/>
      </w:tblGrid>
      <w:tr>
        <w:tblPrEx>
          <w:tblLayout w:type="fixed"/>
          <w:tblCellMar>
            <w:top w:w="15" w:type="dxa"/>
            <w:left w:w="15" w:type="dxa"/>
            <w:bottom w:w="15" w:type="dxa"/>
            <w:right w:w="15" w:type="dxa"/>
          </w:tblCellMar>
        </w:tblPrEx>
        <w:trPr>
          <w:trHeight w:val="375" w:hRule="atLeast"/>
        </w:trPr>
        <w:tc>
          <w:tcPr>
            <w:tcW w:w="10320" w:type="dxa"/>
            <w:gridSpan w:val="8"/>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收入支出预算总表</w:t>
            </w:r>
          </w:p>
        </w:tc>
      </w:tr>
      <w:tr>
        <w:tblPrEx>
          <w:tblLayout w:type="fixed"/>
          <w:tblCellMar>
            <w:top w:w="15" w:type="dxa"/>
            <w:left w:w="15" w:type="dxa"/>
            <w:bottom w:w="15" w:type="dxa"/>
            <w:right w:w="15" w:type="dxa"/>
          </w:tblCellMar>
        </w:tblPrEx>
        <w:trPr>
          <w:trHeight w:val="315" w:hRule="atLeast"/>
        </w:trPr>
        <w:tc>
          <w:tcPr>
            <w:tcW w:w="2899" w:type="dxa"/>
            <w:vAlign w:val="center"/>
          </w:tcPr>
          <w:p>
            <w:pPr>
              <w:widowControl/>
              <w:jc w:val="left"/>
              <w:textAlignment w:val="center"/>
              <w:rPr>
                <w:rFonts w:ascii="宋体" w:cs="宋体"/>
                <w:color w:val="000000"/>
                <w:sz w:val="16"/>
                <w:szCs w:val="16"/>
              </w:rPr>
            </w:pPr>
            <w:r>
              <w:rPr>
                <w:rFonts w:ascii="宋体" w:cs="宋体"/>
                <w:color w:val="000000"/>
                <w:kern w:val="0"/>
                <w:sz w:val="16"/>
                <w:szCs w:val="16"/>
              </w:rPr>
              <w:t>.</w:t>
            </w:r>
          </w:p>
        </w:tc>
        <w:tc>
          <w:tcPr>
            <w:tcW w:w="353" w:type="dxa"/>
            <w:vAlign w:val="center"/>
          </w:tcPr>
          <w:p>
            <w:pPr>
              <w:rPr>
                <w:rFonts w:ascii="宋体" w:cs="宋体"/>
                <w:color w:val="000000"/>
                <w:sz w:val="16"/>
                <w:szCs w:val="16"/>
              </w:rPr>
            </w:pPr>
          </w:p>
        </w:tc>
        <w:tc>
          <w:tcPr>
            <w:tcW w:w="1963" w:type="dxa"/>
            <w:vAlign w:val="center"/>
          </w:tcPr>
          <w:p>
            <w:pPr>
              <w:rPr>
                <w:rFonts w:ascii="宋体" w:cs="宋体"/>
                <w:color w:val="000000"/>
                <w:sz w:val="16"/>
                <w:szCs w:val="16"/>
              </w:rPr>
            </w:pPr>
          </w:p>
        </w:tc>
        <w:tc>
          <w:tcPr>
            <w:tcW w:w="1849" w:type="dxa"/>
            <w:vAlign w:val="center"/>
          </w:tcPr>
          <w:p>
            <w:pPr>
              <w:rPr>
                <w:rFonts w:ascii="宋体" w:cs="宋体"/>
                <w:color w:val="000000"/>
                <w:sz w:val="16"/>
                <w:szCs w:val="16"/>
              </w:rPr>
            </w:pPr>
          </w:p>
        </w:tc>
        <w:tc>
          <w:tcPr>
            <w:tcW w:w="393" w:type="dxa"/>
            <w:vAlign w:val="center"/>
          </w:tcPr>
          <w:p>
            <w:pPr>
              <w:rPr>
                <w:rFonts w:ascii="宋体" w:cs="宋体"/>
                <w:color w:val="000000"/>
                <w:sz w:val="16"/>
                <w:szCs w:val="16"/>
              </w:rPr>
            </w:pPr>
          </w:p>
        </w:tc>
        <w:tc>
          <w:tcPr>
            <w:tcW w:w="2863"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01</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2899" w:type="dxa"/>
            <w:vAlign w:val="center"/>
          </w:tcPr>
          <w:p>
            <w:pPr>
              <w:rPr>
                <w:rFonts w:ascii="宋体" w:cs="宋体"/>
                <w:color w:val="000000"/>
                <w:sz w:val="16"/>
                <w:szCs w:val="16"/>
              </w:rPr>
            </w:pPr>
          </w:p>
        </w:tc>
        <w:tc>
          <w:tcPr>
            <w:tcW w:w="353" w:type="dxa"/>
            <w:vAlign w:val="center"/>
          </w:tcPr>
          <w:p>
            <w:pPr>
              <w:rPr>
                <w:rFonts w:ascii="宋体" w:cs="宋体"/>
                <w:color w:val="000000"/>
                <w:sz w:val="16"/>
                <w:szCs w:val="16"/>
              </w:rPr>
            </w:pPr>
          </w:p>
        </w:tc>
        <w:tc>
          <w:tcPr>
            <w:tcW w:w="1963" w:type="dxa"/>
            <w:vAlign w:val="center"/>
          </w:tcPr>
          <w:p>
            <w:pPr>
              <w:rPr>
                <w:rFonts w:ascii="宋体" w:cs="宋体"/>
                <w:color w:val="000000"/>
                <w:sz w:val="16"/>
                <w:szCs w:val="16"/>
              </w:rPr>
            </w:pPr>
          </w:p>
        </w:tc>
        <w:tc>
          <w:tcPr>
            <w:tcW w:w="1849" w:type="dxa"/>
            <w:vAlign w:val="center"/>
          </w:tcPr>
          <w:p>
            <w:pPr>
              <w:rPr>
                <w:rFonts w:ascii="宋体" w:cs="宋体"/>
                <w:color w:val="000000"/>
                <w:sz w:val="16"/>
                <w:szCs w:val="16"/>
              </w:rPr>
            </w:pPr>
          </w:p>
        </w:tc>
        <w:tc>
          <w:tcPr>
            <w:tcW w:w="393" w:type="dxa"/>
            <w:vAlign w:val="center"/>
          </w:tcPr>
          <w:p>
            <w:pPr>
              <w:rPr>
                <w:rFonts w:ascii="宋体" w:cs="宋体"/>
                <w:color w:val="000000"/>
                <w:sz w:val="16"/>
                <w:szCs w:val="16"/>
              </w:rPr>
            </w:pPr>
          </w:p>
        </w:tc>
        <w:tc>
          <w:tcPr>
            <w:tcW w:w="2863"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1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收　　入</w:t>
            </w:r>
          </w:p>
        </w:tc>
        <w:tc>
          <w:tcPr>
            <w:tcW w:w="5105"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支　　出</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3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1</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一、财政拨款收入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hint="eastAsia" w:ascii="宋体" w:hAnsi="宋体" w:cs="宋体"/>
                <w:color w:val="000000"/>
                <w:kern w:val="0"/>
                <w:sz w:val="16"/>
                <w:szCs w:val="16"/>
              </w:rPr>
              <w:t>475.33</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一、一般公共服务支出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535.33</w:t>
            </w:r>
          </w:p>
        </w:tc>
      </w:tr>
      <w:tr>
        <w:tblPrEx>
          <w:tblLayout w:type="fixed"/>
          <w:tblCellMar>
            <w:top w:w="15" w:type="dxa"/>
            <w:left w:w="15" w:type="dxa"/>
            <w:bottom w:w="15" w:type="dxa"/>
            <w:right w:w="15" w:type="dxa"/>
          </w:tblCellMar>
        </w:tblPrEx>
        <w:trPr>
          <w:trHeight w:val="9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二、上级补助收入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三、国防支出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三、事业收入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hint="eastAsia" w:ascii="宋体" w:cs="宋体"/>
                <w:color w:val="000000"/>
                <w:sz w:val="16"/>
                <w:szCs w:val="16"/>
              </w:rPr>
              <w:t>60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四、公共安全支出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四、经营收入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五、教育支出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五、附属单位上缴收入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六、科学技术支出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六、其他收入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七、文化体育与传媒支出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八、社会保障和就业支出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九、医疗卫生与计划生育支出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十、节能环保支出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十一、城乡社区支出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十二、农林水支出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十三、交通运输支出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十四、资源勘探信息等支出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十五、商业服务业等支出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十六、金融支出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十七、援助其他地区支出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十八、国土海洋气象等支出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十九、住房保障支出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二十、粮油物资储备支出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二十一、其他支出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二十二、债务还本支出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二十三、债务付息支出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1" w:firstLineChars="100"/>
              <w:jc w:val="right"/>
              <w:textAlignment w:val="center"/>
              <w:rPr>
                <w:rFonts w:ascii="宋体" w:cs="宋体"/>
                <w:b/>
                <w:color w:val="000000"/>
                <w:sz w:val="16"/>
                <w:szCs w:val="16"/>
              </w:rPr>
            </w:pPr>
            <w:r>
              <w:rPr>
                <w:rFonts w:hint="eastAsia" w:ascii="宋体" w:cs="宋体"/>
                <w:b/>
                <w:color w:val="000000"/>
                <w:sz w:val="16"/>
                <w:szCs w:val="16"/>
              </w:rPr>
              <w:t>535.33</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hint="eastAsia" w:ascii="宋体" w:cs="宋体"/>
                <w:b/>
                <w:color w:val="000000"/>
                <w:sz w:val="16"/>
                <w:szCs w:val="16"/>
              </w:rPr>
              <w:t>535.33</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用事业基金弥补收支差额</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结余分配</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年初结转和结余</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年末结转和结余</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55</w:t>
            </w:r>
          </w:p>
        </w:tc>
        <w:tc>
          <w:tcPr>
            <w:tcW w:w="2070" w:type="dxa"/>
            <w:tcBorders>
              <w:top w:val="single" w:color="000000" w:sz="4" w:space="0"/>
              <w:left w:val="single" w:color="000000" w:sz="4" w:space="0"/>
              <w:bottom w:val="single" w:color="000000" w:sz="4" w:space="0"/>
              <w:right w:val="single" w:color="000000" w:sz="12" w:space="0"/>
            </w:tcBorders>
            <w:vAlign w:val="center"/>
          </w:tcPr>
          <w:p>
            <w:pP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35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28</w:t>
            </w:r>
          </w:p>
        </w:tc>
        <w:tc>
          <w:tcPr>
            <w:tcW w:w="1963" w:type="dxa"/>
            <w:tcBorders>
              <w:top w:val="single" w:color="000000" w:sz="4" w:space="0"/>
              <w:left w:val="single" w:color="000000" w:sz="4" w:space="0"/>
              <w:bottom w:val="single" w:color="000000" w:sz="12" w:space="0"/>
              <w:right w:val="single" w:color="000000" w:sz="4" w:space="0"/>
            </w:tcBorders>
            <w:vAlign w:val="center"/>
          </w:tcPr>
          <w:p>
            <w:pPr>
              <w:widowControl/>
              <w:ind w:firstLine="161" w:firstLineChars="100"/>
              <w:jc w:val="right"/>
              <w:textAlignment w:val="center"/>
              <w:rPr>
                <w:rFonts w:ascii="宋体" w:cs="宋体"/>
                <w:b/>
                <w:color w:val="000000"/>
                <w:sz w:val="16"/>
                <w:szCs w:val="16"/>
              </w:rPr>
            </w:pPr>
            <w:r>
              <w:rPr>
                <w:rFonts w:hint="eastAsia" w:ascii="宋体" w:cs="宋体"/>
                <w:b/>
                <w:color w:val="000000"/>
                <w:sz w:val="16"/>
                <w:szCs w:val="16"/>
              </w:rPr>
              <w:t>535.33</w:t>
            </w:r>
          </w:p>
        </w:tc>
        <w:tc>
          <w:tcPr>
            <w:tcW w:w="263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0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56</w:t>
            </w:r>
          </w:p>
        </w:tc>
        <w:tc>
          <w:tcPr>
            <w:tcW w:w="207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b/>
                <w:color w:val="000000"/>
                <w:sz w:val="16"/>
                <w:szCs w:val="16"/>
              </w:rPr>
            </w:pPr>
            <w:r>
              <w:rPr>
                <w:rFonts w:hint="eastAsia" w:ascii="宋体" w:cs="宋体"/>
                <w:b/>
                <w:color w:val="000000"/>
                <w:sz w:val="16"/>
                <w:szCs w:val="16"/>
              </w:rPr>
              <w:t>535.33</w:t>
            </w:r>
          </w:p>
        </w:tc>
      </w:tr>
      <w:tr>
        <w:tblPrEx>
          <w:tblLayout w:type="fixed"/>
          <w:tblCellMar>
            <w:top w:w="15" w:type="dxa"/>
            <w:left w:w="15" w:type="dxa"/>
            <w:bottom w:w="15" w:type="dxa"/>
            <w:right w:w="15" w:type="dxa"/>
          </w:tblCellMar>
        </w:tblPrEx>
        <w:trPr>
          <w:trHeight w:val="555" w:hRule="atLeast"/>
        </w:trPr>
        <w:tc>
          <w:tcPr>
            <w:tcW w:w="10320" w:type="dxa"/>
            <w:gridSpan w:val="8"/>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注：本表反映部门本年度的总收支和年末结转结余情况。</w:t>
            </w:r>
          </w:p>
        </w:tc>
      </w:tr>
    </w:tbl>
    <w:p>
      <w:pPr>
        <w:spacing w:line="360" w:lineRule="auto"/>
        <w:jc w:val="center"/>
        <w:rPr>
          <w:rFonts w:ascii="隶书" w:hAnsi="隶书" w:eastAsia="隶书" w:cs="隶书"/>
          <w:sz w:val="52"/>
          <w:szCs w:val="52"/>
        </w:rPr>
      </w:pPr>
    </w:p>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pPr w:leftFromText="180" w:rightFromText="180" w:vertAnchor="text" w:tblpY="1"/>
        <w:tblOverlap w:val="never"/>
        <w:tblW w:w="9136" w:type="dxa"/>
        <w:tblInd w:w="-1051" w:type="dxa"/>
        <w:tblLayout w:type="fixed"/>
        <w:tblCellMar>
          <w:top w:w="15" w:type="dxa"/>
          <w:left w:w="15" w:type="dxa"/>
          <w:bottom w:w="15" w:type="dxa"/>
          <w:right w:w="15" w:type="dxa"/>
        </w:tblCellMar>
      </w:tblPr>
      <w:tblGrid>
        <w:gridCol w:w="705"/>
        <w:gridCol w:w="938"/>
        <w:gridCol w:w="891"/>
        <w:gridCol w:w="909"/>
        <w:gridCol w:w="97"/>
        <w:gridCol w:w="902"/>
        <w:gridCol w:w="236"/>
        <w:gridCol w:w="763"/>
        <w:gridCol w:w="411"/>
        <w:gridCol w:w="360"/>
        <w:gridCol w:w="264"/>
        <w:gridCol w:w="96"/>
        <w:gridCol w:w="23"/>
        <w:gridCol w:w="110"/>
        <w:gridCol w:w="485"/>
        <w:gridCol w:w="368"/>
        <w:gridCol w:w="232"/>
        <w:gridCol w:w="194"/>
        <w:gridCol w:w="166"/>
        <w:gridCol w:w="626"/>
        <w:gridCol w:w="360"/>
      </w:tblGrid>
      <w:tr>
        <w:tblPrEx>
          <w:tblLayout w:type="fixed"/>
          <w:tblCellMar>
            <w:top w:w="15" w:type="dxa"/>
            <w:left w:w="15" w:type="dxa"/>
            <w:bottom w:w="15" w:type="dxa"/>
            <w:right w:w="15" w:type="dxa"/>
          </w:tblCellMar>
        </w:tblPrEx>
        <w:trPr>
          <w:trHeight w:val="375" w:hRule="atLeast"/>
        </w:trPr>
        <w:tc>
          <w:tcPr>
            <w:tcW w:w="9136" w:type="dxa"/>
            <w:gridSpan w:val="21"/>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收入预算表</w:t>
            </w:r>
          </w:p>
        </w:tc>
      </w:tr>
      <w:tr>
        <w:tblPrEx>
          <w:tblLayout w:type="fixed"/>
          <w:tblCellMar>
            <w:top w:w="15" w:type="dxa"/>
            <w:left w:w="15" w:type="dxa"/>
            <w:bottom w:w="15" w:type="dxa"/>
            <w:right w:w="15" w:type="dxa"/>
          </w:tblCellMar>
        </w:tblPrEx>
        <w:trPr>
          <w:trHeight w:val="315" w:hRule="atLeast"/>
        </w:trPr>
        <w:tc>
          <w:tcPr>
            <w:tcW w:w="1643" w:type="dxa"/>
            <w:gridSpan w:val="2"/>
            <w:vAlign w:val="center"/>
          </w:tcPr>
          <w:p>
            <w:pPr>
              <w:rPr>
                <w:rFonts w:ascii="宋体" w:cs="宋体"/>
                <w:color w:val="000000"/>
                <w:sz w:val="16"/>
                <w:szCs w:val="16"/>
              </w:rPr>
            </w:pPr>
          </w:p>
        </w:tc>
        <w:tc>
          <w:tcPr>
            <w:tcW w:w="891" w:type="dxa"/>
            <w:vAlign w:val="center"/>
          </w:tcPr>
          <w:p>
            <w:pPr>
              <w:rPr>
                <w:rFonts w:ascii="宋体" w:cs="宋体"/>
                <w:color w:val="000000"/>
                <w:sz w:val="16"/>
                <w:szCs w:val="16"/>
              </w:rPr>
            </w:pPr>
          </w:p>
        </w:tc>
        <w:tc>
          <w:tcPr>
            <w:tcW w:w="909"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035" w:type="dxa"/>
            <w:gridSpan w:val="3"/>
            <w:vAlign w:val="center"/>
          </w:tcPr>
          <w:p>
            <w:pPr>
              <w:rPr>
                <w:rFonts w:ascii="宋体" w:cs="宋体"/>
                <w:color w:val="000000"/>
                <w:sz w:val="16"/>
                <w:szCs w:val="16"/>
              </w:rPr>
            </w:pPr>
          </w:p>
        </w:tc>
        <w:tc>
          <w:tcPr>
            <w:tcW w:w="714" w:type="dxa"/>
            <w:gridSpan w:val="4"/>
            <w:vAlign w:val="center"/>
          </w:tcPr>
          <w:p>
            <w:pPr>
              <w:rPr>
                <w:rFonts w:ascii="宋体" w:cs="宋体"/>
                <w:color w:val="000000"/>
                <w:sz w:val="16"/>
                <w:szCs w:val="16"/>
              </w:rPr>
            </w:pPr>
          </w:p>
        </w:tc>
        <w:tc>
          <w:tcPr>
            <w:tcW w:w="794" w:type="dxa"/>
            <w:gridSpan w:val="3"/>
            <w:vAlign w:val="center"/>
          </w:tcPr>
          <w:p>
            <w:pPr>
              <w:rPr>
                <w:rFonts w:ascii="宋体" w:cs="宋体"/>
                <w:color w:val="000000"/>
                <w:sz w:val="16"/>
                <w:szCs w:val="16"/>
              </w:rPr>
            </w:pPr>
          </w:p>
        </w:tc>
        <w:tc>
          <w:tcPr>
            <w:tcW w:w="1152"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02</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643" w:type="dxa"/>
            <w:gridSpan w:val="2"/>
            <w:vAlign w:val="center"/>
          </w:tcPr>
          <w:p>
            <w:pPr>
              <w:rPr>
                <w:rFonts w:ascii="宋体" w:cs="宋体"/>
                <w:color w:val="000000"/>
                <w:sz w:val="16"/>
                <w:szCs w:val="16"/>
              </w:rPr>
            </w:pPr>
          </w:p>
        </w:tc>
        <w:tc>
          <w:tcPr>
            <w:tcW w:w="891" w:type="dxa"/>
            <w:vAlign w:val="center"/>
          </w:tcPr>
          <w:p>
            <w:pPr>
              <w:rPr>
                <w:rFonts w:ascii="宋体" w:cs="宋体"/>
                <w:color w:val="000000"/>
                <w:sz w:val="16"/>
                <w:szCs w:val="16"/>
              </w:rPr>
            </w:pPr>
          </w:p>
        </w:tc>
        <w:tc>
          <w:tcPr>
            <w:tcW w:w="909"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035" w:type="dxa"/>
            <w:gridSpan w:val="3"/>
            <w:vAlign w:val="center"/>
          </w:tcPr>
          <w:p>
            <w:pPr>
              <w:rPr>
                <w:rFonts w:ascii="宋体" w:cs="宋体"/>
                <w:color w:val="000000"/>
                <w:sz w:val="16"/>
                <w:szCs w:val="16"/>
              </w:rPr>
            </w:pPr>
          </w:p>
        </w:tc>
        <w:tc>
          <w:tcPr>
            <w:tcW w:w="714" w:type="dxa"/>
            <w:gridSpan w:val="4"/>
            <w:vAlign w:val="center"/>
          </w:tcPr>
          <w:p>
            <w:pPr>
              <w:rPr>
                <w:rFonts w:ascii="宋体" w:cs="宋体"/>
                <w:color w:val="000000"/>
                <w:sz w:val="16"/>
                <w:szCs w:val="16"/>
              </w:rPr>
            </w:pPr>
          </w:p>
        </w:tc>
        <w:tc>
          <w:tcPr>
            <w:tcW w:w="794" w:type="dxa"/>
            <w:gridSpan w:val="3"/>
            <w:vAlign w:val="center"/>
          </w:tcPr>
          <w:p>
            <w:pPr>
              <w:rPr>
                <w:rFonts w:ascii="宋体" w:cs="宋体"/>
                <w:color w:val="000000"/>
                <w:sz w:val="16"/>
                <w:szCs w:val="16"/>
              </w:rPr>
            </w:pPr>
          </w:p>
        </w:tc>
        <w:tc>
          <w:tcPr>
            <w:tcW w:w="1152"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2534"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w:t>
            </w:r>
          </w:p>
        </w:tc>
        <w:tc>
          <w:tcPr>
            <w:tcW w:w="1006"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财政拨款收入</w:t>
            </w:r>
          </w:p>
        </w:tc>
        <w:tc>
          <w:tcPr>
            <w:tcW w:w="117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上级补助收入</w:t>
            </w:r>
          </w:p>
        </w:tc>
        <w:tc>
          <w:tcPr>
            <w:tcW w:w="743" w:type="dxa"/>
            <w:gridSpan w:val="4"/>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事业收入</w:t>
            </w:r>
          </w:p>
        </w:tc>
        <w:tc>
          <w:tcPr>
            <w:tcW w:w="963"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经营收入</w:t>
            </w:r>
          </w:p>
        </w:tc>
        <w:tc>
          <w:tcPr>
            <w:tcW w:w="1218" w:type="dxa"/>
            <w:gridSpan w:val="4"/>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附属单位</w:t>
            </w:r>
            <w:r>
              <w:rPr>
                <w:rFonts w:ascii="宋体" w:cs="宋体"/>
                <w:b/>
                <w:color w:val="000000"/>
                <w:kern w:val="0"/>
                <w:sz w:val="16"/>
                <w:szCs w:val="16"/>
              </w:rPr>
              <w:br w:type="textWrapping"/>
            </w:r>
            <w:r>
              <w:rPr>
                <w:rFonts w:hint="eastAsia" w:ascii="宋体" w:hAnsi="宋体" w:cs="宋体"/>
                <w:b/>
                <w:color w:val="000000"/>
                <w:kern w:val="0"/>
                <w:sz w:val="16"/>
                <w:szCs w:val="16"/>
              </w:rPr>
              <w:t>上缴收入</w:t>
            </w:r>
          </w:p>
        </w:tc>
        <w:tc>
          <w:tcPr>
            <w:tcW w:w="36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其他收入</w:t>
            </w:r>
          </w:p>
        </w:tc>
      </w:tr>
      <w:tr>
        <w:tblPrEx>
          <w:tblLayout w:type="fixed"/>
          <w:tblCellMar>
            <w:top w:w="15" w:type="dxa"/>
            <w:left w:w="15" w:type="dxa"/>
            <w:bottom w:w="15" w:type="dxa"/>
            <w:right w:w="15" w:type="dxa"/>
          </w:tblCellMar>
        </w:tblPrEx>
        <w:trPr>
          <w:trHeight w:val="6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18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006"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7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743" w:type="dxa"/>
            <w:gridSpan w:val="4"/>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963"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18" w:type="dxa"/>
            <w:gridSpan w:val="4"/>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36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PrEx>
        <w:trPr>
          <w:gridAfter w:val="2"/>
          <w:wAfter w:w="986" w:type="dxa"/>
          <w:trHeight w:val="689" w:hRule="atLeast"/>
        </w:trPr>
        <w:tc>
          <w:tcPr>
            <w:tcW w:w="2534"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00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1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3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36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18"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c>
          <w:tcPr>
            <w:tcW w:w="3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r>
      <w:tr>
        <w:tblPrEx>
          <w:tblLayout w:type="fixed"/>
          <w:tblCellMar>
            <w:top w:w="15" w:type="dxa"/>
            <w:left w:w="15" w:type="dxa"/>
            <w:bottom w:w="15" w:type="dxa"/>
            <w:right w:w="15" w:type="dxa"/>
          </w:tblCellMar>
        </w:tblPrEx>
        <w:trPr>
          <w:trHeight w:val="300" w:hRule="atLeast"/>
        </w:trPr>
        <w:tc>
          <w:tcPr>
            <w:tcW w:w="2534"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00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pPr>
          </w:p>
        </w:tc>
        <w:tc>
          <w:tcPr>
            <w:tcW w:w="117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853" w:type="dxa"/>
            <w:gridSpan w:val="5"/>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218"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3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p>
        </w:tc>
        <w:tc>
          <w:tcPr>
            <w:tcW w:w="18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
                <w:color w:val="000000"/>
                <w:sz w:val="16"/>
                <w:szCs w:val="16"/>
              </w:rPr>
              <w:t>行政运行</w:t>
            </w:r>
          </w:p>
        </w:tc>
        <w:tc>
          <w:tcPr>
            <w:tcW w:w="1006"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475.33</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475.33</w:t>
            </w:r>
          </w:p>
        </w:tc>
        <w:tc>
          <w:tcPr>
            <w:tcW w:w="117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853" w:type="dxa"/>
            <w:gridSpan w:val="5"/>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218"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3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p>
        </w:tc>
      </w:tr>
      <w:tr>
        <w:tblPrEx>
          <w:tblLayout w:type="fixed"/>
          <w:tblCellMar>
            <w:top w:w="15" w:type="dxa"/>
            <w:left w:w="15" w:type="dxa"/>
            <w:bottom w:w="15" w:type="dxa"/>
            <w:right w:w="15" w:type="dxa"/>
          </w:tblCellMar>
        </w:tblPrEx>
        <w:trPr>
          <w:trHeight w:val="9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1030457</w:t>
            </w:r>
          </w:p>
        </w:tc>
        <w:tc>
          <w:tcPr>
            <w:tcW w:w="18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党校行政事业性收费收入</w:t>
            </w:r>
          </w:p>
        </w:tc>
        <w:tc>
          <w:tcPr>
            <w:tcW w:w="1006"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60</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pPr>
          </w:p>
        </w:tc>
        <w:tc>
          <w:tcPr>
            <w:tcW w:w="117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53" w:type="dxa"/>
            <w:gridSpan w:val="5"/>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60</w:t>
            </w: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18"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3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17"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8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006" w:type="dxa"/>
            <w:gridSpan w:val="2"/>
            <w:tcBorders>
              <w:top w:val="single" w:color="000000" w:sz="4" w:space="0"/>
              <w:left w:val="single" w:color="000000" w:sz="4" w:space="0"/>
              <w:bottom w:val="single" w:color="000000" w:sz="4" w:space="0"/>
              <w:right w:val="single" w:color="000000" w:sz="4" w:space="0"/>
            </w:tcBorders>
          </w:tcPr>
          <w:p>
            <w:pPr>
              <w:jc w:val="center"/>
            </w:pP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pPr>
          </w:p>
        </w:tc>
        <w:tc>
          <w:tcPr>
            <w:tcW w:w="117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53" w:type="dxa"/>
            <w:gridSpan w:val="5"/>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18"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3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8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0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7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53" w:type="dxa"/>
            <w:gridSpan w:val="5"/>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18"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3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8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0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7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53" w:type="dxa"/>
            <w:gridSpan w:val="5"/>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18"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3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8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0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7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53" w:type="dxa"/>
            <w:gridSpan w:val="5"/>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18"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3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8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0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7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53" w:type="dxa"/>
            <w:gridSpan w:val="5"/>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18"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3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8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0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7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853" w:type="dxa"/>
            <w:gridSpan w:val="5"/>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18"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3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8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0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7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853" w:type="dxa"/>
            <w:gridSpan w:val="5"/>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18"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3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8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0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7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853" w:type="dxa"/>
            <w:gridSpan w:val="5"/>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18"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3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PrEx>
        <w:trPr>
          <w:trHeight w:val="30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1829"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1006"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74"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853" w:type="dxa"/>
            <w:gridSpan w:val="5"/>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853"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18" w:type="dxa"/>
            <w:gridSpan w:val="4"/>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36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9136" w:type="dxa"/>
            <w:gridSpan w:val="21"/>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注：本表反映部门本年度取得的各项收入情况。</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r>
        <w:rPr>
          <w:rFonts w:ascii="隶书" w:hAnsi="隶书" w:eastAsia="隶书" w:cs="隶书"/>
          <w:sz w:val="52"/>
          <w:szCs w:val="52"/>
        </w:rPr>
        <w:br w:type="textWrapping" w:clear="all"/>
      </w:r>
    </w:p>
    <w:tbl>
      <w:tblPr>
        <w:tblStyle w:val="6"/>
        <w:tblW w:w="10335" w:type="dxa"/>
        <w:tblInd w:w="-1051" w:type="dxa"/>
        <w:tblLayout w:type="fixed"/>
        <w:tblCellMar>
          <w:top w:w="15" w:type="dxa"/>
          <w:left w:w="15" w:type="dxa"/>
          <w:bottom w:w="15" w:type="dxa"/>
          <w:right w:w="15" w:type="dxa"/>
        </w:tblCellMar>
      </w:tblPr>
      <w:tblGrid>
        <w:gridCol w:w="720"/>
        <w:gridCol w:w="992"/>
        <w:gridCol w:w="1519"/>
        <w:gridCol w:w="1161"/>
        <w:gridCol w:w="23"/>
        <w:gridCol w:w="976"/>
        <w:gridCol w:w="208"/>
        <w:gridCol w:w="791"/>
        <w:gridCol w:w="393"/>
        <w:gridCol w:w="606"/>
        <w:gridCol w:w="578"/>
        <w:gridCol w:w="421"/>
        <w:gridCol w:w="763"/>
        <w:gridCol w:w="1184"/>
      </w:tblGrid>
      <w:tr>
        <w:tblPrEx>
          <w:tblLayout w:type="fixed"/>
          <w:tblCellMar>
            <w:top w:w="15" w:type="dxa"/>
            <w:left w:w="15" w:type="dxa"/>
            <w:bottom w:w="15" w:type="dxa"/>
            <w:right w:w="15" w:type="dxa"/>
          </w:tblCellMar>
        </w:tblPrEx>
        <w:trPr>
          <w:trHeight w:val="375" w:hRule="atLeast"/>
        </w:trPr>
        <w:tc>
          <w:tcPr>
            <w:tcW w:w="10335" w:type="dxa"/>
            <w:gridSpan w:val="14"/>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支出预算表</w:t>
            </w:r>
          </w:p>
        </w:tc>
      </w:tr>
      <w:tr>
        <w:tblPrEx>
          <w:tblLayout w:type="fixed"/>
          <w:tblCellMar>
            <w:top w:w="15" w:type="dxa"/>
            <w:left w:w="15" w:type="dxa"/>
            <w:bottom w:w="15" w:type="dxa"/>
            <w:right w:w="15" w:type="dxa"/>
          </w:tblCellMar>
        </w:tblPrEx>
        <w:trPr>
          <w:trHeight w:val="315" w:hRule="atLeast"/>
        </w:trPr>
        <w:tc>
          <w:tcPr>
            <w:tcW w:w="1712" w:type="dxa"/>
            <w:gridSpan w:val="2"/>
            <w:vAlign w:val="center"/>
          </w:tcPr>
          <w:p>
            <w:pPr>
              <w:rPr>
                <w:rFonts w:ascii="宋体" w:cs="宋体"/>
                <w:color w:val="000000"/>
                <w:sz w:val="16"/>
                <w:szCs w:val="16"/>
              </w:rPr>
            </w:pPr>
          </w:p>
        </w:tc>
        <w:tc>
          <w:tcPr>
            <w:tcW w:w="1519" w:type="dxa"/>
            <w:vAlign w:val="center"/>
          </w:tcPr>
          <w:p>
            <w:pPr>
              <w:rPr>
                <w:rFonts w:ascii="宋体" w:cs="宋体"/>
                <w:color w:val="000000"/>
                <w:sz w:val="16"/>
                <w:szCs w:val="16"/>
              </w:rPr>
            </w:pPr>
          </w:p>
        </w:tc>
        <w:tc>
          <w:tcPr>
            <w:tcW w:w="116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947"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03</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712" w:type="dxa"/>
            <w:gridSpan w:val="2"/>
            <w:vAlign w:val="center"/>
          </w:tcPr>
          <w:p>
            <w:pPr>
              <w:rPr>
                <w:rFonts w:ascii="宋体" w:cs="宋体"/>
                <w:color w:val="000000"/>
                <w:sz w:val="16"/>
                <w:szCs w:val="16"/>
              </w:rPr>
            </w:pPr>
          </w:p>
        </w:tc>
        <w:tc>
          <w:tcPr>
            <w:tcW w:w="1519" w:type="dxa"/>
            <w:vAlign w:val="center"/>
          </w:tcPr>
          <w:p>
            <w:pPr>
              <w:rPr>
                <w:rFonts w:ascii="宋体" w:cs="宋体"/>
                <w:color w:val="000000"/>
                <w:sz w:val="16"/>
                <w:szCs w:val="16"/>
              </w:rPr>
            </w:pPr>
          </w:p>
        </w:tc>
        <w:tc>
          <w:tcPr>
            <w:tcW w:w="116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947"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23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上缴上级支出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经营支出</w:t>
            </w:r>
          </w:p>
        </w:tc>
        <w:tc>
          <w:tcPr>
            <w:tcW w:w="1184"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对附属单位</w:t>
            </w:r>
            <w:r>
              <w:rPr>
                <w:rFonts w:ascii="宋体" w:cs="宋体"/>
                <w:b/>
                <w:color w:val="000000"/>
                <w:kern w:val="0"/>
                <w:sz w:val="16"/>
                <w:szCs w:val="16"/>
              </w:rPr>
              <w:br w:type="textWrapping"/>
            </w:r>
            <w:r>
              <w:rPr>
                <w:rFonts w:hint="eastAsia" w:ascii="宋体" w:hAnsi="宋体" w:cs="宋体"/>
                <w:b/>
                <w:color w:val="000000"/>
                <w:kern w:val="0"/>
                <w:sz w:val="16"/>
                <w:szCs w:val="16"/>
              </w:rPr>
              <w:t>补助支出</w:t>
            </w:r>
          </w:p>
        </w:tc>
      </w:tr>
      <w:tr>
        <w:tblPrEx>
          <w:tblLayout w:type="fixed"/>
          <w:tblCellMar>
            <w:top w:w="15" w:type="dxa"/>
            <w:left w:w="15" w:type="dxa"/>
            <w:bottom w:w="15" w:type="dxa"/>
            <w:right w:w="15" w:type="dxa"/>
          </w:tblCellMar>
        </w:tblPrEx>
        <w:trPr>
          <w:trHeight w:val="6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tblPrEx>
          <w:tblLayout w:type="fixed"/>
          <w:tblCellMar>
            <w:top w:w="15" w:type="dxa"/>
            <w:left w:w="15" w:type="dxa"/>
            <w:bottom w:w="15" w:type="dxa"/>
            <w:right w:w="15" w:type="dxa"/>
          </w:tblCellMar>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535.33</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262.33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hint="eastAsia" w:ascii="宋体" w:hAnsi="宋体" w:cs="宋体"/>
                <w:b/>
                <w:color w:val="000000"/>
                <w:sz w:val="16"/>
                <w:szCs w:val="16"/>
              </w:rPr>
              <w:t>2730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
                <w:color w:val="000000"/>
                <w:sz w:val="16"/>
                <w:szCs w:val="16"/>
              </w:rPr>
              <w:t>30101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
                <w:color w:val="000000"/>
                <w:sz w:val="16"/>
                <w:szCs w:val="16"/>
              </w:rPr>
              <w:t>工资福利支出</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196.08</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196.08</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30201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商品和服务支出</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66.25</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66.25</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b/>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pPr>
            <w:r>
              <w:rPr>
                <w:rFonts w:hint="eastAsia" w:ascii="宋体" w:hAnsi="宋体" w:cs="宋体"/>
                <w:b/>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50201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专项业务支出</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273</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273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pPr>
            <w:r>
              <w:rPr>
                <w:rFonts w:hint="eastAsia"/>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35" w:type="dxa"/>
            <w:gridSpan w:val="14"/>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注：本表反映部门本年度取得的各项支出情况。</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65" w:type="dxa"/>
        <w:tblInd w:w="-1066" w:type="dxa"/>
        <w:tblLayout w:type="fixed"/>
        <w:tblCellMar>
          <w:top w:w="15" w:type="dxa"/>
          <w:left w:w="15" w:type="dxa"/>
          <w:bottom w:w="15" w:type="dxa"/>
          <w:right w:w="15" w:type="dxa"/>
        </w:tblCellMar>
      </w:tblPr>
      <w:tblGrid>
        <w:gridCol w:w="2190"/>
        <w:gridCol w:w="278"/>
        <w:gridCol w:w="122"/>
        <w:gridCol w:w="193"/>
        <w:gridCol w:w="1102"/>
        <w:gridCol w:w="1746"/>
        <w:gridCol w:w="316"/>
        <w:gridCol w:w="203"/>
        <w:gridCol w:w="325"/>
        <w:gridCol w:w="471"/>
        <w:gridCol w:w="824"/>
        <w:gridCol w:w="175"/>
        <w:gridCol w:w="1120"/>
        <w:gridCol w:w="1300"/>
      </w:tblGrid>
      <w:tr>
        <w:tblPrEx>
          <w:tblLayout w:type="fixed"/>
          <w:tblCellMar>
            <w:top w:w="15" w:type="dxa"/>
            <w:left w:w="15" w:type="dxa"/>
            <w:bottom w:w="15" w:type="dxa"/>
            <w:right w:w="15" w:type="dxa"/>
          </w:tblCellMar>
        </w:tblPrEx>
        <w:trPr>
          <w:trHeight w:val="375" w:hRule="atLeast"/>
        </w:trPr>
        <w:tc>
          <w:tcPr>
            <w:tcW w:w="10365" w:type="dxa"/>
            <w:gridSpan w:val="14"/>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财政拨款收入支出预算表</w:t>
            </w:r>
          </w:p>
        </w:tc>
      </w:tr>
      <w:tr>
        <w:tblPrEx>
          <w:tblLayout w:type="fixed"/>
          <w:tblCellMar>
            <w:top w:w="15" w:type="dxa"/>
            <w:left w:w="15" w:type="dxa"/>
            <w:bottom w:w="15" w:type="dxa"/>
            <w:right w:w="15" w:type="dxa"/>
          </w:tblCellMar>
        </w:tblPrEx>
        <w:trPr>
          <w:trHeight w:val="285" w:hRule="atLeast"/>
        </w:trPr>
        <w:tc>
          <w:tcPr>
            <w:tcW w:w="2468" w:type="dxa"/>
            <w:gridSpan w:val="2"/>
            <w:vAlign w:val="center"/>
          </w:tcPr>
          <w:p>
            <w:pPr>
              <w:rPr>
                <w:rFonts w:ascii="宋体" w:cs="宋体"/>
                <w:color w:val="000000"/>
                <w:sz w:val="16"/>
                <w:szCs w:val="16"/>
              </w:rPr>
            </w:pPr>
          </w:p>
        </w:tc>
        <w:tc>
          <w:tcPr>
            <w:tcW w:w="315" w:type="dxa"/>
            <w:gridSpan w:val="2"/>
            <w:vAlign w:val="center"/>
          </w:tcPr>
          <w:p>
            <w:pPr>
              <w:rPr>
                <w:rFonts w:ascii="宋体" w:cs="宋体"/>
                <w:color w:val="000000"/>
                <w:sz w:val="16"/>
                <w:szCs w:val="16"/>
              </w:rPr>
            </w:pPr>
          </w:p>
        </w:tc>
        <w:tc>
          <w:tcPr>
            <w:tcW w:w="1102" w:type="dxa"/>
            <w:vAlign w:val="center"/>
          </w:tcPr>
          <w:p>
            <w:pPr>
              <w:rPr>
                <w:rFonts w:ascii="宋体" w:cs="宋体"/>
                <w:color w:val="000000"/>
                <w:sz w:val="16"/>
                <w:szCs w:val="16"/>
              </w:rPr>
            </w:pPr>
          </w:p>
        </w:tc>
        <w:tc>
          <w:tcPr>
            <w:tcW w:w="1746" w:type="dxa"/>
            <w:vAlign w:val="center"/>
          </w:tcPr>
          <w:p>
            <w:pPr>
              <w:rPr>
                <w:rFonts w:ascii="宋体" w:cs="宋体"/>
                <w:color w:val="000000"/>
                <w:sz w:val="16"/>
                <w:szCs w:val="16"/>
              </w:rPr>
            </w:pPr>
          </w:p>
        </w:tc>
        <w:tc>
          <w:tcPr>
            <w:tcW w:w="316" w:type="dxa"/>
            <w:vAlign w:val="center"/>
          </w:tcPr>
          <w:p>
            <w:pPr>
              <w:rPr>
                <w:rFonts w:ascii="宋体" w:cs="宋体"/>
                <w:color w:val="000000"/>
                <w:sz w:val="16"/>
                <w:szCs w:val="16"/>
              </w:rPr>
            </w:pPr>
          </w:p>
        </w:tc>
        <w:tc>
          <w:tcPr>
            <w:tcW w:w="999" w:type="dxa"/>
            <w:gridSpan w:val="3"/>
            <w:vAlign w:val="center"/>
          </w:tcPr>
          <w:p>
            <w:pPr>
              <w:jc w:val="right"/>
              <w:rPr>
                <w:rFonts w:ascii="宋体" w:cs="宋体"/>
                <w:color w:val="000000"/>
                <w:sz w:val="16"/>
                <w:szCs w:val="16"/>
              </w:rPr>
            </w:pPr>
          </w:p>
        </w:tc>
        <w:tc>
          <w:tcPr>
            <w:tcW w:w="999" w:type="dxa"/>
            <w:gridSpan w:val="2"/>
            <w:vAlign w:val="center"/>
          </w:tcPr>
          <w:p>
            <w:pPr>
              <w:jc w:val="right"/>
              <w:rPr>
                <w:rFonts w:ascii="宋体" w:cs="宋体"/>
                <w:color w:val="000000"/>
                <w:sz w:val="16"/>
                <w:szCs w:val="16"/>
              </w:rPr>
            </w:pPr>
          </w:p>
        </w:tc>
        <w:tc>
          <w:tcPr>
            <w:tcW w:w="2420"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04</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85" w:hRule="atLeast"/>
        </w:trPr>
        <w:tc>
          <w:tcPr>
            <w:tcW w:w="2468" w:type="dxa"/>
            <w:gridSpan w:val="2"/>
            <w:vAlign w:val="center"/>
          </w:tcPr>
          <w:p>
            <w:pPr>
              <w:rPr>
                <w:rFonts w:ascii="宋体" w:cs="宋体"/>
                <w:color w:val="000000"/>
                <w:sz w:val="16"/>
                <w:szCs w:val="16"/>
              </w:rPr>
            </w:pPr>
          </w:p>
        </w:tc>
        <w:tc>
          <w:tcPr>
            <w:tcW w:w="315" w:type="dxa"/>
            <w:gridSpan w:val="2"/>
            <w:vAlign w:val="center"/>
          </w:tcPr>
          <w:p>
            <w:pPr>
              <w:rPr>
                <w:rFonts w:ascii="宋体" w:cs="宋体"/>
                <w:color w:val="000000"/>
                <w:sz w:val="16"/>
                <w:szCs w:val="16"/>
              </w:rPr>
            </w:pPr>
          </w:p>
        </w:tc>
        <w:tc>
          <w:tcPr>
            <w:tcW w:w="1102" w:type="dxa"/>
            <w:vAlign w:val="center"/>
          </w:tcPr>
          <w:p>
            <w:pPr>
              <w:rPr>
                <w:rFonts w:ascii="宋体" w:cs="宋体"/>
                <w:color w:val="000000"/>
                <w:sz w:val="16"/>
                <w:szCs w:val="16"/>
              </w:rPr>
            </w:pPr>
          </w:p>
        </w:tc>
        <w:tc>
          <w:tcPr>
            <w:tcW w:w="1746" w:type="dxa"/>
            <w:vAlign w:val="center"/>
          </w:tcPr>
          <w:p>
            <w:pPr>
              <w:rPr>
                <w:rFonts w:ascii="宋体" w:cs="宋体"/>
                <w:color w:val="000000"/>
                <w:sz w:val="16"/>
                <w:szCs w:val="16"/>
              </w:rPr>
            </w:pPr>
          </w:p>
        </w:tc>
        <w:tc>
          <w:tcPr>
            <w:tcW w:w="316" w:type="dxa"/>
            <w:vAlign w:val="center"/>
          </w:tcPr>
          <w:p>
            <w:pPr>
              <w:rPr>
                <w:rFonts w:ascii="宋体" w:cs="宋体"/>
                <w:color w:val="000000"/>
                <w:sz w:val="16"/>
                <w:szCs w:val="16"/>
              </w:rPr>
            </w:pPr>
          </w:p>
        </w:tc>
        <w:tc>
          <w:tcPr>
            <w:tcW w:w="999" w:type="dxa"/>
            <w:gridSpan w:val="3"/>
            <w:vAlign w:val="center"/>
          </w:tcPr>
          <w:p>
            <w:pPr>
              <w:jc w:val="right"/>
              <w:rPr>
                <w:rFonts w:ascii="宋体" w:cs="宋体"/>
                <w:color w:val="000000"/>
                <w:sz w:val="16"/>
                <w:szCs w:val="16"/>
              </w:rPr>
            </w:pPr>
          </w:p>
        </w:tc>
        <w:tc>
          <w:tcPr>
            <w:tcW w:w="999" w:type="dxa"/>
            <w:gridSpan w:val="2"/>
            <w:vAlign w:val="center"/>
          </w:tcPr>
          <w:p>
            <w:pPr>
              <w:jc w:val="right"/>
              <w:rPr>
                <w:rFonts w:ascii="宋体" w:cs="宋体"/>
                <w:color w:val="000000"/>
                <w:sz w:val="16"/>
                <w:szCs w:val="16"/>
              </w:rPr>
            </w:pPr>
          </w:p>
        </w:tc>
        <w:tc>
          <w:tcPr>
            <w:tcW w:w="2420"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885"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收　　入</w:t>
            </w:r>
          </w:p>
        </w:tc>
        <w:tc>
          <w:tcPr>
            <w:tcW w:w="6480" w:type="dxa"/>
            <w:gridSpan w:val="9"/>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支　　出</w:t>
            </w:r>
          </w:p>
        </w:tc>
      </w:tr>
      <w:tr>
        <w:tblPrEx>
          <w:tblLayout w:type="fixed"/>
          <w:tblCellMar>
            <w:top w:w="15" w:type="dxa"/>
            <w:left w:w="15" w:type="dxa"/>
            <w:bottom w:w="15" w:type="dxa"/>
            <w:right w:w="15" w:type="dxa"/>
          </w:tblCellMar>
        </w:tblPrEx>
        <w:trPr>
          <w:trHeight w:val="480"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政府性基金预算财政拨款</w:t>
            </w:r>
          </w:p>
        </w:tc>
      </w:tr>
      <w:tr>
        <w:tblPrEx>
          <w:tblLayout w:type="fixed"/>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3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535.33</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一、一般公共服务支出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535.33</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二、外交支出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三、国防支出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四、公共安全支出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五、教育支出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六、科学技术支出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七、文化体育与传媒支出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八、社会保障和就业支出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九、医疗卫生与计划生育支出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十、节能环保支出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十一、城乡社区支出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十二、农林水支出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十三、交通运输支出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十四、资源勘探信息等支出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十五、商业服务业等支出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十六、金融支出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十七、援助其他地区支出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十八、国土海洋气象等支出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十九、住房保障支出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二十、粮油物资储备支出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二十一、其他支出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二十二、债务还本支出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二十三、债务付息支出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1295"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535.33</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55</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hint="eastAsia" w:ascii="宋体" w:cs="宋体"/>
                <w:color w:val="000000"/>
                <w:sz w:val="16"/>
                <w:szCs w:val="16"/>
              </w:rPr>
              <w:t>535.33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年初财政拨款结转和结余</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1295" w:type="dxa"/>
            <w:gridSpan w:val="2"/>
            <w:tcBorders>
              <w:top w:val="single" w:color="000000" w:sz="4" w:space="0"/>
              <w:left w:val="single" w:color="000000" w:sz="4" w:space="0"/>
              <w:bottom w:val="single" w:color="000000" w:sz="4" w:space="0"/>
              <w:right w:val="single" w:color="000000" w:sz="4" w:space="0"/>
            </w:tcBorders>
          </w:tcPr>
          <w:p>
            <w:pPr>
              <w:jc w:val="right"/>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年末财政拨款结转和结余</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285" w:hRule="atLeast"/>
        </w:trPr>
        <w:tc>
          <w:tcPr>
            <w:tcW w:w="219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30</w:t>
            </w:r>
          </w:p>
        </w:tc>
        <w:tc>
          <w:tcPr>
            <w:tcW w:w="129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hint="eastAsia" w:ascii="宋体" w:cs="宋体"/>
                <w:b/>
                <w:color w:val="000000"/>
                <w:sz w:val="16"/>
                <w:szCs w:val="16"/>
              </w:rPr>
              <w:t>535.33</w:t>
            </w:r>
          </w:p>
        </w:tc>
        <w:tc>
          <w:tcPr>
            <w:tcW w:w="226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32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60</w:t>
            </w:r>
          </w:p>
        </w:tc>
        <w:tc>
          <w:tcPr>
            <w:tcW w:w="1295" w:type="dxa"/>
            <w:gridSpan w:val="2"/>
            <w:tcBorders>
              <w:top w:val="single" w:color="000000" w:sz="4" w:space="0"/>
              <w:left w:val="single" w:color="000000" w:sz="4" w:space="0"/>
              <w:bottom w:val="single" w:color="000000" w:sz="12" w:space="0"/>
              <w:right w:val="single" w:color="000000" w:sz="4" w:space="0"/>
            </w:tcBorders>
          </w:tcPr>
          <w:p>
            <w:pPr>
              <w:jc w:val="right"/>
            </w:pPr>
            <w:r>
              <w:rPr>
                <w:rFonts w:hint="eastAsia"/>
              </w:rPr>
              <w:t>535.33</w:t>
            </w:r>
          </w:p>
        </w:tc>
        <w:tc>
          <w:tcPr>
            <w:tcW w:w="1295" w:type="dxa"/>
            <w:gridSpan w:val="2"/>
            <w:tcBorders>
              <w:top w:val="single" w:color="000000" w:sz="4" w:space="0"/>
              <w:left w:val="single" w:color="000000" w:sz="4" w:space="0"/>
              <w:bottom w:val="single" w:color="000000" w:sz="12" w:space="0"/>
              <w:right w:val="single" w:color="000000" w:sz="4" w:space="0"/>
            </w:tcBorders>
          </w:tcPr>
          <w:p>
            <w:pPr>
              <w:jc w:val="right"/>
            </w:pPr>
          </w:p>
        </w:tc>
        <w:tc>
          <w:tcPr>
            <w:tcW w:w="130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b/>
                <w:color w:val="000000"/>
                <w:sz w:val="16"/>
                <w:szCs w:val="16"/>
              </w:rPr>
            </w:pPr>
          </w:p>
        </w:tc>
      </w:tr>
      <w:tr>
        <w:tblPrEx>
          <w:tblLayout w:type="fixed"/>
          <w:tblCellMar>
            <w:top w:w="15" w:type="dxa"/>
            <w:left w:w="15" w:type="dxa"/>
            <w:bottom w:w="15" w:type="dxa"/>
            <w:right w:w="15" w:type="dxa"/>
          </w:tblCellMar>
        </w:tblPrEx>
        <w:trPr>
          <w:trHeight w:val="495" w:hRule="atLeast"/>
        </w:trPr>
        <w:tc>
          <w:tcPr>
            <w:tcW w:w="10365" w:type="dxa"/>
            <w:gridSpan w:val="14"/>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注：本表反映部门本年度一般公共预算财政拨款和政府性基金预算财政拨款的总收入和年末结转结余情况。</w:t>
            </w:r>
          </w:p>
        </w:tc>
      </w:tr>
    </w:tbl>
    <w:p>
      <w:pPr>
        <w:spacing w:line="360" w:lineRule="auto"/>
        <w:rPr>
          <w:rFonts w:ascii="隶书" w:hAnsi="隶书" w:eastAsia="隶书" w:cs="隶书"/>
          <w:sz w:val="52"/>
          <w:szCs w:val="52"/>
        </w:rPr>
      </w:pPr>
      <w:r>
        <w:rPr>
          <w:rFonts w:ascii="隶书" w:hAnsi="隶书" w:eastAsia="隶书" w:cs="隶书"/>
          <w:sz w:val="52"/>
          <w:szCs w:val="52"/>
        </w:rPr>
        <w:br w:type="page"/>
      </w:r>
    </w:p>
    <w:tbl>
      <w:tblPr>
        <w:tblStyle w:val="6"/>
        <w:tblW w:w="10335" w:type="dxa"/>
        <w:tblInd w:w="-1066" w:type="dxa"/>
        <w:tblLayout w:type="fixed"/>
        <w:tblCellMar>
          <w:top w:w="15" w:type="dxa"/>
          <w:left w:w="15" w:type="dxa"/>
          <w:bottom w:w="15" w:type="dxa"/>
          <w:right w:w="15" w:type="dxa"/>
        </w:tblCellMar>
      </w:tblPr>
      <w:tblGrid>
        <w:gridCol w:w="1380"/>
        <w:gridCol w:w="675"/>
        <w:gridCol w:w="1800"/>
        <w:gridCol w:w="2160"/>
        <w:gridCol w:w="165"/>
        <w:gridCol w:w="1575"/>
        <w:gridCol w:w="420"/>
        <w:gridCol w:w="2160"/>
      </w:tblGrid>
      <w:tr>
        <w:tblPrEx>
          <w:tblLayout w:type="fixed"/>
          <w:tblCellMar>
            <w:top w:w="15" w:type="dxa"/>
            <w:left w:w="15" w:type="dxa"/>
            <w:bottom w:w="15" w:type="dxa"/>
            <w:right w:w="15" w:type="dxa"/>
          </w:tblCellMar>
        </w:tblPrEx>
        <w:trPr>
          <w:trHeight w:val="375" w:hRule="atLeast"/>
        </w:trPr>
        <w:tc>
          <w:tcPr>
            <w:tcW w:w="10335" w:type="dxa"/>
            <w:gridSpan w:val="8"/>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一般公共预算财政拨款支出预算表</w:t>
            </w:r>
          </w:p>
        </w:tc>
      </w:tr>
      <w:tr>
        <w:tblPrEx>
          <w:tblLayout w:type="fixed"/>
          <w:tblCellMar>
            <w:top w:w="15" w:type="dxa"/>
            <w:left w:w="15" w:type="dxa"/>
            <w:bottom w:w="15" w:type="dxa"/>
            <w:right w:w="15" w:type="dxa"/>
          </w:tblCellMar>
        </w:tblPrEx>
        <w:trPr>
          <w:trHeight w:val="285" w:hRule="atLeast"/>
        </w:trPr>
        <w:tc>
          <w:tcPr>
            <w:tcW w:w="2055" w:type="dxa"/>
            <w:gridSpan w:val="2"/>
            <w:vAlign w:val="center"/>
          </w:tcPr>
          <w:p>
            <w:pPr>
              <w:rPr>
                <w:rFonts w:ascii="宋体" w:cs="宋体"/>
                <w:color w:val="000000"/>
                <w:sz w:val="16"/>
                <w:szCs w:val="16"/>
              </w:rPr>
            </w:pPr>
          </w:p>
        </w:tc>
        <w:tc>
          <w:tcPr>
            <w:tcW w:w="1800" w:type="dxa"/>
            <w:vAlign w:val="center"/>
          </w:tcPr>
          <w:p>
            <w:pPr>
              <w:rPr>
                <w:rFonts w:ascii="宋体" w:cs="宋体"/>
                <w:color w:val="000000"/>
                <w:sz w:val="16"/>
                <w:szCs w:val="16"/>
              </w:rPr>
            </w:pPr>
          </w:p>
        </w:tc>
        <w:tc>
          <w:tcPr>
            <w:tcW w:w="2325" w:type="dxa"/>
            <w:gridSpan w:val="2"/>
            <w:vAlign w:val="center"/>
          </w:tcPr>
          <w:p>
            <w:pPr>
              <w:rPr>
                <w:rFonts w:ascii="宋体" w:cs="宋体"/>
                <w:color w:val="000000"/>
                <w:sz w:val="16"/>
                <w:szCs w:val="16"/>
              </w:rPr>
            </w:pPr>
          </w:p>
        </w:tc>
        <w:tc>
          <w:tcPr>
            <w:tcW w:w="1575" w:type="dxa"/>
            <w:vAlign w:val="center"/>
          </w:tcPr>
          <w:p>
            <w:pPr>
              <w:rPr>
                <w:rFonts w:ascii="宋体" w:cs="宋体"/>
                <w:color w:val="000000"/>
                <w:sz w:val="16"/>
                <w:szCs w:val="16"/>
              </w:rPr>
            </w:pPr>
          </w:p>
        </w:tc>
        <w:tc>
          <w:tcPr>
            <w:tcW w:w="2580"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05</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2055" w:type="dxa"/>
            <w:gridSpan w:val="2"/>
            <w:vAlign w:val="center"/>
          </w:tcPr>
          <w:p>
            <w:pPr>
              <w:rPr>
                <w:rFonts w:ascii="宋体" w:cs="宋体"/>
                <w:color w:val="000000"/>
                <w:sz w:val="16"/>
                <w:szCs w:val="16"/>
              </w:rPr>
            </w:pPr>
          </w:p>
        </w:tc>
        <w:tc>
          <w:tcPr>
            <w:tcW w:w="1800" w:type="dxa"/>
            <w:vAlign w:val="center"/>
          </w:tcPr>
          <w:p>
            <w:pPr>
              <w:rPr>
                <w:rFonts w:ascii="宋体" w:cs="宋体"/>
                <w:color w:val="000000"/>
                <w:sz w:val="16"/>
                <w:szCs w:val="16"/>
              </w:rPr>
            </w:pPr>
          </w:p>
        </w:tc>
        <w:tc>
          <w:tcPr>
            <w:tcW w:w="2325" w:type="dxa"/>
            <w:gridSpan w:val="2"/>
            <w:vAlign w:val="center"/>
          </w:tcPr>
          <w:p>
            <w:pPr>
              <w:rPr>
                <w:rFonts w:ascii="宋体" w:cs="宋体"/>
                <w:color w:val="000000"/>
                <w:sz w:val="16"/>
                <w:szCs w:val="16"/>
              </w:rPr>
            </w:pPr>
          </w:p>
        </w:tc>
        <w:tc>
          <w:tcPr>
            <w:tcW w:w="1575" w:type="dxa"/>
            <w:vAlign w:val="center"/>
          </w:tcPr>
          <w:p>
            <w:pPr>
              <w:rPr>
                <w:rFonts w:ascii="宋体" w:cs="宋体"/>
                <w:color w:val="000000"/>
                <w:sz w:val="16"/>
                <w:szCs w:val="16"/>
              </w:rPr>
            </w:pPr>
          </w:p>
        </w:tc>
        <w:tc>
          <w:tcPr>
            <w:tcW w:w="2580"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85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w:t>
            </w:r>
          </w:p>
        </w:tc>
        <w:tc>
          <w:tcPr>
            <w:tcW w:w="2160"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2160"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216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r>
      <w:tr>
        <w:tblPrEx>
          <w:tblLayout w:type="fixed"/>
          <w:tblCellMar>
            <w:top w:w="15" w:type="dxa"/>
            <w:left w:w="15" w:type="dxa"/>
            <w:bottom w:w="15" w:type="dxa"/>
            <w:right w:w="15" w:type="dxa"/>
          </w:tblCellMar>
        </w:tblPrEx>
        <w:trPr>
          <w:trHeight w:val="6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2160"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160"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16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PrEx>
        <w:trPr>
          <w:trHeight w:val="300" w:hRule="atLeast"/>
        </w:trPr>
        <w:tc>
          <w:tcPr>
            <w:tcW w:w="3855"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r>
      <w:tr>
        <w:tblPrEx>
          <w:tblLayout w:type="fixed"/>
          <w:tblCellMar>
            <w:top w:w="15" w:type="dxa"/>
            <w:left w:w="15" w:type="dxa"/>
            <w:bottom w:w="15" w:type="dxa"/>
            <w:right w:w="15" w:type="dxa"/>
          </w:tblCellMar>
        </w:tblPrEx>
        <w:trPr>
          <w:trHeight w:val="300" w:hRule="atLeast"/>
        </w:trPr>
        <w:tc>
          <w:tcPr>
            <w:tcW w:w="3855"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hint="eastAsia" w:ascii="宋体" w:hAnsi="宋体" w:cs="宋体"/>
                <w:b/>
                <w:color w:val="000000"/>
                <w:sz w:val="16"/>
                <w:szCs w:val="16"/>
              </w:rPr>
              <w:t>0</w:t>
            </w:r>
          </w:p>
        </w:tc>
      </w:tr>
      <w:tr>
        <w:tblPrEx>
          <w:tblLayout w:type="fixed"/>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
                <w:color w:val="000000"/>
                <w:sz w:val="16"/>
                <w:szCs w:val="16"/>
              </w:rPr>
              <w:t>2019999</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
                <w:color w:val="000000"/>
                <w:sz w:val="16"/>
                <w:szCs w:val="16"/>
              </w:rPr>
              <w:t>其他一般公共预算支出</w:t>
            </w:r>
          </w:p>
        </w:tc>
        <w:tc>
          <w:tcPr>
            <w:tcW w:w="2160" w:type="dxa"/>
            <w:tcBorders>
              <w:top w:val="single" w:color="000000" w:sz="4" w:space="0"/>
              <w:left w:val="single" w:color="000000" w:sz="4" w:space="0"/>
              <w:bottom w:val="single" w:color="000000" w:sz="4" w:space="0"/>
              <w:right w:val="single" w:color="000000" w:sz="4" w:space="0"/>
            </w:tcBorders>
          </w:tcPr>
          <w:p>
            <w:pPr>
              <w:jc w:val="center"/>
            </w:pPr>
            <w:r>
              <w:rPr>
                <w:rFonts w:hint="eastAsia"/>
              </w:rPr>
              <w:t>535.33</w:t>
            </w:r>
          </w:p>
        </w:tc>
        <w:tc>
          <w:tcPr>
            <w:tcW w:w="2160" w:type="dxa"/>
            <w:gridSpan w:val="3"/>
            <w:tcBorders>
              <w:top w:val="single" w:color="000000" w:sz="4" w:space="0"/>
              <w:left w:val="single" w:color="000000" w:sz="4" w:space="0"/>
              <w:bottom w:val="single" w:color="000000" w:sz="4" w:space="0"/>
              <w:right w:val="single" w:color="000000" w:sz="4" w:space="0"/>
            </w:tcBorders>
          </w:tcPr>
          <w:p>
            <w:pPr>
              <w:jc w:val="center"/>
            </w:pPr>
            <w:r>
              <w:rPr>
                <w:rFonts w:hint="eastAsia"/>
              </w:rPr>
              <w:t>262.33</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hint="eastAsia" w:ascii="宋体" w:cs="宋体"/>
                <w:bCs/>
                <w:color w:val="000000"/>
                <w:sz w:val="16"/>
                <w:szCs w:val="16"/>
              </w:rPr>
              <w:t>273</w:t>
            </w:r>
          </w:p>
        </w:tc>
      </w:tr>
      <w:tr>
        <w:tblPrEx>
          <w:tblLayout w:type="fixed"/>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tcPr>
          <w:p>
            <w:pPr>
              <w:jc w:val="center"/>
            </w:pPr>
          </w:p>
        </w:tc>
        <w:tc>
          <w:tcPr>
            <w:tcW w:w="2160" w:type="dxa"/>
            <w:gridSpan w:val="3"/>
            <w:tcBorders>
              <w:top w:val="single" w:color="000000" w:sz="4" w:space="0"/>
              <w:left w:val="single" w:color="000000" w:sz="4" w:space="0"/>
              <w:bottom w:val="single" w:color="000000" w:sz="4" w:space="0"/>
              <w:right w:val="single" w:color="000000" w:sz="4" w:space="0"/>
            </w:tcBorders>
          </w:tcPr>
          <w:p>
            <w:pPr>
              <w:jc w:val="cente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tcPr>
          <w:p>
            <w:pPr>
              <w:jc w:val="center"/>
            </w:pPr>
          </w:p>
        </w:tc>
        <w:tc>
          <w:tcPr>
            <w:tcW w:w="2160" w:type="dxa"/>
            <w:gridSpan w:val="3"/>
            <w:tcBorders>
              <w:top w:val="single" w:color="000000" w:sz="4" w:space="0"/>
              <w:left w:val="single" w:color="000000" w:sz="4" w:space="0"/>
              <w:bottom w:val="single" w:color="000000" w:sz="4" w:space="0"/>
              <w:right w:val="single" w:color="000000" w:sz="4" w:space="0"/>
            </w:tcBorders>
          </w:tcPr>
          <w:p>
            <w:pPr>
              <w:jc w:val="cente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600" w:hRule="atLeast"/>
        </w:trPr>
        <w:tc>
          <w:tcPr>
            <w:tcW w:w="10335" w:type="dxa"/>
            <w:gridSpan w:val="8"/>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注：本表反映部门本年度一般公共预算财政拨款实际支出情况。</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9321" w:type="dxa"/>
        <w:tblInd w:w="-1081" w:type="dxa"/>
        <w:tblLayout w:type="fixed"/>
        <w:tblCellMar>
          <w:top w:w="15" w:type="dxa"/>
          <w:left w:w="15" w:type="dxa"/>
          <w:bottom w:w="15" w:type="dxa"/>
          <w:right w:w="15" w:type="dxa"/>
        </w:tblCellMar>
      </w:tblPr>
      <w:tblGrid>
        <w:gridCol w:w="670"/>
        <w:gridCol w:w="1165"/>
        <w:gridCol w:w="1794"/>
        <w:gridCol w:w="694"/>
        <w:gridCol w:w="636"/>
        <w:gridCol w:w="117"/>
        <w:gridCol w:w="1677"/>
        <w:gridCol w:w="993"/>
        <w:gridCol w:w="1575"/>
      </w:tblGrid>
      <w:tr>
        <w:tblPrEx>
          <w:tblLayout w:type="fixed"/>
          <w:tblCellMar>
            <w:top w:w="15" w:type="dxa"/>
            <w:left w:w="15" w:type="dxa"/>
            <w:bottom w:w="15" w:type="dxa"/>
            <w:right w:w="15" w:type="dxa"/>
          </w:tblCellMar>
        </w:tblPrEx>
        <w:trPr>
          <w:trHeight w:val="375" w:hRule="atLeast"/>
        </w:trPr>
        <w:tc>
          <w:tcPr>
            <w:tcW w:w="9321" w:type="dxa"/>
            <w:gridSpan w:val="9"/>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一般公共预算财政拨款基本支出预算表</w:t>
            </w:r>
          </w:p>
        </w:tc>
      </w:tr>
      <w:tr>
        <w:tblPrEx>
          <w:tblLayout w:type="fixed"/>
          <w:tblCellMar>
            <w:top w:w="15" w:type="dxa"/>
            <w:left w:w="15" w:type="dxa"/>
            <w:bottom w:w="15" w:type="dxa"/>
            <w:right w:w="15" w:type="dxa"/>
          </w:tblCellMar>
        </w:tblPrEx>
        <w:trPr>
          <w:trHeight w:val="285" w:hRule="atLeast"/>
        </w:trPr>
        <w:tc>
          <w:tcPr>
            <w:tcW w:w="1835" w:type="dxa"/>
            <w:gridSpan w:val="2"/>
            <w:vAlign w:val="center"/>
          </w:tcPr>
          <w:p>
            <w:pPr>
              <w:rPr>
                <w:rFonts w:ascii="宋体" w:cs="宋体"/>
                <w:color w:val="000000"/>
                <w:sz w:val="16"/>
                <w:szCs w:val="16"/>
              </w:rPr>
            </w:pPr>
          </w:p>
        </w:tc>
        <w:tc>
          <w:tcPr>
            <w:tcW w:w="1794" w:type="dxa"/>
            <w:vAlign w:val="center"/>
          </w:tcPr>
          <w:p>
            <w:pPr>
              <w:rPr>
                <w:rFonts w:ascii="宋体" w:cs="宋体"/>
                <w:color w:val="000000"/>
                <w:sz w:val="16"/>
                <w:szCs w:val="16"/>
              </w:rPr>
            </w:pPr>
          </w:p>
        </w:tc>
        <w:tc>
          <w:tcPr>
            <w:tcW w:w="694" w:type="dxa"/>
            <w:vAlign w:val="center"/>
          </w:tcPr>
          <w:p>
            <w:pPr>
              <w:rPr>
                <w:rFonts w:ascii="宋体" w:cs="宋体"/>
                <w:color w:val="000000"/>
                <w:sz w:val="16"/>
                <w:szCs w:val="16"/>
              </w:rPr>
            </w:pPr>
          </w:p>
        </w:tc>
        <w:tc>
          <w:tcPr>
            <w:tcW w:w="636" w:type="dxa"/>
            <w:vAlign w:val="center"/>
          </w:tcPr>
          <w:p>
            <w:pPr>
              <w:rPr>
                <w:rFonts w:ascii="宋体" w:cs="宋体"/>
                <w:color w:val="000000"/>
                <w:sz w:val="16"/>
                <w:szCs w:val="16"/>
              </w:rPr>
            </w:pPr>
          </w:p>
        </w:tc>
        <w:tc>
          <w:tcPr>
            <w:tcW w:w="1794" w:type="dxa"/>
            <w:gridSpan w:val="2"/>
            <w:vAlign w:val="center"/>
          </w:tcPr>
          <w:p>
            <w:pPr>
              <w:rPr>
                <w:rFonts w:ascii="宋体" w:cs="宋体"/>
                <w:color w:val="000000"/>
                <w:sz w:val="16"/>
                <w:szCs w:val="16"/>
              </w:rPr>
            </w:pPr>
          </w:p>
        </w:tc>
        <w:tc>
          <w:tcPr>
            <w:tcW w:w="2568"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06</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835" w:type="dxa"/>
            <w:gridSpan w:val="2"/>
            <w:vAlign w:val="center"/>
          </w:tcPr>
          <w:p>
            <w:pPr>
              <w:rPr>
                <w:rFonts w:ascii="宋体" w:cs="宋体"/>
                <w:color w:val="000000"/>
                <w:sz w:val="16"/>
                <w:szCs w:val="16"/>
              </w:rPr>
            </w:pPr>
          </w:p>
        </w:tc>
        <w:tc>
          <w:tcPr>
            <w:tcW w:w="1794" w:type="dxa"/>
            <w:vAlign w:val="center"/>
          </w:tcPr>
          <w:p>
            <w:pPr>
              <w:rPr>
                <w:rFonts w:ascii="宋体" w:cs="宋体"/>
                <w:color w:val="000000"/>
                <w:sz w:val="16"/>
                <w:szCs w:val="16"/>
              </w:rPr>
            </w:pPr>
          </w:p>
        </w:tc>
        <w:tc>
          <w:tcPr>
            <w:tcW w:w="694" w:type="dxa"/>
            <w:vAlign w:val="center"/>
          </w:tcPr>
          <w:p>
            <w:pPr>
              <w:rPr>
                <w:rFonts w:ascii="宋体" w:cs="宋体"/>
                <w:color w:val="000000"/>
                <w:sz w:val="16"/>
                <w:szCs w:val="16"/>
              </w:rPr>
            </w:pPr>
          </w:p>
        </w:tc>
        <w:tc>
          <w:tcPr>
            <w:tcW w:w="636" w:type="dxa"/>
            <w:vAlign w:val="center"/>
          </w:tcPr>
          <w:p>
            <w:pPr>
              <w:rPr>
                <w:rFonts w:ascii="宋体" w:cs="宋体"/>
                <w:color w:val="000000"/>
                <w:sz w:val="16"/>
                <w:szCs w:val="16"/>
              </w:rPr>
            </w:pPr>
          </w:p>
        </w:tc>
        <w:tc>
          <w:tcPr>
            <w:tcW w:w="1794" w:type="dxa"/>
            <w:gridSpan w:val="2"/>
            <w:vAlign w:val="center"/>
          </w:tcPr>
          <w:p>
            <w:pPr>
              <w:rPr>
                <w:rFonts w:ascii="宋体" w:cs="宋体"/>
                <w:color w:val="000000"/>
                <w:sz w:val="16"/>
                <w:szCs w:val="16"/>
              </w:rPr>
            </w:pPr>
          </w:p>
        </w:tc>
        <w:tc>
          <w:tcPr>
            <w:tcW w:w="2568"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4323"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人员经费</w:t>
            </w:r>
          </w:p>
        </w:tc>
        <w:tc>
          <w:tcPr>
            <w:tcW w:w="4998"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公用经费</w:t>
            </w:r>
          </w:p>
        </w:tc>
      </w:tr>
      <w:tr>
        <w:tblPrEx>
          <w:tblLayout w:type="fixed"/>
          <w:tblCellMar>
            <w:top w:w="15" w:type="dxa"/>
            <w:left w:w="15" w:type="dxa"/>
            <w:bottom w:w="15" w:type="dxa"/>
            <w:right w:w="15" w:type="dxa"/>
          </w:tblCellMar>
        </w:tblPrEx>
        <w:trPr>
          <w:trHeight w:val="6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科目编码</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科目编码</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工资福利支出</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hint="eastAsia" w:ascii="宋体" w:cs="宋体"/>
                <w:b/>
                <w:color w:val="000000"/>
                <w:sz w:val="16"/>
                <w:szCs w:val="16"/>
              </w:rPr>
              <w:t>154.79</w:t>
            </w: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color w:val="000000"/>
                <w:sz w:val="16"/>
                <w:szCs w:val="16"/>
              </w:rPr>
              <w:t>302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hint="eastAsia" w:ascii="宋体" w:cs="宋体"/>
                <w:b/>
                <w:color w:val="000000"/>
                <w:sz w:val="16"/>
                <w:szCs w:val="16"/>
              </w:rPr>
              <w:t>339.25</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基本工资</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91.779</w:t>
            </w: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办公费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2.66</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津贴补贴</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印刷费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奖金</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咨询费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其他社会保障缴费</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手续费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伙食补助费</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水费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1</w:t>
            </w: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绩效工资</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36.11</w:t>
            </w: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4</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机关事业单位基本养老保险缴费</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25.76</w:t>
            </w: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邮电费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1</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职业年金缴费</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取暖费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其他工资福利支出</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1.15</w:t>
            </w: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物业管理费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对个人和家庭的补助</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hint="eastAsia" w:ascii="宋体" w:cs="宋体"/>
                <w:b/>
                <w:color w:val="000000"/>
                <w:sz w:val="16"/>
                <w:szCs w:val="16"/>
              </w:rPr>
              <w:t>41.29</w:t>
            </w: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差旅费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4</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离休费</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7.36</w:t>
            </w: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因公出国</w:t>
            </w:r>
            <w:r>
              <w:rPr>
                <w:rFonts w:ascii="宋体" w:hAnsi="宋体" w:cs="宋体"/>
                <w:color w:val="000000"/>
                <w:kern w:val="0"/>
                <w:sz w:val="16"/>
                <w:szCs w:val="16"/>
              </w:rPr>
              <w:t>(</w:t>
            </w:r>
            <w:r>
              <w:rPr>
                <w:rFonts w:hint="eastAsia" w:ascii="宋体" w:hAnsi="宋体" w:cs="宋体"/>
                <w:color w:val="000000"/>
                <w:kern w:val="0"/>
                <w:sz w:val="16"/>
                <w:szCs w:val="16"/>
              </w:rPr>
              <w:t>境</w:t>
            </w:r>
            <w:r>
              <w:rPr>
                <w:rFonts w:ascii="宋体" w:hAnsi="宋体" w:cs="宋体"/>
                <w:color w:val="000000"/>
                <w:kern w:val="0"/>
                <w:sz w:val="16"/>
                <w:szCs w:val="16"/>
              </w:rPr>
              <w:t>)</w:t>
            </w:r>
            <w:r>
              <w:rPr>
                <w:rFonts w:hint="eastAsia" w:ascii="宋体" w:hAnsi="宋体" w:cs="宋体"/>
                <w:color w:val="000000"/>
                <w:kern w:val="0"/>
                <w:sz w:val="16"/>
                <w:szCs w:val="16"/>
              </w:rPr>
              <w:t>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退休费</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维修</w:t>
            </w:r>
            <w:r>
              <w:rPr>
                <w:rFonts w:ascii="宋体" w:hAnsi="宋体" w:cs="宋体"/>
                <w:color w:val="000000"/>
                <w:kern w:val="0"/>
                <w:sz w:val="16"/>
                <w:szCs w:val="16"/>
              </w:rPr>
              <w:t>(</w:t>
            </w:r>
            <w:r>
              <w:rPr>
                <w:rFonts w:hint="eastAsia" w:ascii="宋体" w:hAnsi="宋体" w:cs="宋体"/>
                <w:color w:val="000000"/>
                <w:kern w:val="0"/>
                <w:sz w:val="16"/>
                <w:szCs w:val="16"/>
              </w:rPr>
              <w:t>护</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80</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退职</w:t>
            </w:r>
            <w:r>
              <w:rPr>
                <w:rFonts w:ascii="宋体" w:hAnsi="宋体" w:cs="宋体"/>
                <w:color w:val="000000"/>
                <w:kern w:val="0"/>
                <w:sz w:val="16"/>
                <w:szCs w:val="16"/>
              </w:rPr>
              <w:t>(</w:t>
            </w:r>
            <w:r>
              <w:rPr>
                <w:rFonts w:hint="eastAsia" w:ascii="宋体" w:hAnsi="宋体" w:cs="宋体"/>
                <w:color w:val="000000"/>
                <w:kern w:val="0"/>
                <w:sz w:val="16"/>
                <w:szCs w:val="16"/>
              </w:rPr>
              <w:t>役</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租赁费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抚恤金</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会议费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生活补助</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培训费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救济费</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公务接待费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1.19</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医疗费</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10.35</w:t>
            </w: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专用材料费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助学金</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被装购置费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奖励金</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2．07</w:t>
            </w: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专用燃料费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30310</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生产补贴</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劳务费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住房公积金</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15.53</w:t>
            </w: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委托业务费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提租补贴</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工会经费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2.4</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购房补贴</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福利费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2</w:t>
            </w: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采暖补贴</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公务用车运行维护费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物业服务补贴</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其他交通费用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其他对个人和家庭的补助支出</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5.98</w:t>
            </w: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税金及附加费用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6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其他商品和服务支出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241</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b/>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b/>
                <w:color w:val="000000"/>
                <w:sz w:val="16"/>
                <w:szCs w:val="16"/>
              </w:rPr>
            </w:pPr>
          </w:p>
        </w:tc>
        <w:tc>
          <w:tcPr>
            <w:tcW w:w="6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其他资本性支出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6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房屋建筑物购建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6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办公设备购置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6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专用设备购置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6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基础设施建设</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6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大型修缮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6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信息网络及软件购置更新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6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物资储备</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6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土地补偿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6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安置补助</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6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地上附着物和青苗补偿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6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拆迁补偿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6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公务用车购置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6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其他交通工具购置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6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31020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产权参股</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12"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宋体" w:cs="宋体"/>
                <w:color w:val="000000"/>
                <w:sz w:val="16"/>
                <w:szCs w:val="16"/>
              </w:rPr>
            </w:pPr>
          </w:p>
        </w:tc>
        <w:tc>
          <w:tcPr>
            <w:tcW w:w="694"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753"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31099</w:t>
            </w:r>
          </w:p>
        </w:tc>
        <w:tc>
          <w:tcPr>
            <w:tcW w:w="26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其他资本性支出</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3629"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ascii="宋体" w:cs="宋体"/>
                <w:b/>
                <w:color w:val="000000"/>
                <w:sz w:val="16"/>
                <w:szCs w:val="16"/>
              </w:rPr>
            </w:pPr>
            <w:r>
              <w:rPr>
                <w:rFonts w:hint="eastAsia" w:ascii="宋体" w:cs="宋体"/>
                <w:b/>
                <w:color w:val="000000"/>
                <w:sz w:val="16"/>
                <w:szCs w:val="16"/>
              </w:rPr>
              <w:t>人员经费合计：</w:t>
            </w:r>
          </w:p>
        </w:tc>
        <w:tc>
          <w:tcPr>
            <w:tcW w:w="694" w:type="dxa"/>
            <w:tcBorders>
              <w:top w:val="single" w:color="000000" w:sz="4" w:space="0"/>
              <w:left w:val="single" w:color="000000" w:sz="4" w:space="0"/>
              <w:bottom w:val="single" w:color="000000" w:sz="12" w:space="0"/>
              <w:right w:val="single" w:color="000000" w:sz="4" w:space="0"/>
            </w:tcBorders>
            <w:vAlign w:val="center"/>
          </w:tcPr>
          <w:p>
            <w:pPr>
              <w:jc w:val="center"/>
              <w:rPr>
                <w:rFonts w:ascii="宋体" w:cs="宋体"/>
                <w:b/>
                <w:color w:val="000000"/>
                <w:sz w:val="16"/>
                <w:szCs w:val="16"/>
              </w:rPr>
            </w:pPr>
            <w:r>
              <w:rPr>
                <w:rFonts w:hint="eastAsia" w:ascii="宋体" w:cs="宋体"/>
                <w:b/>
                <w:color w:val="000000"/>
                <w:sz w:val="16"/>
                <w:szCs w:val="16"/>
              </w:rPr>
              <w:t>196.08</w:t>
            </w:r>
          </w:p>
        </w:tc>
        <w:tc>
          <w:tcPr>
            <w:tcW w:w="3423"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cs="宋体"/>
                <w:b/>
                <w:color w:val="000000"/>
                <w:kern w:val="0"/>
                <w:sz w:val="16"/>
                <w:szCs w:val="16"/>
              </w:rPr>
            </w:pPr>
            <w:r>
              <w:rPr>
                <w:rFonts w:hint="eastAsia" w:ascii="宋体" w:hAnsi="宋体" w:cs="宋体"/>
                <w:b/>
                <w:color w:val="000000"/>
                <w:kern w:val="0"/>
                <w:sz w:val="16"/>
                <w:szCs w:val="16"/>
              </w:rPr>
              <w:t>公用经费合计：</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339.25</w:t>
            </w:r>
          </w:p>
        </w:tc>
      </w:tr>
      <w:tr>
        <w:tblPrEx>
          <w:tblLayout w:type="fixed"/>
          <w:tblCellMar>
            <w:top w:w="15" w:type="dxa"/>
            <w:left w:w="15" w:type="dxa"/>
            <w:bottom w:w="15" w:type="dxa"/>
            <w:right w:w="15" w:type="dxa"/>
          </w:tblCellMar>
        </w:tblPrEx>
        <w:trPr>
          <w:trHeight w:val="477" w:hRule="atLeast"/>
        </w:trPr>
        <w:tc>
          <w:tcPr>
            <w:tcW w:w="9321" w:type="dxa"/>
            <w:gridSpan w:val="9"/>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注：本表反映部门本年度一般公共预算财政拨款基本支出明细情况。</w:t>
            </w:r>
          </w:p>
        </w:tc>
      </w:tr>
    </w:tbl>
    <w:p>
      <w:pPr>
        <w:spacing w:line="360" w:lineRule="auto"/>
        <w:jc w:val="left"/>
        <w:rPr>
          <w:rFonts w:ascii="仿宋" w:hAnsi="仿宋" w:eastAsia="仿宋" w:cs="隶书"/>
          <w:sz w:val="28"/>
          <w:szCs w:val="28"/>
        </w:rPr>
        <w:sectPr>
          <w:pgSz w:w="11906" w:h="16838"/>
          <w:pgMar w:top="1440" w:right="1800" w:bottom="1440" w:left="1800" w:header="851" w:footer="992" w:gutter="0"/>
          <w:pgNumType w:fmt="numberInDash"/>
          <w:cols w:space="425" w:num="1"/>
          <w:docGrid w:type="lines" w:linePitch="312" w:charSpace="0"/>
        </w:sectPr>
      </w:pPr>
    </w:p>
    <w:tbl>
      <w:tblPr>
        <w:tblStyle w:val="6"/>
        <w:tblW w:w="10350" w:type="dxa"/>
        <w:tblInd w:w="-1081" w:type="dxa"/>
        <w:tblLayout w:type="fixed"/>
        <w:tblCellMar>
          <w:top w:w="15" w:type="dxa"/>
          <w:left w:w="15" w:type="dxa"/>
          <w:bottom w:w="15" w:type="dxa"/>
          <w:right w:w="15" w:type="dxa"/>
        </w:tblCellMar>
      </w:tblPr>
      <w:tblGrid>
        <w:gridCol w:w="840"/>
        <w:gridCol w:w="870"/>
        <w:gridCol w:w="69"/>
        <w:gridCol w:w="693"/>
        <w:gridCol w:w="93"/>
        <w:gridCol w:w="600"/>
        <w:gridCol w:w="270"/>
        <w:gridCol w:w="423"/>
        <w:gridCol w:w="447"/>
        <w:gridCol w:w="246"/>
        <w:gridCol w:w="624"/>
        <w:gridCol w:w="767"/>
        <w:gridCol w:w="118"/>
        <w:gridCol w:w="575"/>
        <w:gridCol w:w="280"/>
        <w:gridCol w:w="413"/>
        <w:gridCol w:w="457"/>
        <w:gridCol w:w="236"/>
        <w:gridCol w:w="619"/>
        <w:gridCol w:w="74"/>
        <w:gridCol w:w="766"/>
        <w:gridCol w:w="870"/>
      </w:tblGrid>
      <w:tr>
        <w:tblPrEx>
          <w:tblLayout w:type="fixed"/>
          <w:tblCellMar>
            <w:top w:w="15" w:type="dxa"/>
            <w:left w:w="15" w:type="dxa"/>
            <w:bottom w:w="15" w:type="dxa"/>
            <w:right w:w="15" w:type="dxa"/>
          </w:tblCellMar>
        </w:tblPrEx>
        <w:trPr>
          <w:trHeight w:val="375" w:hRule="atLeast"/>
        </w:trPr>
        <w:tc>
          <w:tcPr>
            <w:tcW w:w="10350" w:type="dxa"/>
            <w:gridSpan w:val="2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一般公共预算财政拨款“三公”经费支出预算表</w:t>
            </w:r>
          </w:p>
        </w:tc>
      </w:tr>
      <w:tr>
        <w:tblPrEx>
          <w:tblLayout w:type="fixed"/>
          <w:tblCellMar>
            <w:top w:w="15" w:type="dxa"/>
            <w:left w:w="15" w:type="dxa"/>
            <w:bottom w:w="15" w:type="dxa"/>
            <w:right w:w="15" w:type="dxa"/>
          </w:tblCellMar>
        </w:tblPrEx>
        <w:trPr>
          <w:trHeight w:val="285" w:hRule="atLeast"/>
        </w:trPr>
        <w:tc>
          <w:tcPr>
            <w:tcW w:w="1779" w:type="dxa"/>
            <w:gridSpan w:val="3"/>
            <w:vAlign w:val="center"/>
          </w:tcPr>
          <w:p>
            <w:pPr>
              <w:rPr>
                <w:rFonts w:ascii="宋体" w:cs="宋体"/>
                <w:color w:val="000000"/>
                <w:sz w:val="16"/>
                <w:szCs w:val="16"/>
              </w:rPr>
            </w:pPr>
          </w:p>
        </w:tc>
        <w:tc>
          <w:tcPr>
            <w:tcW w:w="693" w:type="dxa"/>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24" w:type="dxa"/>
            <w:vAlign w:val="center"/>
          </w:tcPr>
          <w:p>
            <w:pPr>
              <w:rPr>
                <w:rFonts w:ascii="宋体" w:cs="宋体"/>
                <w:color w:val="000000"/>
                <w:sz w:val="16"/>
                <w:szCs w:val="16"/>
              </w:rPr>
            </w:pPr>
          </w:p>
        </w:tc>
        <w:tc>
          <w:tcPr>
            <w:tcW w:w="767" w:type="dxa"/>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1636"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07</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79" w:type="dxa"/>
            <w:gridSpan w:val="3"/>
            <w:vAlign w:val="center"/>
          </w:tcPr>
          <w:p>
            <w:pPr>
              <w:rPr>
                <w:rFonts w:ascii="宋体" w:cs="宋体"/>
                <w:color w:val="000000"/>
                <w:sz w:val="16"/>
                <w:szCs w:val="16"/>
              </w:rPr>
            </w:pPr>
          </w:p>
        </w:tc>
        <w:tc>
          <w:tcPr>
            <w:tcW w:w="693" w:type="dxa"/>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24" w:type="dxa"/>
            <w:vAlign w:val="center"/>
          </w:tcPr>
          <w:p>
            <w:pPr>
              <w:rPr>
                <w:rFonts w:ascii="宋体" w:cs="宋体"/>
                <w:color w:val="000000"/>
                <w:sz w:val="16"/>
                <w:szCs w:val="16"/>
              </w:rPr>
            </w:pPr>
          </w:p>
        </w:tc>
        <w:tc>
          <w:tcPr>
            <w:tcW w:w="767" w:type="dxa"/>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1636"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175"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201</w:t>
            </w:r>
            <w:r>
              <w:rPr>
                <w:rFonts w:hint="eastAsia" w:ascii="宋体" w:hAnsi="宋体" w:cs="宋体"/>
                <w:b/>
                <w:color w:val="000000"/>
                <w:kern w:val="0"/>
                <w:sz w:val="16"/>
                <w:szCs w:val="16"/>
              </w:rPr>
              <w:t>7年度预算数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201</w:t>
            </w:r>
            <w:r>
              <w:rPr>
                <w:rFonts w:hint="eastAsia" w:ascii="宋体" w:hAnsi="宋体" w:cs="宋体"/>
                <w:b/>
                <w:color w:val="000000"/>
                <w:kern w:val="0"/>
                <w:sz w:val="16"/>
                <w:szCs w:val="16"/>
              </w:rPr>
              <w:t>8年度预算数</w:t>
            </w:r>
          </w:p>
        </w:tc>
      </w:tr>
      <w:tr>
        <w:tblPrEx>
          <w:tblLayout w:type="fixed"/>
          <w:tblCellMar>
            <w:top w:w="15" w:type="dxa"/>
            <w:left w:w="15" w:type="dxa"/>
            <w:bottom w:w="15" w:type="dxa"/>
            <w:right w:w="15" w:type="dxa"/>
          </w:tblCellMar>
        </w:tblPrEx>
        <w:trPr>
          <w:trHeight w:val="600" w:hRule="atLeast"/>
        </w:trPr>
        <w:tc>
          <w:tcPr>
            <w:tcW w:w="840"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因公出国（境）费</w:t>
            </w:r>
          </w:p>
        </w:tc>
        <w:tc>
          <w:tcPr>
            <w:tcW w:w="3465"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公务用车购置及运行费</w:t>
            </w:r>
          </w:p>
        </w:tc>
        <w:tc>
          <w:tcPr>
            <w:tcW w:w="8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8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因公出国（境）费</w:t>
            </w:r>
          </w:p>
        </w:tc>
        <w:tc>
          <w:tcPr>
            <w:tcW w:w="3435" w:type="dxa"/>
            <w:gridSpan w:val="7"/>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公务用车购置及运行费</w:t>
            </w:r>
          </w:p>
        </w:tc>
      </w:tr>
      <w:tr>
        <w:tblPrEx>
          <w:tblLayout w:type="fixed"/>
        </w:tblPrEx>
        <w:trPr>
          <w:trHeight w:val="600" w:hRule="atLeast"/>
        </w:trPr>
        <w:tc>
          <w:tcPr>
            <w:tcW w:w="84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b/>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购置费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运行费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公务接待费</w:t>
            </w: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85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购置费</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运行费</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公务接待费</w:t>
            </w:r>
          </w:p>
        </w:tc>
      </w:tr>
      <w:tr>
        <w:tblPrEx>
          <w:tblLayout w:type="fixed"/>
          <w:tblCellMar>
            <w:top w:w="15" w:type="dxa"/>
            <w:left w:w="15" w:type="dxa"/>
            <w:bottom w:w="15" w:type="dxa"/>
            <w:right w:w="15" w:type="dxa"/>
          </w:tblCellMar>
        </w:tblPrEx>
        <w:trPr>
          <w:trHeight w:val="300" w:hRule="atLeast"/>
        </w:trPr>
        <w:tc>
          <w:tcPr>
            <w:tcW w:w="8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r>
      <w:tr>
        <w:tblPrEx>
          <w:tblLayout w:type="fixed"/>
          <w:tblCellMar>
            <w:top w:w="15" w:type="dxa"/>
            <w:left w:w="15" w:type="dxa"/>
            <w:bottom w:w="15" w:type="dxa"/>
            <w:right w:w="15" w:type="dxa"/>
          </w:tblCellMar>
        </w:tblPrEx>
        <w:trPr>
          <w:trHeight w:val="600" w:hRule="atLeast"/>
        </w:trPr>
        <w:tc>
          <w:tcPr>
            <w:tcW w:w="84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cs="宋体"/>
                <w:b/>
                <w:color w:val="000000"/>
                <w:sz w:val="16"/>
                <w:szCs w:val="16"/>
              </w:rPr>
              <w:t>1.19</w:t>
            </w:r>
          </w:p>
        </w:tc>
        <w:tc>
          <w:tcPr>
            <w:tcW w:w="87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85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1.19</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1.19</w:t>
            </w: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cs="宋体"/>
                <w:b/>
                <w:color w:val="000000"/>
                <w:sz w:val="16"/>
                <w:szCs w:val="16"/>
              </w:rPr>
              <w:t>1．19</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1.19</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0</w:t>
            </w:r>
          </w:p>
        </w:tc>
        <w:tc>
          <w:tcPr>
            <w:tcW w:w="87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1.19</w:t>
            </w:r>
          </w:p>
        </w:tc>
      </w:tr>
      <w:tr>
        <w:tblPrEx>
          <w:tblLayout w:type="fixed"/>
          <w:tblCellMar>
            <w:top w:w="15" w:type="dxa"/>
            <w:left w:w="15" w:type="dxa"/>
            <w:bottom w:w="15" w:type="dxa"/>
            <w:right w:w="15" w:type="dxa"/>
          </w:tblCellMar>
        </w:tblPrEx>
        <w:trPr>
          <w:trHeight w:val="600" w:hRule="atLeast"/>
        </w:trPr>
        <w:tc>
          <w:tcPr>
            <w:tcW w:w="10350" w:type="dxa"/>
            <w:gridSpan w:val="22"/>
            <w:vAlign w:val="center"/>
          </w:tcPr>
          <w:p>
            <w:pPr>
              <w:widowControl/>
              <w:jc w:val="lef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600" w:hRule="atLeast"/>
        </w:trPr>
        <w:tc>
          <w:tcPr>
            <w:tcW w:w="10350" w:type="dxa"/>
            <w:gridSpan w:val="22"/>
            <w:vAlign w:val="center"/>
          </w:tcPr>
          <w:p>
            <w:pPr>
              <w:widowControl/>
              <w:jc w:val="left"/>
              <w:textAlignment w:val="center"/>
              <w:rPr>
                <w:rFonts w:ascii="宋体" w:cs="宋体"/>
                <w:color w:val="000000"/>
                <w:kern w:val="0"/>
                <w:sz w:val="16"/>
                <w:szCs w:val="16"/>
              </w:rPr>
            </w:pP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35" w:type="dxa"/>
        <w:tblInd w:w="-1074" w:type="dxa"/>
        <w:tblLayout w:type="fixed"/>
        <w:tblCellMar>
          <w:top w:w="15" w:type="dxa"/>
          <w:left w:w="15" w:type="dxa"/>
          <w:bottom w:w="15" w:type="dxa"/>
          <w:right w:w="15" w:type="dxa"/>
        </w:tblCellMar>
      </w:tblPr>
      <w:tblGrid>
        <w:gridCol w:w="825"/>
        <w:gridCol w:w="938"/>
        <w:gridCol w:w="1436"/>
        <w:gridCol w:w="1166"/>
        <w:gridCol w:w="24"/>
        <w:gridCol w:w="1191"/>
        <w:gridCol w:w="833"/>
        <w:gridCol w:w="347"/>
        <w:gridCol w:w="652"/>
        <w:gridCol w:w="528"/>
        <w:gridCol w:w="1180"/>
        <w:gridCol w:w="1215"/>
      </w:tblGrid>
      <w:tr>
        <w:tblPrEx>
          <w:tblLayout w:type="fixed"/>
          <w:tblCellMar>
            <w:top w:w="15" w:type="dxa"/>
            <w:left w:w="15" w:type="dxa"/>
            <w:bottom w:w="15" w:type="dxa"/>
            <w:right w:w="15" w:type="dxa"/>
          </w:tblCellMar>
        </w:tblPrEx>
        <w:trPr>
          <w:trHeight w:val="375" w:hRule="atLeast"/>
        </w:trPr>
        <w:tc>
          <w:tcPr>
            <w:tcW w:w="10335" w:type="dxa"/>
            <w:gridSpan w:val="1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政府性基金预算财政拨款收入支出预算表</w:t>
            </w:r>
          </w:p>
        </w:tc>
      </w:tr>
      <w:tr>
        <w:tblPrEx>
          <w:tblLayout w:type="fixed"/>
          <w:tblCellMar>
            <w:top w:w="15" w:type="dxa"/>
            <w:left w:w="15" w:type="dxa"/>
            <w:bottom w:w="15" w:type="dxa"/>
            <w:right w:w="15" w:type="dxa"/>
          </w:tblCellMar>
        </w:tblPrEx>
        <w:trPr>
          <w:trHeight w:val="285" w:hRule="atLeast"/>
        </w:trPr>
        <w:tc>
          <w:tcPr>
            <w:tcW w:w="1763" w:type="dxa"/>
            <w:gridSpan w:val="2"/>
            <w:vAlign w:val="center"/>
          </w:tcPr>
          <w:p>
            <w:pPr>
              <w:rPr>
                <w:rFonts w:ascii="宋体" w:cs="宋体"/>
                <w:color w:val="000000"/>
                <w:sz w:val="16"/>
                <w:szCs w:val="16"/>
              </w:rPr>
            </w:pPr>
          </w:p>
        </w:tc>
        <w:tc>
          <w:tcPr>
            <w:tcW w:w="1436" w:type="dxa"/>
            <w:vAlign w:val="center"/>
          </w:tcPr>
          <w:p>
            <w:pPr>
              <w:rPr>
                <w:rFonts w:ascii="宋体" w:cs="宋体"/>
                <w:color w:val="000000"/>
                <w:sz w:val="16"/>
                <w:szCs w:val="16"/>
              </w:rPr>
            </w:pPr>
          </w:p>
        </w:tc>
        <w:tc>
          <w:tcPr>
            <w:tcW w:w="1166" w:type="dxa"/>
            <w:vAlign w:val="center"/>
          </w:tcPr>
          <w:p>
            <w:pPr>
              <w:rPr>
                <w:rFonts w:ascii="宋体" w:cs="宋体"/>
                <w:color w:val="000000"/>
                <w:sz w:val="16"/>
                <w:szCs w:val="16"/>
              </w:rPr>
            </w:pPr>
          </w:p>
        </w:tc>
        <w:tc>
          <w:tcPr>
            <w:tcW w:w="1215" w:type="dxa"/>
            <w:gridSpan w:val="2"/>
            <w:vAlign w:val="center"/>
          </w:tcPr>
          <w:p>
            <w:pPr>
              <w:rPr>
                <w:rFonts w:ascii="宋体" w:cs="宋体"/>
                <w:color w:val="000000"/>
                <w:sz w:val="16"/>
                <w:szCs w:val="16"/>
              </w:rPr>
            </w:pPr>
          </w:p>
        </w:tc>
        <w:tc>
          <w:tcPr>
            <w:tcW w:w="833"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708" w:type="dxa"/>
            <w:gridSpan w:val="2"/>
            <w:vAlign w:val="center"/>
          </w:tcPr>
          <w:p>
            <w:pPr>
              <w:rPr>
                <w:rFonts w:ascii="宋体" w:cs="宋体"/>
                <w:color w:val="000000"/>
                <w:sz w:val="16"/>
                <w:szCs w:val="16"/>
              </w:rPr>
            </w:pPr>
          </w:p>
        </w:tc>
        <w:tc>
          <w:tcPr>
            <w:tcW w:w="1215"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08</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63" w:type="dxa"/>
            <w:gridSpan w:val="2"/>
            <w:vAlign w:val="center"/>
          </w:tcPr>
          <w:p>
            <w:pPr>
              <w:rPr>
                <w:rFonts w:ascii="宋体" w:cs="宋体"/>
                <w:color w:val="000000"/>
                <w:sz w:val="16"/>
                <w:szCs w:val="16"/>
              </w:rPr>
            </w:pPr>
          </w:p>
        </w:tc>
        <w:tc>
          <w:tcPr>
            <w:tcW w:w="1436" w:type="dxa"/>
            <w:vAlign w:val="center"/>
          </w:tcPr>
          <w:p>
            <w:pPr>
              <w:rPr>
                <w:rFonts w:ascii="宋体" w:cs="宋体"/>
                <w:color w:val="000000"/>
                <w:sz w:val="16"/>
                <w:szCs w:val="16"/>
              </w:rPr>
            </w:pPr>
          </w:p>
        </w:tc>
        <w:tc>
          <w:tcPr>
            <w:tcW w:w="1166" w:type="dxa"/>
            <w:vAlign w:val="center"/>
          </w:tcPr>
          <w:p>
            <w:pPr>
              <w:rPr>
                <w:rFonts w:ascii="宋体" w:cs="宋体"/>
                <w:color w:val="000000"/>
                <w:sz w:val="16"/>
                <w:szCs w:val="16"/>
              </w:rPr>
            </w:pPr>
          </w:p>
        </w:tc>
        <w:tc>
          <w:tcPr>
            <w:tcW w:w="1215" w:type="dxa"/>
            <w:gridSpan w:val="2"/>
            <w:vAlign w:val="center"/>
          </w:tcPr>
          <w:p>
            <w:pPr>
              <w:rPr>
                <w:rFonts w:ascii="宋体" w:cs="宋体"/>
                <w:color w:val="000000"/>
                <w:sz w:val="16"/>
                <w:szCs w:val="16"/>
              </w:rPr>
            </w:pPr>
          </w:p>
        </w:tc>
        <w:tc>
          <w:tcPr>
            <w:tcW w:w="833"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708" w:type="dxa"/>
            <w:gridSpan w:val="2"/>
            <w:vAlign w:val="center"/>
          </w:tcPr>
          <w:p>
            <w:pPr>
              <w:rPr>
                <w:rFonts w:ascii="宋体" w:cs="宋体"/>
                <w:color w:val="000000"/>
                <w:sz w:val="16"/>
                <w:szCs w:val="16"/>
              </w:rPr>
            </w:pPr>
          </w:p>
        </w:tc>
        <w:tc>
          <w:tcPr>
            <w:tcW w:w="1215"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11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年初结转和结余</w:t>
            </w:r>
          </w:p>
        </w:tc>
        <w:tc>
          <w:tcPr>
            <w:tcW w:w="1191"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w:t>
            </w:r>
          </w:p>
        </w:tc>
        <w:tc>
          <w:tcPr>
            <w:tcW w:w="354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w:t>
            </w:r>
          </w:p>
        </w:tc>
        <w:tc>
          <w:tcPr>
            <w:tcW w:w="121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年末结转和结余</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1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91"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c>
          <w:tcPr>
            <w:tcW w:w="121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kern w:val="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文化体育与传媒支出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国家电影事业发展专项资金及对应专项债务收入安排的支出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2070701</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资助国产影片放映</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347"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资助城市影院</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2070703</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资助少数民族电影译制</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2070799</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其他国家电影事业发展专项资金支出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208</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社会保障和就业支出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20822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大中型水库移民后期扶持基金支出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PrEx>
        <w:trPr>
          <w:trHeight w:val="285" w:hRule="atLeast"/>
        </w:trPr>
        <w:tc>
          <w:tcPr>
            <w:tcW w:w="10335" w:type="dxa"/>
            <w:gridSpan w:val="12"/>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注：本表反映部门本年度政府性基金预算财政拨款收入支出及结转和结余情况。</w:t>
            </w:r>
          </w:p>
        </w:tc>
      </w:tr>
      <w:tr>
        <w:tblPrEx>
          <w:tblLayout w:type="fixed"/>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宋体" w:cs="宋体"/>
                <w:b/>
                <w:color w:val="FF0000"/>
                <w:sz w:val="20"/>
                <w:szCs w:val="20"/>
              </w:rPr>
            </w:pPr>
            <w:r>
              <w:rPr>
                <w:rFonts w:hint="eastAsia" w:ascii="宋体" w:hAnsi="宋体" w:cs="宋体"/>
                <w:b/>
                <w:color w:val="FF0000"/>
                <w:kern w:val="0"/>
                <w:sz w:val="20"/>
                <w:szCs w:val="20"/>
              </w:rPr>
              <w:t>说明：浉河区委党校没有政府性基金收入，也没有使用政府性基金安排的支出，故本表无数据。</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ascii="隶书" w:hAnsi="隶书" w:eastAsia="隶书" w:cs="隶书"/>
          <w:sz w:val="48"/>
          <w:szCs w:val="48"/>
        </w:rPr>
      </w:pPr>
      <w:r>
        <w:rPr>
          <w:rFonts w:hint="eastAsia" w:ascii="隶书" w:hAnsi="隶书" w:eastAsia="隶书" w:cs="隶书"/>
          <w:sz w:val="48"/>
          <w:szCs w:val="48"/>
        </w:rPr>
        <w:t>浉河区委党校</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隶书" w:hAnsi="隶书" w:eastAsia="隶书" w:cs="隶书"/>
          <w:sz w:val="48"/>
          <w:szCs w:val="48"/>
        </w:rPr>
        <w:t>201</w:t>
      </w:r>
      <w:r>
        <w:rPr>
          <w:rFonts w:hint="eastAsia" w:ascii="隶书" w:hAnsi="隶书" w:eastAsia="隶书" w:cs="隶书"/>
          <w:sz w:val="48"/>
          <w:szCs w:val="48"/>
        </w:rPr>
        <w:t>8年度部门预算情况说明</w:t>
      </w:r>
    </w:p>
    <w:p>
      <w:pPr>
        <w:adjustRightInd w:val="0"/>
        <w:snapToGrid w:val="0"/>
        <w:spacing w:line="360" w:lineRule="auto"/>
        <w:ind w:firstLine="320" w:firstLineChars="100"/>
        <w:outlineLvl w:val="1"/>
        <w:rPr>
          <w:rFonts w:ascii="黑体" w:hAnsi="黑体" w:eastAsia="黑体"/>
          <w:sz w:val="32"/>
          <w:szCs w:val="32"/>
        </w:rPr>
      </w:pPr>
      <w:r>
        <w:rPr>
          <w:rFonts w:hint="eastAsia" w:ascii="黑体" w:hAnsi="黑体" w:eastAsia="黑体"/>
          <w:sz w:val="32"/>
          <w:szCs w:val="32"/>
        </w:rPr>
        <w:t>（一）收入支出总体情况说明</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8</w:t>
      </w:r>
      <w:r>
        <w:rPr>
          <w:rFonts w:ascii="??_GB2312" w:hAnsi="宋体" w:eastAsia="Times New Roman" w:cs="Courier New"/>
          <w:sz w:val="32"/>
          <w:szCs w:val="32"/>
        </w:rPr>
        <w:t>年度收入总计</w:t>
      </w:r>
      <w:r>
        <w:rPr>
          <w:rFonts w:hint="eastAsia" w:ascii="??_GB2312" w:hAnsi="宋体" w:cs="Courier New" w:eastAsiaTheme="minorEastAsia"/>
          <w:sz w:val="32"/>
          <w:szCs w:val="32"/>
        </w:rPr>
        <w:t>535.33</w:t>
      </w:r>
      <w:r>
        <w:rPr>
          <w:rFonts w:ascii="??_GB2312" w:hAnsi="宋体" w:eastAsia="Times New Roman" w:cs="Courier New"/>
          <w:sz w:val="32"/>
          <w:szCs w:val="32"/>
        </w:rPr>
        <w:t>万元，支出总计</w:t>
      </w:r>
      <w:r>
        <w:rPr>
          <w:rFonts w:hint="eastAsia" w:ascii="??_GB2312" w:hAnsi="宋体" w:cs="Courier New" w:eastAsiaTheme="minorEastAsia"/>
          <w:sz w:val="32"/>
          <w:szCs w:val="32"/>
        </w:rPr>
        <w:t>535.33</w:t>
      </w:r>
      <w:r>
        <w:rPr>
          <w:rFonts w:ascii="??_GB2312" w:hAnsi="宋体" w:eastAsia="Times New Roman" w:cs="Courier New"/>
          <w:sz w:val="32"/>
          <w:szCs w:val="32"/>
        </w:rPr>
        <w:t>万元，与201</w:t>
      </w:r>
      <w:r>
        <w:rPr>
          <w:rFonts w:hint="eastAsia" w:ascii="??_GB2312" w:hAnsi="宋体" w:cs="Courier New"/>
          <w:sz w:val="32"/>
          <w:szCs w:val="32"/>
        </w:rPr>
        <w:t>7</w:t>
      </w:r>
      <w:r>
        <w:rPr>
          <w:rFonts w:ascii="??_GB2312" w:hAnsi="宋体" w:eastAsia="Times New Roman" w:cs="Courier New"/>
          <w:sz w:val="32"/>
          <w:szCs w:val="32"/>
        </w:rPr>
        <w:t>年相比，收入</w:t>
      </w:r>
      <w:r>
        <w:rPr>
          <w:rFonts w:hint="eastAsia" w:ascii="??_GB2312" w:hAnsi="宋体" w:cs="Courier New" w:eastAsiaTheme="minorEastAsia"/>
          <w:sz w:val="32"/>
          <w:szCs w:val="32"/>
        </w:rPr>
        <w:t>增加25.67</w:t>
      </w:r>
      <w:r>
        <w:rPr>
          <w:rFonts w:ascii="??_GB2312" w:hAnsi="宋体" w:eastAsia="Times New Roman" w:cs="Courier New"/>
          <w:sz w:val="32"/>
          <w:szCs w:val="32"/>
        </w:rPr>
        <w:t>万元，</w:t>
      </w:r>
      <w:r>
        <w:rPr>
          <w:rFonts w:hint="eastAsia" w:ascii="??_GB2312" w:hAnsi="宋体" w:cs="Courier New" w:eastAsiaTheme="minorEastAsia"/>
          <w:sz w:val="32"/>
          <w:szCs w:val="32"/>
        </w:rPr>
        <w:t>支出增加25.67</w:t>
      </w:r>
      <w:r>
        <w:rPr>
          <w:rFonts w:ascii="??_GB2312" w:hAnsi="宋体" w:eastAsia="Times New Roman" w:cs="Courier New"/>
          <w:sz w:val="32"/>
          <w:szCs w:val="32"/>
        </w:rPr>
        <w:t>万元，</w:t>
      </w:r>
      <w:r>
        <w:rPr>
          <w:rFonts w:hint="eastAsia" w:ascii="??_GB2312" w:hAnsi="宋体" w:cs="Courier New" w:eastAsiaTheme="minorEastAsia"/>
          <w:sz w:val="32"/>
          <w:szCs w:val="32"/>
        </w:rPr>
        <w:t>增浮5</w:t>
      </w:r>
      <w:r>
        <w:rPr>
          <w:rFonts w:ascii="??_GB2312" w:hAnsi="宋体" w:eastAsia="Times New Roman" w:cs="Courier New"/>
          <w:sz w:val="32"/>
          <w:szCs w:val="32"/>
        </w:rPr>
        <w:t>%。</w:t>
      </w:r>
      <w:r>
        <w:rPr>
          <w:rFonts w:hint="eastAsia" w:ascii="??_GB2312" w:hAnsi="宋体" w:cs="Courier New" w:eastAsiaTheme="minorEastAsia"/>
          <w:sz w:val="32"/>
          <w:szCs w:val="32"/>
        </w:rPr>
        <w:t>因为2018年人员工资的增加。</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（二）、部门收入总体情况说明</w:t>
      </w:r>
    </w:p>
    <w:p>
      <w:pPr>
        <w:adjustRightInd w:val="0"/>
        <w:snapToGrid w:val="0"/>
        <w:spacing w:line="360" w:lineRule="auto"/>
        <w:ind w:firstLine="640" w:firstLineChars="200"/>
        <w:rPr>
          <w:rFonts w:ascii="??_GB2312" w:hAnsi="Times New Roman" w:eastAsiaTheme="minorEastAsia"/>
          <w:sz w:val="32"/>
          <w:szCs w:val="32"/>
        </w:rPr>
      </w:pPr>
      <w:r>
        <w:rPr>
          <w:rFonts w:ascii="??_GB2312" w:hAnsi="宋体" w:eastAsia="Times New Roman" w:cs="Courier New"/>
          <w:sz w:val="32"/>
          <w:szCs w:val="32"/>
        </w:rPr>
        <w:t>201</w:t>
      </w:r>
      <w:r>
        <w:rPr>
          <w:rFonts w:hint="eastAsia" w:ascii="??_GB2312" w:hAnsi="宋体" w:cs="Courier New"/>
          <w:sz w:val="32"/>
          <w:szCs w:val="32"/>
        </w:rPr>
        <w:t>8</w:t>
      </w:r>
      <w:r>
        <w:rPr>
          <w:rFonts w:ascii="??_GB2312" w:hAnsi="宋体" w:eastAsia="Times New Roman" w:cs="Courier New"/>
          <w:sz w:val="32"/>
          <w:szCs w:val="32"/>
        </w:rPr>
        <w:t>年度</w:t>
      </w:r>
      <w:r>
        <w:rPr>
          <w:rFonts w:ascii="??_GB2312" w:hAnsi="Times New Roman" w:eastAsia="Times New Roman"/>
          <w:sz w:val="32"/>
          <w:szCs w:val="32"/>
        </w:rPr>
        <w:t>收入合计</w:t>
      </w:r>
      <w:r>
        <w:rPr>
          <w:rFonts w:hint="eastAsia" w:ascii="??_GB2312" w:hAnsi="Times New Roman" w:eastAsiaTheme="minorEastAsia"/>
          <w:sz w:val="32"/>
          <w:szCs w:val="32"/>
        </w:rPr>
        <w:t>535.33</w:t>
      </w:r>
      <w:r>
        <w:rPr>
          <w:rFonts w:ascii="??_GB2312" w:hAnsi="Times New Roman" w:eastAsia="Times New Roman"/>
          <w:sz w:val="32"/>
          <w:szCs w:val="32"/>
        </w:rPr>
        <w:t>万元，其中：财政拨款收入</w:t>
      </w:r>
      <w:r>
        <w:rPr>
          <w:rFonts w:hint="eastAsia" w:ascii="??_GB2312" w:hAnsi="Times New Roman" w:eastAsiaTheme="minorEastAsia"/>
          <w:sz w:val="32"/>
          <w:szCs w:val="32"/>
        </w:rPr>
        <w:t>535.33</w:t>
      </w:r>
      <w:r>
        <w:rPr>
          <w:rFonts w:ascii="??_GB2312" w:hAnsi="Times New Roman" w:eastAsia="Times New Roman"/>
          <w:sz w:val="32"/>
          <w:szCs w:val="32"/>
        </w:rPr>
        <w:t>万元，占100 %；</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（三）、部门支出总体情况说明</w:t>
      </w:r>
    </w:p>
    <w:p>
      <w:pPr>
        <w:adjustRightInd w:val="0"/>
        <w:snapToGrid w:val="0"/>
        <w:spacing w:line="360" w:lineRule="auto"/>
        <w:ind w:firstLine="640" w:firstLineChars="200"/>
        <w:rPr>
          <w:rFonts w:ascii="??_GB2312" w:hAnsi="宋体" w:cs="Courier New" w:eastAsiaTheme="minorEastAsia"/>
          <w:sz w:val="32"/>
          <w:szCs w:val="32"/>
        </w:rPr>
      </w:pPr>
      <w:r>
        <w:rPr>
          <w:rFonts w:ascii="??_GB2312" w:hAnsi="宋体" w:eastAsia="Times New Roman" w:cs="Courier New"/>
          <w:sz w:val="32"/>
          <w:szCs w:val="32"/>
        </w:rPr>
        <w:t>201</w:t>
      </w:r>
      <w:r>
        <w:rPr>
          <w:rFonts w:hint="eastAsia" w:ascii="??_GB2312" w:hAnsi="宋体" w:cs="Courier New"/>
          <w:sz w:val="32"/>
          <w:szCs w:val="32"/>
        </w:rPr>
        <w:t>8</w:t>
      </w:r>
      <w:r>
        <w:rPr>
          <w:rFonts w:ascii="??_GB2312" w:hAnsi="宋体" w:eastAsia="Times New Roman" w:cs="Courier New"/>
          <w:sz w:val="32"/>
          <w:szCs w:val="32"/>
        </w:rPr>
        <w:t>年度支出合计</w:t>
      </w:r>
      <w:r>
        <w:rPr>
          <w:rFonts w:hint="eastAsia" w:ascii="??_GB2312" w:hAnsi="宋体" w:cs="Courier New" w:eastAsiaTheme="minorEastAsia"/>
          <w:sz w:val="32"/>
          <w:szCs w:val="32"/>
        </w:rPr>
        <w:t>535.33</w:t>
      </w:r>
      <w:r>
        <w:rPr>
          <w:rFonts w:ascii="??_GB2312" w:hAnsi="宋体" w:eastAsia="Times New Roman" w:cs="Courier New"/>
          <w:sz w:val="32"/>
          <w:szCs w:val="32"/>
        </w:rPr>
        <w:t>万元，其中：基本支出</w:t>
      </w:r>
      <w:r>
        <w:rPr>
          <w:rFonts w:hint="eastAsia" w:ascii="??_GB2312" w:hAnsi="宋体" w:cs="Courier New" w:eastAsiaTheme="minorEastAsia"/>
          <w:sz w:val="32"/>
          <w:szCs w:val="32"/>
        </w:rPr>
        <w:t>262.33</w:t>
      </w:r>
      <w:r>
        <w:rPr>
          <w:rFonts w:ascii="??_GB2312" w:hAnsi="宋体" w:eastAsia="Times New Roman" w:cs="Courier New"/>
          <w:sz w:val="32"/>
          <w:szCs w:val="32"/>
        </w:rPr>
        <w:t>万元，占</w:t>
      </w:r>
      <w:r>
        <w:rPr>
          <w:rFonts w:hint="eastAsia" w:ascii="??_GB2312" w:hAnsi="宋体" w:cs="Courier New" w:eastAsiaTheme="minorEastAsia"/>
          <w:sz w:val="32"/>
          <w:szCs w:val="32"/>
        </w:rPr>
        <w:t>50</w:t>
      </w:r>
      <w:r>
        <w:rPr>
          <w:rFonts w:ascii="??_GB2312" w:hAnsi="宋体" w:eastAsia="Times New Roman" w:cs="Courier New"/>
          <w:sz w:val="32"/>
          <w:szCs w:val="32"/>
        </w:rPr>
        <w:t>%；项目支出</w:t>
      </w:r>
      <w:r>
        <w:rPr>
          <w:rFonts w:hint="eastAsia" w:ascii="??_GB2312" w:hAnsi="宋体" w:cs="Courier New" w:eastAsiaTheme="minorEastAsia"/>
          <w:sz w:val="32"/>
          <w:szCs w:val="32"/>
        </w:rPr>
        <w:t>273万元.占50%</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（四）、财政拨款收入支出总体情况说明</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8</w:t>
      </w:r>
      <w:r>
        <w:rPr>
          <w:rFonts w:ascii="??_GB2312" w:hAnsi="宋体" w:eastAsia="Times New Roman" w:cs="Courier New"/>
          <w:sz w:val="32"/>
          <w:szCs w:val="32"/>
        </w:rPr>
        <w:t>年财政拨款收支总</w:t>
      </w:r>
      <w:r>
        <w:rPr>
          <w:rFonts w:hint="eastAsia" w:ascii="??_GB2312" w:hAnsi="宋体" w:cs="Courier New"/>
          <w:sz w:val="32"/>
          <w:szCs w:val="32"/>
        </w:rPr>
        <w:t>预</w:t>
      </w:r>
      <w:r>
        <w:rPr>
          <w:rFonts w:ascii="??_GB2312" w:hAnsi="宋体" w:eastAsia="Times New Roman" w:cs="Courier New"/>
          <w:sz w:val="32"/>
          <w:szCs w:val="32"/>
        </w:rPr>
        <w:t>算</w:t>
      </w:r>
      <w:r>
        <w:rPr>
          <w:rFonts w:hint="eastAsia" w:ascii="??_GB2312" w:hAnsi="宋体" w:cs="Courier New" w:eastAsiaTheme="minorEastAsia"/>
          <w:sz w:val="32"/>
          <w:szCs w:val="32"/>
        </w:rPr>
        <w:t>535.33</w:t>
      </w:r>
      <w:r>
        <w:rPr>
          <w:rFonts w:ascii="??_GB2312" w:hAnsi="宋体" w:eastAsia="Times New Roman" w:cs="Courier New"/>
          <w:sz w:val="32"/>
          <w:szCs w:val="32"/>
        </w:rPr>
        <w:t>万元。与201</w:t>
      </w:r>
      <w:r>
        <w:rPr>
          <w:rFonts w:hint="eastAsia" w:ascii="??_GB2312" w:hAnsi="宋体" w:cs="Courier New"/>
          <w:sz w:val="32"/>
          <w:szCs w:val="32"/>
        </w:rPr>
        <w:t>7</w:t>
      </w:r>
      <w:r>
        <w:rPr>
          <w:rFonts w:ascii="??_GB2312" w:hAnsi="宋体" w:eastAsia="Times New Roman" w:cs="Courier New"/>
          <w:sz w:val="32"/>
          <w:szCs w:val="32"/>
        </w:rPr>
        <w:t>年相比，财政拨款收、支总计</w:t>
      </w:r>
      <w:r>
        <w:rPr>
          <w:rFonts w:hint="eastAsia" w:ascii="??_GB2312" w:hAnsi="宋体" w:cs="Courier New" w:eastAsiaTheme="minorEastAsia"/>
          <w:sz w:val="32"/>
          <w:szCs w:val="32"/>
        </w:rPr>
        <w:t>增加25.67</w:t>
      </w:r>
      <w:r>
        <w:rPr>
          <w:rFonts w:ascii="??_GB2312" w:hAnsi="宋体" w:eastAsia="Times New Roman" w:cs="Courier New"/>
          <w:sz w:val="32"/>
          <w:szCs w:val="32"/>
        </w:rPr>
        <w:t>万元，</w:t>
      </w:r>
      <w:r>
        <w:rPr>
          <w:rFonts w:hint="eastAsia" w:ascii="??_GB2312" w:hAnsi="宋体" w:cs="Courier New" w:eastAsiaTheme="minorEastAsia"/>
          <w:sz w:val="32"/>
          <w:szCs w:val="32"/>
        </w:rPr>
        <w:t>上浮5</w:t>
      </w:r>
      <w:r>
        <w:rPr>
          <w:rFonts w:ascii="??_GB2312" w:hAnsi="宋体" w:eastAsia="Times New Roman" w:cs="Courier New"/>
          <w:sz w:val="32"/>
          <w:szCs w:val="32"/>
        </w:rPr>
        <w:t>%。</w:t>
      </w:r>
      <w:r>
        <w:rPr>
          <w:rFonts w:hint="eastAsia" w:ascii="??_GB2312" w:hAnsi="宋体" w:cs="Courier New"/>
          <w:sz w:val="32"/>
          <w:szCs w:val="32"/>
        </w:rPr>
        <w:t>因人员工资增加。</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（五）、一般公共预算支出情况说明</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8</w:t>
      </w:r>
      <w:r>
        <w:rPr>
          <w:rFonts w:ascii="??_GB2312" w:hAnsi="宋体" w:eastAsia="Times New Roman" w:cs="Courier New"/>
          <w:sz w:val="32"/>
          <w:szCs w:val="32"/>
        </w:rPr>
        <w:t>年</w:t>
      </w:r>
      <w:r>
        <w:rPr>
          <w:rFonts w:hint="eastAsia" w:ascii="宋体" w:hAnsi="宋体" w:cs="宋体"/>
          <w:bCs/>
          <w:color w:val="000000"/>
          <w:kern w:val="0"/>
          <w:sz w:val="32"/>
          <w:szCs w:val="32"/>
        </w:rPr>
        <w:t>人员工资等支出262.33</w:t>
      </w:r>
      <w:r>
        <w:rPr>
          <w:rFonts w:ascii="??_GB2312" w:hAnsi="宋体" w:eastAsia="Times New Roman" w:cs="Courier New"/>
          <w:bCs/>
          <w:sz w:val="32"/>
          <w:szCs w:val="32"/>
        </w:rPr>
        <w:t>万元，占支出合计的</w:t>
      </w:r>
      <w:r>
        <w:rPr>
          <w:rFonts w:hint="eastAsia" w:ascii="??_GB2312" w:hAnsi="宋体" w:cs="Courier New" w:eastAsiaTheme="minorEastAsia"/>
          <w:bCs/>
          <w:sz w:val="32"/>
          <w:szCs w:val="32"/>
        </w:rPr>
        <w:t>50</w:t>
      </w:r>
      <w:r>
        <w:rPr>
          <w:rFonts w:ascii="??_GB2312" w:hAnsi="宋体" w:eastAsia="Times New Roman" w:cs="Courier New"/>
          <w:bCs/>
          <w:sz w:val="32"/>
          <w:szCs w:val="32"/>
        </w:rPr>
        <w:t>%。与201</w:t>
      </w:r>
      <w:r>
        <w:rPr>
          <w:rFonts w:hint="eastAsia" w:ascii="??_GB2312" w:hAnsi="宋体" w:cs="Courier New"/>
          <w:bCs/>
          <w:sz w:val="32"/>
          <w:szCs w:val="32"/>
        </w:rPr>
        <w:t>7</w:t>
      </w:r>
      <w:r>
        <w:rPr>
          <w:rFonts w:ascii="??_GB2312" w:hAnsi="宋体" w:eastAsia="Times New Roman" w:cs="Courier New"/>
          <w:bCs/>
          <w:sz w:val="32"/>
          <w:szCs w:val="32"/>
        </w:rPr>
        <w:t>年相比，</w:t>
      </w:r>
      <w:r>
        <w:rPr>
          <w:rFonts w:hint="eastAsia" w:ascii="宋体" w:hAnsi="宋体" w:cs="宋体"/>
          <w:bCs/>
          <w:color w:val="000000"/>
          <w:kern w:val="0"/>
          <w:sz w:val="32"/>
          <w:szCs w:val="32"/>
        </w:rPr>
        <w:t>人员工资等支出</w:t>
      </w:r>
      <w:r>
        <w:rPr>
          <w:rFonts w:hint="eastAsia" w:ascii="??_GB2312" w:hAnsi="宋体" w:cs="Courier New" w:eastAsiaTheme="minorEastAsia"/>
          <w:sz w:val="32"/>
          <w:szCs w:val="32"/>
        </w:rPr>
        <w:t>增加25.67</w:t>
      </w:r>
      <w:r>
        <w:rPr>
          <w:rFonts w:ascii="??_GB2312" w:hAnsi="宋体" w:eastAsia="Times New Roman" w:cs="Courier New"/>
          <w:sz w:val="32"/>
          <w:szCs w:val="32"/>
        </w:rPr>
        <w:t>万元，</w:t>
      </w:r>
      <w:r>
        <w:rPr>
          <w:rFonts w:hint="eastAsia" w:ascii="??_GB2312" w:hAnsi="宋体" w:cs="Courier New" w:eastAsiaTheme="minorEastAsia"/>
          <w:sz w:val="32"/>
          <w:szCs w:val="32"/>
        </w:rPr>
        <w:t>上浮5</w:t>
      </w:r>
      <w:r>
        <w:rPr>
          <w:rFonts w:ascii="??_GB2312" w:hAnsi="宋体" w:eastAsia="Times New Roman" w:cs="Courier New"/>
          <w:sz w:val="32"/>
          <w:szCs w:val="32"/>
        </w:rPr>
        <w:t>%。</w:t>
      </w:r>
      <w:r>
        <w:rPr>
          <w:rFonts w:hint="eastAsia" w:ascii="??_GB2312" w:hAnsi="宋体" w:cs="Courier New" w:eastAsiaTheme="minorEastAsia"/>
          <w:sz w:val="32"/>
          <w:szCs w:val="32"/>
        </w:rPr>
        <w:t>因为人员工资增加。</w:t>
      </w:r>
    </w:p>
    <w:p>
      <w:pPr>
        <w:adjustRightInd w:val="0"/>
        <w:snapToGrid w:val="0"/>
        <w:spacing w:line="360" w:lineRule="auto"/>
        <w:ind w:firstLine="480" w:firstLineChars="150"/>
        <w:rPr>
          <w:rFonts w:ascii="楷体_GB2312" w:hAnsi="楷体_GB2312" w:eastAsia="楷体_GB2312" w:cs="楷体_GB2312"/>
          <w:sz w:val="32"/>
          <w:szCs w:val="32"/>
        </w:rPr>
      </w:pPr>
      <w:r>
        <w:rPr>
          <w:rFonts w:hint="eastAsia" w:ascii="楷体_GB2312" w:hAnsi="楷体_GB2312" w:eastAsia="楷体_GB2312" w:cs="楷体_GB2312"/>
          <w:sz w:val="32"/>
          <w:szCs w:val="32"/>
        </w:rPr>
        <w:t>（六）、一般公共预算基本支出情况说明</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8</w:t>
      </w:r>
      <w:r>
        <w:rPr>
          <w:rFonts w:ascii="??_GB2312" w:hAnsi="宋体" w:eastAsia="Times New Roman" w:cs="Courier New"/>
          <w:sz w:val="32"/>
          <w:szCs w:val="32"/>
        </w:rPr>
        <w:t>年度</w:t>
      </w:r>
      <w:r>
        <w:rPr>
          <w:rFonts w:hint="eastAsia" w:ascii="宋体" w:hAnsi="宋体" w:cs="宋体"/>
          <w:bCs/>
          <w:color w:val="000000"/>
          <w:kern w:val="0"/>
          <w:sz w:val="32"/>
          <w:szCs w:val="32"/>
        </w:rPr>
        <w:t>财政拨款支出535.33</w:t>
      </w:r>
      <w:r>
        <w:rPr>
          <w:rFonts w:ascii="??_GB2312" w:hAnsi="宋体" w:eastAsia="Times New Roman" w:cs="Courier New"/>
          <w:sz w:val="32"/>
          <w:szCs w:val="32"/>
        </w:rPr>
        <w:t>万元，主要用于以下方面：</w:t>
      </w:r>
      <w:r>
        <w:rPr>
          <w:rFonts w:ascii="??_GB2312" w:hAnsi="Times New Roman" w:eastAsia="Times New Roman" w:cs="??_GB2312"/>
          <w:bCs/>
          <w:spacing w:val="-1"/>
          <w:kern w:val="0"/>
          <w:sz w:val="32"/>
          <w:szCs w:val="32"/>
        </w:rPr>
        <w:t>人员经费</w:t>
      </w:r>
      <w:r>
        <w:rPr>
          <w:rFonts w:hint="eastAsia" w:ascii="??_GB2312" w:hAnsi="Times New Roman" w:cs="??_GB2312" w:eastAsiaTheme="minorEastAsia"/>
          <w:bCs/>
          <w:spacing w:val="-1"/>
          <w:kern w:val="0"/>
          <w:sz w:val="32"/>
          <w:szCs w:val="32"/>
        </w:rPr>
        <w:t>196.08</w:t>
      </w:r>
      <w:r>
        <w:rPr>
          <w:rFonts w:ascii="??_GB2312" w:hAnsi="Times New Roman" w:eastAsia="Times New Roman" w:cs="??_GB2312"/>
          <w:bCs/>
          <w:spacing w:val="-1"/>
          <w:kern w:val="0"/>
          <w:sz w:val="32"/>
          <w:szCs w:val="32"/>
        </w:rPr>
        <w:t>万元</w:t>
      </w:r>
      <w:r>
        <w:rPr>
          <w:rFonts w:ascii="??_GB2312" w:hAnsi="宋体" w:eastAsia="Times New Roman" w:cs="Courier New"/>
          <w:bCs/>
          <w:sz w:val="32"/>
          <w:szCs w:val="32"/>
        </w:rPr>
        <w:t>，</w:t>
      </w:r>
      <w:r>
        <w:rPr>
          <w:rFonts w:ascii="??_GB2312" w:hAnsi="宋体" w:eastAsia="Times New Roman" w:cs="Courier New"/>
          <w:sz w:val="32"/>
          <w:szCs w:val="32"/>
        </w:rPr>
        <w:t>主要包括：基本工资、津贴补贴、绩效工资</w:t>
      </w:r>
      <w:r>
        <w:rPr>
          <w:rFonts w:hint="eastAsia" w:ascii="??_GB2312" w:hAnsi="宋体" w:cs="Courier New" w:eastAsiaTheme="minorEastAsia"/>
          <w:sz w:val="32"/>
          <w:szCs w:val="32"/>
        </w:rPr>
        <w:t>.养老保险缴费.离休费.医保金.住房公积金等</w:t>
      </w:r>
      <w:r>
        <w:rPr>
          <w:rFonts w:ascii="??_GB2312" w:hAnsi="宋体" w:eastAsia="Times New Roman" w:cs="Courier New"/>
          <w:sz w:val="32"/>
          <w:szCs w:val="32"/>
        </w:rPr>
        <w:t>；</w:t>
      </w:r>
      <w:r>
        <w:rPr>
          <w:rFonts w:ascii="??_GB2312" w:hAnsi="Times New Roman" w:eastAsia="Times New Roman" w:cs="??_GB2312"/>
          <w:b/>
          <w:spacing w:val="-1"/>
          <w:kern w:val="0"/>
          <w:sz w:val="32"/>
          <w:szCs w:val="32"/>
        </w:rPr>
        <w:t>公用经费</w:t>
      </w:r>
      <w:r>
        <w:rPr>
          <w:rFonts w:hint="eastAsia" w:ascii="??_GB2312" w:hAnsi="Times New Roman" w:cs="??_GB2312" w:eastAsiaTheme="minorEastAsia"/>
          <w:spacing w:val="-2"/>
          <w:kern w:val="0"/>
          <w:sz w:val="32"/>
          <w:szCs w:val="32"/>
        </w:rPr>
        <w:t>339.25</w:t>
      </w:r>
      <w:r>
        <w:rPr>
          <w:rFonts w:ascii="??_GB2312" w:hAnsi="Times New Roman" w:eastAsia="Times New Roman" w:cs="??_GB2312"/>
          <w:spacing w:val="-2"/>
          <w:kern w:val="0"/>
          <w:sz w:val="32"/>
          <w:szCs w:val="32"/>
        </w:rPr>
        <w:t>万元</w:t>
      </w:r>
      <w:r>
        <w:rPr>
          <w:rFonts w:ascii="??_GB2312" w:hAnsi="宋体" w:eastAsia="Times New Roman" w:cs="Courier New"/>
          <w:sz w:val="32"/>
          <w:szCs w:val="32"/>
        </w:rPr>
        <w:t>，主要包括：办公费</w:t>
      </w:r>
      <w:r>
        <w:rPr>
          <w:rFonts w:hint="eastAsia" w:ascii="??_GB2312" w:hAnsi="宋体" w:cs="Courier New" w:eastAsiaTheme="minorEastAsia"/>
          <w:sz w:val="32"/>
          <w:szCs w:val="32"/>
        </w:rPr>
        <w:t>.水电费.差旅费.维修费.公务接待费.工会经费.其他商品和服务支出等</w:t>
      </w:r>
      <w:r>
        <w:rPr>
          <w:rFonts w:ascii="??_GB2312" w:hAnsi="宋体" w:eastAsia="Times New Roman" w:cs="Courier New"/>
          <w:sz w:val="32"/>
          <w:szCs w:val="32"/>
        </w:rPr>
        <w:t>。</w:t>
      </w:r>
    </w:p>
    <w:p>
      <w:pPr>
        <w:adjustRightInd w:val="0"/>
        <w:snapToGrid w:val="0"/>
        <w:spacing w:line="360" w:lineRule="auto"/>
        <w:ind w:firstLine="160" w:firstLineChars="50"/>
        <w:outlineLvl w:val="1"/>
        <w:rPr>
          <w:rFonts w:ascii="黑体" w:hAnsi="黑体" w:eastAsia="黑体"/>
          <w:sz w:val="32"/>
          <w:szCs w:val="32"/>
        </w:rPr>
      </w:pPr>
      <w:r>
        <w:rPr>
          <w:rFonts w:hint="eastAsia" w:ascii="黑体" w:hAnsi="黑体" w:eastAsia="黑体"/>
          <w:sz w:val="32"/>
          <w:szCs w:val="32"/>
        </w:rPr>
        <w:t>（七）、一般公共预算“三公”经费支出情况说明</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8</w:t>
      </w:r>
      <w:r>
        <w:rPr>
          <w:rFonts w:ascii="??_GB2312" w:hAnsi="宋体" w:eastAsia="Times New Roman" w:cs="Courier New"/>
          <w:sz w:val="32"/>
          <w:szCs w:val="32"/>
        </w:rPr>
        <w:t>年度“三公”经费财政拨款支出预算为</w:t>
      </w:r>
      <w:r>
        <w:rPr>
          <w:rFonts w:hint="eastAsia" w:ascii="??_GB2312" w:hAnsi="宋体" w:cs="Courier New" w:eastAsiaTheme="minorEastAsia"/>
          <w:sz w:val="32"/>
          <w:szCs w:val="32"/>
        </w:rPr>
        <w:t>1.19</w:t>
      </w:r>
      <w:r>
        <w:rPr>
          <w:rFonts w:ascii="??_GB2312" w:hAnsi="宋体" w:eastAsia="Times New Roman" w:cs="Courier New"/>
          <w:sz w:val="32"/>
          <w:szCs w:val="32"/>
        </w:rPr>
        <w:t>万元，其中：因公出国（境）费支出</w:t>
      </w:r>
      <w:r>
        <w:rPr>
          <w:rFonts w:hint="eastAsia" w:ascii="??_GB2312" w:hAnsi="宋体" w:cs="Courier New"/>
          <w:sz w:val="32"/>
          <w:szCs w:val="32"/>
        </w:rPr>
        <w:t>预算</w:t>
      </w:r>
      <w:r>
        <w:rPr>
          <w:rFonts w:ascii="??_GB2312" w:hAnsi="宋体" w:eastAsia="Times New Roman" w:cs="Courier New"/>
          <w:sz w:val="32"/>
          <w:szCs w:val="32"/>
        </w:rPr>
        <w:t>为0万元；公务用车购置及运行费支出</w:t>
      </w:r>
      <w:r>
        <w:rPr>
          <w:rFonts w:hint="eastAsia" w:ascii="??_GB2312" w:hAnsi="宋体" w:cs="Courier New"/>
          <w:sz w:val="32"/>
          <w:szCs w:val="32"/>
        </w:rPr>
        <w:t>预</w:t>
      </w:r>
      <w:r>
        <w:rPr>
          <w:rFonts w:ascii="??_GB2312" w:hAnsi="宋体" w:eastAsia="Times New Roman" w:cs="Courier New"/>
          <w:sz w:val="32"/>
          <w:szCs w:val="32"/>
        </w:rPr>
        <w:t>算为</w:t>
      </w:r>
      <w:r>
        <w:rPr>
          <w:rFonts w:hint="eastAsia" w:ascii="??_GB2312" w:hAnsi="宋体" w:cs="Courier New" w:eastAsiaTheme="minorEastAsia"/>
          <w:sz w:val="32"/>
          <w:szCs w:val="32"/>
        </w:rPr>
        <w:t>0</w:t>
      </w:r>
      <w:r>
        <w:rPr>
          <w:rFonts w:ascii="??_GB2312" w:hAnsi="宋体" w:eastAsia="Times New Roman" w:cs="Courier New"/>
          <w:sz w:val="32"/>
          <w:szCs w:val="32"/>
        </w:rPr>
        <w:t>万元；公务接待费支出</w:t>
      </w:r>
      <w:r>
        <w:rPr>
          <w:rFonts w:hint="eastAsia" w:ascii="??_GB2312" w:hAnsi="宋体" w:cs="Courier New"/>
          <w:sz w:val="32"/>
          <w:szCs w:val="32"/>
        </w:rPr>
        <w:t>预</w:t>
      </w:r>
      <w:r>
        <w:rPr>
          <w:rFonts w:ascii="??_GB2312" w:hAnsi="宋体" w:eastAsia="Times New Roman" w:cs="Courier New"/>
          <w:sz w:val="32"/>
          <w:szCs w:val="32"/>
        </w:rPr>
        <w:t>算为</w:t>
      </w:r>
      <w:r>
        <w:rPr>
          <w:rFonts w:hint="eastAsia" w:ascii="??_GB2312" w:hAnsi="宋体" w:cs="Courier New" w:eastAsiaTheme="minorEastAsia"/>
          <w:sz w:val="32"/>
          <w:szCs w:val="32"/>
        </w:rPr>
        <w:t>1.19</w:t>
      </w:r>
      <w:r>
        <w:rPr>
          <w:rFonts w:ascii="??_GB2312" w:hAnsi="宋体" w:eastAsia="Times New Roman" w:cs="Courier New"/>
          <w:sz w:val="32"/>
          <w:szCs w:val="32"/>
        </w:rPr>
        <w:t>万元。公务接待</w:t>
      </w:r>
      <w:r>
        <w:rPr>
          <w:rFonts w:hint="eastAsia" w:ascii="??_GB2312" w:hAnsi="宋体" w:cs="Courier New" w:eastAsiaTheme="minorEastAsia"/>
          <w:sz w:val="32"/>
          <w:szCs w:val="32"/>
        </w:rPr>
        <w:t>严格按照标准执行</w:t>
      </w:r>
      <w:r>
        <w:rPr>
          <w:rFonts w:ascii="??_GB2312" w:hAnsi="宋体" w:eastAsia="Times New Roman" w:cs="Courier New"/>
          <w:sz w:val="32"/>
          <w:szCs w:val="32"/>
        </w:rPr>
        <w:t>：现在公务接待的标准是同城不吃饭，禁止使用高档烟酒，禁止出入高档酒店进行招待，大大减少了公务接待费用。</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8</w:t>
      </w:r>
      <w:r>
        <w:rPr>
          <w:rFonts w:ascii="??_GB2312" w:hAnsi="宋体" w:eastAsia="Times New Roman" w:cs="Courier New"/>
          <w:sz w:val="32"/>
          <w:szCs w:val="32"/>
        </w:rPr>
        <w:t>年度“三公”经费财政拨款支出</w:t>
      </w:r>
      <w:r>
        <w:rPr>
          <w:rFonts w:hint="eastAsia" w:ascii="??_GB2312" w:hAnsi="宋体" w:cs="Courier New"/>
          <w:sz w:val="32"/>
          <w:szCs w:val="32"/>
        </w:rPr>
        <w:t>预</w:t>
      </w:r>
      <w:r>
        <w:rPr>
          <w:rFonts w:ascii="??_GB2312" w:hAnsi="宋体" w:eastAsia="Times New Roman" w:cs="Courier New"/>
          <w:sz w:val="32"/>
          <w:szCs w:val="32"/>
        </w:rPr>
        <w:t>算中，因公出国（境）费支出</w:t>
      </w:r>
      <w:r>
        <w:rPr>
          <w:rFonts w:hint="eastAsia" w:ascii="??_GB2312" w:hAnsi="宋体" w:cs="Courier New"/>
          <w:sz w:val="32"/>
          <w:szCs w:val="32"/>
        </w:rPr>
        <w:t>预</w:t>
      </w:r>
      <w:r>
        <w:rPr>
          <w:rFonts w:ascii="??_GB2312" w:hAnsi="宋体" w:eastAsia="Times New Roman" w:cs="Courier New"/>
          <w:sz w:val="32"/>
          <w:szCs w:val="32"/>
        </w:rPr>
        <w:t>算0万元，占0 %；公务用车购置及运行费支出</w:t>
      </w:r>
      <w:r>
        <w:rPr>
          <w:rFonts w:hint="eastAsia" w:ascii="??_GB2312" w:hAnsi="宋体" w:cs="Courier New"/>
          <w:sz w:val="32"/>
          <w:szCs w:val="32"/>
        </w:rPr>
        <w:t>预</w:t>
      </w:r>
      <w:r>
        <w:rPr>
          <w:rFonts w:ascii="??_GB2312" w:hAnsi="宋体" w:eastAsia="Times New Roman" w:cs="Courier New"/>
          <w:sz w:val="32"/>
          <w:szCs w:val="32"/>
        </w:rPr>
        <w:t>算</w:t>
      </w:r>
      <w:r>
        <w:rPr>
          <w:rFonts w:hint="eastAsia" w:ascii="??_GB2312" w:hAnsi="宋体" w:cs="Courier New" w:eastAsiaTheme="minorEastAsia"/>
          <w:sz w:val="32"/>
          <w:szCs w:val="32"/>
        </w:rPr>
        <w:t>0</w:t>
      </w:r>
      <w:r>
        <w:rPr>
          <w:rFonts w:ascii="??_GB2312" w:hAnsi="宋体" w:eastAsia="Times New Roman" w:cs="Courier New"/>
          <w:sz w:val="32"/>
          <w:szCs w:val="32"/>
        </w:rPr>
        <w:t>万元</w:t>
      </w:r>
      <w:r>
        <w:rPr>
          <w:rFonts w:hint="eastAsia" w:ascii="??_GB2312" w:hAnsi="宋体" w:cs="Courier New" w:eastAsiaTheme="minorEastAsia"/>
          <w:sz w:val="32"/>
          <w:szCs w:val="32"/>
        </w:rPr>
        <w:t>。</w:t>
      </w:r>
      <w:r>
        <w:rPr>
          <w:rFonts w:ascii="??_GB2312" w:hAnsi="宋体" w:eastAsia="Times New Roman" w:cs="Courier New"/>
          <w:sz w:val="32"/>
          <w:szCs w:val="32"/>
        </w:rPr>
        <w:t>具体情况如下：</w:t>
      </w:r>
    </w:p>
    <w:p>
      <w:pPr>
        <w:numPr>
          <w:ilvl w:val="0"/>
          <w:numId w:val="4"/>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因公出国（境）费</w:t>
      </w:r>
      <w:r>
        <w:rPr>
          <w:rFonts w:ascii="??_GB2312" w:hAnsi="宋体" w:eastAsia="Times New Roman" w:cs="Courier New"/>
          <w:sz w:val="32"/>
          <w:szCs w:val="32"/>
        </w:rPr>
        <w:t>支出0万元。全年安排机关单位因公出国（境）团组0个，累计0人次。开支内容包括：</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b/>
          <w:bCs/>
          <w:sz w:val="32"/>
          <w:szCs w:val="32"/>
        </w:rPr>
        <w:t>出国谈判、工作磋商</w:t>
      </w:r>
      <w:r>
        <w:rPr>
          <w:rFonts w:ascii="??_GB2312" w:hAnsi="宋体" w:eastAsia="Times New Roman" w:cs="Courier New"/>
          <w:sz w:val="32"/>
          <w:szCs w:val="32"/>
        </w:rPr>
        <w:t>支出0万元，主要用于参加以下谈判和磋商：无。</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b/>
          <w:bCs/>
          <w:sz w:val="32"/>
          <w:szCs w:val="32"/>
        </w:rPr>
        <w:t>境外业务培训</w:t>
      </w:r>
      <w:r>
        <w:rPr>
          <w:rFonts w:ascii="??_GB2312" w:hAnsi="宋体" w:eastAsia="Times New Roman" w:cs="Courier New"/>
          <w:sz w:val="32"/>
          <w:szCs w:val="32"/>
        </w:rPr>
        <w:t>支出支出0万元，没有用于为提高财政管理水平而举办的公共财政支出结构比较研究、社会保障政策等。</w:t>
      </w:r>
    </w:p>
    <w:p>
      <w:pPr>
        <w:numPr>
          <w:ilvl w:val="0"/>
          <w:numId w:val="4"/>
        </w:numPr>
        <w:kinsoku w:val="0"/>
        <w:overflowPunct w:val="0"/>
        <w:autoSpaceDE w:val="0"/>
        <w:autoSpaceDN w:val="0"/>
        <w:adjustRightInd w:val="0"/>
        <w:snapToGrid w:val="0"/>
        <w:spacing w:line="360" w:lineRule="auto"/>
        <w:ind w:firstLine="643" w:firstLineChars="200"/>
        <w:rPr>
          <w:rFonts w:ascii="??_GB2312" w:hAnsi="宋体" w:eastAsia="Times New Roman" w:cs="Courier New"/>
          <w:b/>
          <w:bCs/>
          <w:sz w:val="32"/>
          <w:szCs w:val="32"/>
        </w:rPr>
      </w:pPr>
      <w:r>
        <w:rPr>
          <w:rFonts w:hint="eastAsia" w:ascii="??_GB2312" w:hAnsi="宋体" w:eastAsiaTheme="minorEastAsia"/>
          <w:b/>
          <w:bCs/>
          <w:sz w:val="32"/>
          <w:szCs w:val="32"/>
        </w:rPr>
        <w:t>执法</w:t>
      </w:r>
      <w:r>
        <w:rPr>
          <w:rFonts w:ascii="??_GB2312" w:hAnsi="宋体" w:eastAsia="Times New Roman"/>
          <w:b/>
          <w:bCs/>
          <w:sz w:val="32"/>
          <w:szCs w:val="32"/>
        </w:rPr>
        <w:t>用车购置及运行费</w:t>
      </w:r>
      <w:r>
        <w:rPr>
          <w:rFonts w:ascii="??_GB2312" w:hAnsi="宋体" w:eastAsia="Times New Roman" w:cs="Courier New"/>
          <w:sz w:val="32"/>
          <w:szCs w:val="32"/>
        </w:rPr>
        <w:t>支出</w:t>
      </w:r>
      <w:r>
        <w:rPr>
          <w:rFonts w:hint="eastAsia" w:ascii="??_GB2312" w:hAnsi="宋体" w:cs="Courier New" w:eastAsiaTheme="minorEastAsia"/>
          <w:sz w:val="32"/>
          <w:szCs w:val="32"/>
        </w:rPr>
        <w:t>0</w:t>
      </w:r>
      <w:r>
        <w:rPr>
          <w:rFonts w:ascii="??_GB2312" w:hAnsi="宋体" w:eastAsia="Times New Roman" w:cs="Courier New"/>
          <w:sz w:val="32"/>
          <w:szCs w:val="32"/>
        </w:rPr>
        <w:t>万元。其中：</w:t>
      </w:r>
    </w:p>
    <w:p>
      <w:pPr>
        <w:kinsoku w:val="0"/>
        <w:overflowPunct w:val="0"/>
        <w:autoSpaceDE w:val="0"/>
        <w:autoSpaceDN w:val="0"/>
        <w:adjustRightInd w:val="0"/>
        <w:snapToGrid w:val="0"/>
        <w:spacing w:line="360" w:lineRule="auto"/>
        <w:ind w:firstLine="643" w:firstLineChars="200"/>
        <w:rPr>
          <w:rFonts w:ascii="??_GB2312" w:hAnsi="宋体" w:eastAsia="Times New Roman" w:cs="Courier New"/>
          <w:sz w:val="32"/>
          <w:szCs w:val="32"/>
        </w:rPr>
      </w:pPr>
      <w:r>
        <w:rPr>
          <w:rFonts w:hint="eastAsia" w:ascii="??_GB2312" w:hAnsi="宋体" w:cs="Courier New" w:eastAsiaTheme="minorEastAsia"/>
          <w:b/>
          <w:bCs/>
          <w:sz w:val="32"/>
          <w:szCs w:val="32"/>
        </w:rPr>
        <w:t>—</w:t>
      </w:r>
      <w:r>
        <w:rPr>
          <w:rFonts w:hint="eastAsia" w:cs="Courier New" w:asciiTheme="minorEastAsia" w:hAnsiTheme="minorEastAsia" w:eastAsiaTheme="minorEastAsia"/>
          <w:b/>
          <w:bCs/>
          <w:sz w:val="32"/>
          <w:szCs w:val="32"/>
        </w:rPr>
        <w:t>—</w:t>
      </w:r>
      <w:r>
        <w:rPr>
          <w:rFonts w:hint="eastAsia" w:cs="Courier New" w:asciiTheme="minorEastAsia" w:hAnsiTheme="minorEastAsia" w:eastAsiaTheme="minorEastAsia"/>
          <w:b/>
          <w:bCs/>
          <w:sz w:val="32"/>
          <w:szCs w:val="32"/>
          <w:lang w:eastAsia="zh-CN"/>
        </w:rPr>
        <w:t>公</w:t>
      </w:r>
      <w:r>
        <w:rPr>
          <w:rFonts w:ascii="??_GB2312" w:hAnsi="宋体" w:eastAsia="Times New Roman" w:cs="Courier New"/>
          <w:b/>
          <w:bCs/>
          <w:sz w:val="32"/>
          <w:szCs w:val="32"/>
        </w:rPr>
        <w:t>车购置</w:t>
      </w:r>
      <w:r>
        <w:rPr>
          <w:rFonts w:ascii="??_GB2312" w:hAnsi="宋体" w:eastAsia="Times New Roman" w:cs="Courier New"/>
          <w:sz w:val="32"/>
          <w:szCs w:val="32"/>
        </w:rPr>
        <w:t>支出为0万元。</w:t>
      </w:r>
    </w:p>
    <w:p>
      <w:pPr>
        <w:kinsoku w:val="0"/>
        <w:overflowPunct w:val="0"/>
        <w:autoSpaceDE w:val="0"/>
        <w:autoSpaceDN w:val="0"/>
        <w:adjustRightInd w:val="0"/>
        <w:snapToGrid w:val="0"/>
        <w:spacing w:line="360" w:lineRule="auto"/>
        <w:ind w:firstLine="643" w:firstLineChars="200"/>
        <w:rPr>
          <w:rFonts w:ascii="??_GB2312" w:hAnsi="宋体" w:cs="Courier New" w:eastAsiaTheme="minorEastAsia"/>
          <w:sz w:val="32"/>
          <w:szCs w:val="32"/>
        </w:rPr>
      </w:pPr>
      <w:r>
        <w:rPr>
          <w:rFonts w:hint="eastAsia" w:ascii="??_GB2312" w:hAnsi="宋体" w:cs="Courier New" w:eastAsiaTheme="minorEastAsia"/>
          <w:b/>
          <w:bCs/>
          <w:sz w:val="32"/>
          <w:szCs w:val="32"/>
        </w:rPr>
        <w:t>—</w:t>
      </w:r>
      <w:r>
        <w:rPr>
          <w:rFonts w:hint="eastAsia" w:cs="Courier New" w:asciiTheme="minorEastAsia" w:hAnsiTheme="minorEastAsia" w:eastAsiaTheme="minorEastAsia"/>
          <w:b/>
          <w:bCs/>
          <w:sz w:val="32"/>
          <w:szCs w:val="32"/>
        </w:rPr>
        <w:t>—</w:t>
      </w:r>
      <w:r>
        <w:rPr>
          <w:rFonts w:hint="eastAsia" w:cs="Courier New" w:asciiTheme="minorEastAsia" w:hAnsiTheme="minorEastAsia" w:eastAsiaTheme="minorEastAsia"/>
          <w:b/>
          <w:bCs/>
          <w:sz w:val="32"/>
          <w:szCs w:val="32"/>
          <w:lang w:eastAsia="zh-CN"/>
        </w:rPr>
        <w:t>公</w:t>
      </w:r>
      <w:r>
        <w:rPr>
          <w:rFonts w:ascii="??_GB2312" w:hAnsi="宋体" w:eastAsia="Times New Roman" w:cs="Courier New"/>
          <w:b/>
          <w:bCs/>
          <w:sz w:val="32"/>
          <w:szCs w:val="32"/>
        </w:rPr>
        <w:t>车运行</w:t>
      </w:r>
      <w:r>
        <w:rPr>
          <w:rFonts w:ascii="??_GB2312" w:hAnsi="宋体" w:eastAsia="Times New Roman" w:cs="Courier New"/>
          <w:sz w:val="32"/>
          <w:szCs w:val="32"/>
        </w:rPr>
        <w:t>支出</w:t>
      </w:r>
      <w:r>
        <w:rPr>
          <w:rFonts w:hint="eastAsia" w:ascii="??_GB2312" w:hAnsi="宋体" w:cs="Courier New" w:eastAsiaTheme="minorEastAsia"/>
          <w:sz w:val="32"/>
          <w:szCs w:val="32"/>
        </w:rPr>
        <w:t>0</w:t>
      </w:r>
      <w:r>
        <w:rPr>
          <w:rFonts w:ascii="??_GB2312" w:hAnsi="宋体" w:eastAsia="Times New Roman" w:cs="Courier New"/>
          <w:sz w:val="32"/>
          <w:szCs w:val="32"/>
        </w:rPr>
        <w:t>万元。</w:t>
      </w:r>
      <w:r>
        <w:rPr>
          <w:rFonts w:hint="eastAsia" w:ascii="??_GB2312" w:hAnsi="宋体" w:cs="Courier New"/>
          <w:sz w:val="32"/>
          <w:szCs w:val="32"/>
        </w:rPr>
        <w:t>现单位没有公务用车.</w:t>
      </w:r>
    </w:p>
    <w:p>
      <w:pPr>
        <w:adjustRightInd w:val="0"/>
        <w:snapToGrid w:val="0"/>
        <w:spacing w:line="360" w:lineRule="auto"/>
        <w:ind w:left="1418"/>
        <w:outlineLvl w:val="1"/>
        <w:rPr>
          <w:rFonts w:ascii="黑体" w:hAnsi="黑体" w:eastAsia="黑体"/>
          <w:sz w:val="32"/>
          <w:szCs w:val="32"/>
        </w:rPr>
      </w:pPr>
      <w:r>
        <w:rPr>
          <w:rFonts w:hint="eastAsia" w:ascii="宋体" w:hAnsi="宋体" w:cs="宋体"/>
          <w:b/>
          <w:bCs/>
          <w:sz w:val="32"/>
          <w:szCs w:val="32"/>
        </w:rPr>
        <w:t>公务接待费</w:t>
      </w:r>
      <w:r>
        <w:rPr>
          <w:rFonts w:hint="eastAsia" w:ascii="宋体" w:hAnsi="宋体" w:cs="宋体"/>
          <w:sz w:val="32"/>
          <w:szCs w:val="32"/>
        </w:rPr>
        <w:t>支出</w:t>
      </w:r>
      <w:r>
        <w:rPr>
          <w:rFonts w:hint="eastAsia" w:ascii="??_GB2312" w:hAnsi="宋体" w:cs="Courier New" w:eastAsiaTheme="minorEastAsia"/>
          <w:sz w:val="32"/>
          <w:szCs w:val="32"/>
        </w:rPr>
        <w:t>1.19</w:t>
      </w:r>
      <w:r>
        <w:rPr>
          <w:rFonts w:hint="eastAsia" w:ascii="宋体" w:hAnsi="宋体" w:cs="宋体"/>
          <w:sz w:val="32"/>
          <w:szCs w:val="32"/>
        </w:rPr>
        <w:t>万元。其中：主要用于</w:t>
      </w:r>
      <w:r>
        <w:rPr>
          <w:rFonts w:hint="eastAsia" w:ascii="??_GB2312" w:hAnsi="宋体" w:cs="Courier New" w:eastAsiaTheme="minorEastAsia"/>
          <w:sz w:val="32"/>
          <w:szCs w:val="32"/>
        </w:rPr>
        <w:t>浉河区委党校</w:t>
      </w:r>
      <w:r>
        <w:rPr>
          <w:rFonts w:hint="eastAsia" w:ascii="宋体" w:hAnsi="宋体" w:cs="宋体"/>
          <w:sz w:val="32"/>
          <w:szCs w:val="32"/>
        </w:rPr>
        <w:t>日常的公务接待。</w:t>
      </w:r>
    </w:p>
    <w:p>
      <w:pPr>
        <w:adjustRightInd w:val="0"/>
        <w:snapToGrid w:val="0"/>
        <w:spacing w:line="360" w:lineRule="auto"/>
        <w:ind w:firstLine="320" w:firstLineChars="100"/>
        <w:outlineLvl w:val="1"/>
        <w:rPr>
          <w:rFonts w:ascii="黑体" w:hAnsi="黑体" w:eastAsia="黑体"/>
          <w:sz w:val="32"/>
          <w:szCs w:val="32"/>
        </w:rPr>
      </w:pPr>
      <w:r>
        <w:rPr>
          <w:rFonts w:hint="eastAsia" w:ascii="黑体" w:hAnsi="黑体" w:eastAsia="黑体"/>
          <w:sz w:val="32"/>
          <w:szCs w:val="32"/>
        </w:rPr>
        <w:t>（八）、政府性基金预算支出情况说明</w:t>
      </w:r>
    </w:p>
    <w:p>
      <w:pPr>
        <w:kinsoku w:val="0"/>
        <w:overflowPunct w:val="0"/>
        <w:autoSpaceDE w:val="0"/>
        <w:autoSpaceDN w:val="0"/>
        <w:adjustRightInd w:val="0"/>
        <w:snapToGrid w:val="0"/>
        <w:spacing w:line="360" w:lineRule="auto"/>
        <w:ind w:left="640"/>
        <w:rPr>
          <w:rFonts w:ascii="??_GB2312" w:hAnsi="宋体" w:cs="Courier New" w:eastAsiaTheme="minorEastAsia"/>
          <w:sz w:val="32"/>
          <w:szCs w:val="32"/>
        </w:rPr>
      </w:pPr>
      <w:r>
        <w:rPr>
          <w:rFonts w:hint="eastAsia" w:ascii="??_GB2312" w:hAnsi="宋体" w:cs="Courier New" w:eastAsiaTheme="minorEastAsia"/>
          <w:sz w:val="32"/>
          <w:szCs w:val="32"/>
        </w:rPr>
        <w:t>党校没有</w:t>
      </w:r>
      <w:r>
        <w:rPr>
          <w:rFonts w:hint="eastAsia" w:ascii="黑体" w:hAnsi="黑体" w:eastAsia="黑体"/>
          <w:sz w:val="32"/>
          <w:szCs w:val="32"/>
        </w:rPr>
        <w:t>政府性基金预算支出情况。</w:t>
      </w:r>
    </w:p>
    <w:p>
      <w:pPr>
        <w:kinsoku w:val="0"/>
        <w:overflowPunct w:val="0"/>
        <w:autoSpaceDE w:val="0"/>
        <w:autoSpaceDN w:val="0"/>
        <w:adjustRightInd w:val="0"/>
        <w:snapToGrid w:val="0"/>
        <w:spacing w:line="360" w:lineRule="auto"/>
        <w:ind w:firstLine="315" w:firstLineChars="98"/>
        <w:rPr>
          <w:rFonts w:ascii="??_GB2312" w:hAnsi="宋体" w:eastAsia="Times New Roman" w:cs="Courier New"/>
          <w:sz w:val="32"/>
          <w:szCs w:val="32"/>
        </w:rPr>
      </w:pPr>
      <w:r>
        <w:rPr>
          <w:rFonts w:hint="eastAsia" w:ascii="??_GB2312" w:hAnsi="宋体" w:eastAsiaTheme="minorEastAsia"/>
          <w:b/>
          <w:bCs/>
          <w:sz w:val="32"/>
          <w:szCs w:val="32"/>
        </w:rPr>
        <w:t>（九）、</w:t>
      </w:r>
      <w:r>
        <w:rPr>
          <w:rFonts w:hint="eastAsia" w:ascii="黑体" w:hAnsi="黑体" w:eastAsia="黑体"/>
          <w:sz w:val="32"/>
          <w:szCs w:val="32"/>
        </w:rPr>
        <w:t>其他重要事项的情况说明</w:t>
      </w:r>
    </w:p>
    <w:p>
      <w:p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bCs/>
          <w:kern w:val="0"/>
          <w:sz w:val="32"/>
          <w:szCs w:val="32"/>
        </w:rPr>
        <w:t>1、机关运行经费支出情况。</w:t>
      </w:r>
    </w:p>
    <w:p>
      <w:pPr>
        <w:kinsoku w:val="0"/>
        <w:overflowPunct w:val="0"/>
        <w:autoSpaceDE w:val="0"/>
        <w:autoSpaceDN w:val="0"/>
        <w:adjustRightInd w:val="0"/>
        <w:snapToGrid w:val="0"/>
        <w:spacing w:line="360" w:lineRule="auto"/>
        <w:ind w:firstLine="960" w:firstLineChars="3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8</w:t>
      </w:r>
      <w:r>
        <w:rPr>
          <w:rFonts w:ascii="??_GB2312" w:hAnsi="宋体" w:eastAsia="Times New Roman" w:cs="Courier New"/>
          <w:sz w:val="32"/>
          <w:szCs w:val="32"/>
        </w:rPr>
        <w:t>年度机关运行经费</w:t>
      </w:r>
      <w:r>
        <w:rPr>
          <w:rFonts w:hint="eastAsia" w:ascii="??_GB2312" w:hAnsi="宋体" w:cs="Courier New"/>
          <w:sz w:val="32"/>
          <w:szCs w:val="32"/>
        </w:rPr>
        <w:t>预算</w:t>
      </w:r>
      <w:r>
        <w:rPr>
          <w:rFonts w:ascii="??_GB2312" w:hAnsi="宋体" w:eastAsia="Times New Roman" w:cs="Courier New"/>
          <w:sz w:val="32"/>
          <w:szCs w:val="32"/>
        </w:rPr>
        <w:t>支出</w:t>
      </w:r>
      <w:r>
        <w:rPr>
          <w:rFonts w:hint="eastAsia" w:cs="Courier New" w:asciiTheme="minorEastAsia" w:hAnsiTheme="minorEastAsia" w:eastAsiaTheme="minorEastAsia"/>
          <w:sz w:val="32"/>
          <w:szCs w:val="32"/>
        </w:rPr>
        <w:t>535.33</w:t>
      </w:r>
      <w:r>
        <w:rPr>
          <w:rFonts w:ascii="??_GB2312" w:hAnsi="宋体" w:eastAsia="Times New Roman" w:cs="Courier New"/>
          <w:sz w:val="32"/>
          <w:szCs w:val="32"/>
        </w:rPr>
        <w:t>万元，比201</w:t>
      </w:r>
      <w:r>
        <w:rPr>
          <w:rFonts w:hint="eastAsia" w:ascii="??_GB2312" w:hAnsi="宋体" w:cs="Courier New"/>
          <w:sz w:val="32"/>
          <w:szCs w:val="32"/>
        </w:rPr>
        <w:t>7</w:t>
      </w:r>
      <w:r>
        <w:rPr>
          <w:rFonts w:ascii="??_GB2312" w:hAnsi="宋体" w:eastAsia="Times New Roman" w:cs="Courier New"/>
          <w:sz w:val="32"/>
          <w:szCs w:val="32"/>
        </w:rPr>
        <w:t>年</w:t>
      </w:r>
      <w:r>
        <w:rPr>
          <w:rFonts w:hint="eastAsia" w:ascii="??_GB2312" w:hAnsi="宋体" w:cs="Courier New"/>
          <w:sz w:val="32"/>
          <w:szCs w:val="32"/>
        </w:rPr>
        <w:t>增加</w:t>
      </w:r>
      <w:r>
        <w:rPr>
          <w:rFonts w:hint="eastAsia" w:ascii="??_GB2312" w:hAnsi="宋体" w:cs="Courier New" w:eastAsiaTheme="minorEastAsia"/>
          <w:sz w:val="32"/>
          <w:szCs w:val="32"/>
        </w:rPr>
        <w:t>25.67</w:t>
      </w:r>
      <w:r>
        <w:rPr>
          <w:rFonts w:ascii="??_GB2312" w:hAnsi="宋体" w:eastAsia="Times New Roman" w:cs="Courier New"/>
          <w:sz w:val="32"/>
          <w:szCs w:val="32"/>
        </w:rPr>
        <w:t>万元，</w:t>
      </w:r>
      <w:r>
        <w:rPr>
          <w:rFonts w:hint="eastAsia" w:ascii="??_GB2312" w:hAnsi="宋体" w:cs="Courier New"/>
          <w:sz w:val="32"/>
          <w:szCs w:val="32"/>
        </w:rPr>
        <w:t>上涨5</w:t>
      </w:r>
      <w:r>
        <w:rPr>
          <w:rFonts w:ascii="??_GB2312" w:hAnsi="宋体" w:eastAsia="Times New Roman" w:cs="Courier New"/>
          <w:sz w:val="32"/>
          <w:szCs w:val="32"/>
        </w:rPr>
        <w:t>%。</w:t>
      </w:r>
    </w:p>
    <w:p>
      <w:pPr>
        <w:pStyle w:val="13"/>
        <w:numPr>
          <w:ilvl w:val="0"/>
          <w:numId w:val="5"/>
        </w:numPr>
        <w:kinsoku w:val="0"/>
        <w:overflowPunct w:val="0"/>
        <w:autoSpaceDE w:val="0"/>
        <w:autoSpaceDN w:val="0"/>
        <w:adjustRightInd w:val="0"/>
        <w:snapToGrid w:val="0"/>
        <w:spacing w:line="360" w:lineRule="auto"/>
        <w:ind w:firstLineChars="0"/>
        <w:rPr>
          <w:rFonts w:ascii="楷体_GB2312" w:hAnsi="Times New Roman" w:eastAsia="楷体_GB2312" w:cs="??_GB2312"/>
          <w:bCs/>
          <w:kern w:val="0"/>
          <w:sz w:val="32"/>
          <w:szCs w:val="32"/>
        </w:rPr>
      </w:pPr>
      <w:r>
        <w:rPr>
          <w:rFonts w:hint="eastAsia" w:ascii="楷体_GB2312" w:hAnsi="Times New Roman" w:eastAsia="楷体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8</w:t>
      </w:r>
      <w:r>
        <w:rPr>
          <w:rFonts w:ascii="??_GB2312" w:hAnsi="宋体" w:eastAsia="Times New Roman" w:cs="Courier New"/>
          <w:sz w:val="32"/>
          <w:szCs w:val="32"/>
        </w:rPr>
        <w:t>年度政府采购支出</w:t>
      </w:r>
      <w:r>
        <w:rPr>
          <w:rFonts w:hint="eastAsia" w:ascii="??_GB2312" w:hAnsi="宋体" w:cs="Courier New"/>
          <w:sz w:val="32"/>
          <w:szCs w:val="32"/>
        </w:rPr>
        <w:t>预算</w:t>
      </w:r>
      <w:r>
        <w:rPr>
          <w:rFonts w:ascii="??_GB2312" w:hAnsi="宋体" w:eastAsia="Times New Roman" w:cs="Courier New"/>
          <w:sz w:val="32"/>
          <w:szCs w:val="32"/>
        </w:rPr>
        <w:t>总额</w:t>
      </w:r>
      <w:r>
        <w:rPr>
          <w:rFonts w:hint="eastAsia" w:ascii="??_GB2312" w:hAnsi="宋体" w:cs="Courier New" w:eastAsiaTheme="minorEastAsia"/>
          <w:sz w:val="32"/>
          <w:szCs w:val="32"/>
        </w:rPr>
        <w:t>2</w:t>
      </w:r>
      <w:r>
        <w:rPr>
          <w:rFonts w:ascii="??_GB2312" w:hAnsi="宋体" w:eastAsia="Times New Roman" w:cs="Courier New"/>
          <w:sz w:val="32"/>
          <w:szCs w:val="32"/>
        </w:rPr>
        <w:t>万元，其中：政府采购货物支出</w:t>
      </w:r>
      <w:r>
        <w:rPr>
          <w:rFonts w:hint="eastAsia" w:ascii="??_GB2312" w:hAnsi="宋体" w:cs="Courier New" w:eastAsiaTheme="minorEastAsia"/>
          <w:sz w:val="32"/>
          <w:szCs w:val="32"/>
        </w:rPr>
        <w:t>2</w:t>
      </w:r>
      <w:r>
        <w:rPr>
          <w:rFonts w:ascii="??_GB2312" w:hAnsi="宋体" w:eastAsia="Times New Roman" w:cs="Courier New"/>
          <w:sz w:val="32"/>
          <w:szCs w:val="32"/>
        </w:rPr>
        <w:t>万元，</w:t>
      </w:r>
      <w:r>
        <w:rPr>
          <w:rFonts w:hint="eastAsia" w:ascii="??_GB2312" w:hAnsi="宋体" w:cs="Courier New"/>
          <w:sz w:val="32"/>
          <w:szCs w:val="32"/>
        </w:rPr>
        <w:t>用于空调柜机2台.电脑.显示器.打印机各一台。</w:t>
      </w:r>
    </w:p>
    <w:p>
      <w:pPr>
        <w:adjustRightInd w:val="0"/>
        <w:snapToGrid w:val="0"/>
        <w:spacing w:line="360" w:lineRule="auto"/>
        <w:ind w:firstLine="640" w:firstLineChars="200"/>
        <w:outlineLvl w:val="1"/>
        <w:rPr>
          <w:rFonts w:hint="eastAsia" w:ascii="黑体" w:hAnsi="黑体" w:eastAsia="黑体"/>
          <w:sz w:val="32"/>
          <w:szCs w:val="32"/>
        </w:rPr>
      </w:pPr>
      <w:r>
        <w:rPr>
          <w:rFonts w:hint="eastAsia" w:ascii="黑体" w:hAnsi="黑体" w:eastAsia="黑体"/>
          <w:sz w:val="32"/>
          <w:szCs w:val="32"/>
        </w:rPr>
        <w:t>3、</w:t>
      </w:r>
      <w:r>
        <w:rPr>
          <w:rFonts w:hint="eastAsia" w:ascii="楷体_GB2312" w:hAnsi="楷体_GB2312" w:eastAsia="楷体_GB2312" w:cs="楷体_GB2312"/>
          <w:sz w:val="32"/>
          <w:szCs w:val="32"/>
        </w:rPr>
        <w:t>关于预算绩效管理工作开展情况说明</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hint="eastAsia" w:ascii="??_GB2312" w:hAnsi="宋体" w:eastAsia="Times New Roman" w:cs="Courier New"/>
          <w:sz w:val="32"/>
          <w:szCs w:val="32"/>
        </w:rPr>
        <w:t>党校2018年没有开展项目预算绩效评价。</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4、</w:t>
      </w:r>
      <w:r>
        <w:rPr>
          <w:rFonts w:hint="eastAsia" w:ascii="楷体_GB2312" w:hAnsi="Times New Roman" w:eastAsia="楷体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8</w:t>
      </w:r>
      <w:r>
        <w:rPr>
          <w:rFonts w:ascii="??_GB2312" w:hAnsi="宋体" w:eastAsia="Times New Roman" w:cs="Courier New"/>
          <w:sz w:val="32"/>
          <w:szCs w:val="32"/>
        </w:rPr>
        <w:t>年，</w:t>
      </w:r>
      <w:r>
        <w:rPr>
          <w:rFonts w:hint="eastAsia" w:ascii="??_GB2312" w:hAnsi="宋体" w:cs="Courier New" w:eastAsiaTheme="minorEastAsia"/>
          <w:sz w:val="32"/>
          <w:szCs w:val="32"/>
        </w:rPr>
        <w:t>浉河区委党校现没有公务用车</w:t>
      </w:r>
      <w:r>
        <w:rPr>
          <w:rFonts w:ascii="??_GB2312" w:hAnsi="宋体" w:eastAsia="Times New Roman" w:cs="Courier New"/>
          <w:sz w:val="32"/>
          <w:szCs w:val="32"/>
        </w:rPr>
        <w:t>。单价50万元以上通用设备0台（套），单位价值100万元以上专用设备0台（套）。</w:t>
      </w:r>
    </w:p>
    <w:p>
      <w:pPr>
        <w:adjustRightInd w:val="0"/>
        <w:snapToGrid w:val="0"/>
        <w:spacing w:line="360" w:lineRule="auto"/>
        <w:ind w:firstLine="640" w:firstLineChars="200"/>
        <w:outlineLvl w:val="1"/>
        <w:rPr>
          <w:rFonts w:ascii="黑体" w:hAnsi="黑体" w:eastAsia="黑体"/>
          <w:sz w:val="32"/>
          <w:szCs w:val="32"/>
        </w:rPr>
      </w:pP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sectPr>
          <w:pgSz w:w="11905" w:h="16840"/>
          <w:pgMar w:top="1580" w:right="1240" w:bottom="1180" w:left="1400" w:header="0" w:footer="982" w:gutter="0"/>
          <w:pgNumType w:fmt="numberInDash"/>
          <w:cols w:space="720" w:num="1"/>
        </w:sect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第四部分　　名词解释</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cs="Courier New"/>
          <w:b/>
          <w:bCs/>
          <w:sz w:val="32"/>
          <w:szCs w:val="32"/>
        </w:rPr>
        <w:t>财政拨款收入：</w:t>
      </w:r>
      <w:r>
        <w:rPr>
          <w:rFonts w:ascii="??_GB2312" w:hAnsi="宋体" w:eastAsia="Times New Roman" w:cs="Courier New"/>
          <w:sz w:val="32"/>
          <w:szCs w:val="32"/>
        </w:rPr>
        <w:t>是指省级财政当年拨付的资金。</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事业收入：</w:t>
      </w:r>
      <w:r>
        <w:rPr>
          <w:rFonts w:ascii="??_GB2312" w:hAnsi="宋体" w:eastAsia="Times New Roman" w:cs="Courier New"/>
          <w:sz w:val="32"/>
          <w:szCs w:val="32"/>
        </w:rPr>
        <w:t>是指事业单位开展专业业务活动及辅助活动所取得的收入。如：ＸＸ刊物发行收入，ＸＸ协会收取的会费收入等。</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经营收入：</w:t>
      </w:r>
      <w:r>
        <w:rPr>
          <w:rFonts w:ascii="??_GB2312" w:hAnsi="宋体" w:eastAsia="Times New Roman" w:cs="Courier New"/>
          <w:sz w:val="32"/>
          <w:szCs w:val="32"/>
        </w:rPr>
        <w:t>指事业单位在专业业务活动及其辅助活动之外开展非独立核算经营活动取得的收入。如：ＸＸ杂志社广告收入等。</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其他收入：</w:t>
      </w:r>
      <w:r>
        <w:rPr>
          <w:rFonts w:ascii="??_GB2312" w:hAnsi="宋体" w:eastAsia="Times New Roman" w:cs="Courier New"/>
          <w:sz w:val="32"/>
          <w:szCs w:val="32"/>
        </w:rPr>
        <w:t>指除上述“财政拨款收入”、“事业收入”、“事业单位经营收入”、“经营收入”等以外的收入。主要是按规定动用的售房收入、存款利息收入等。</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用事业基金弥补收支差额：</w:t>
      </w:r>
      <w:r>
        <w:rPr>
          <w:rFonts w:ascii="??_GB2312" w:hAnsi="宋体" w:eastAsia="Times New Roman"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_GB2312" w:hAnsi="宋体" w:eastAsia="Times New Roman" w:cs="Courier New"/>
          <w:b/>
          <w:bCs/>
          <w:sz w:val="32"/>
          <w:szCs w:val="32"/>
        </w:rPr>
        <w:t>。</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年初结转和结余：</w:t>
      </w:r>
      <w:r>
        <w:rPr>
          <w:rFonts w:ascii="??_GB2312" w:hAnsi="宋体" w:eastAsia="Times New Roman" w:cs="Courier New"/>
          <w:sz w:val="32"/>
          <w:szCs w:val="32"/>
        </w:rPr>
        <w:t>指以前年度尚未完成、结转到本年按有关规定继续使用的资金。</w:t>
      </w:r>
    </w:p>
    <w:p>
      <w:pPr>
        <w:numPr>
          <w:ilvl w:val="0"/>
          <w:numId w:val="6"/>
        </w:numPr>
        <w:kinsoku w:val="0"/>
        <w:overflowPunct w:val="0"/>
        <w:autoSpaceDE w:val="0"/>
        <w:autoSpaceDN w:val="0"/>
        <w:adjustRightInd w:val="0"/>
        <w:snapToGrid w:val="0"/>
        <w:spacing w:line="360" w:lineRule="auto"/>
        <w:ind w:firstLine="643" w:firstLineChars="200"/>
        <w:rPr>
          <w:rFonts w:ascii="??_GB2312" w:hAnsi="宋体" w:eastAsia="Times New Roman" w:cs="Courier New"/>
          <w:b/>
          <w:bCs/>
          <w:sz w:val="32"/>
          <w:szCs w:val="32"/>
        </w:rPr>
      </w:pPr>
      <w:r>
        <w:rPr>
          <w:rFonts w:hint="eastAsia" w:ascii="宋体" w:hAnsi="宋体" w:cs="宋体"/>
          <w:b/>
          <w:color w:val="000000"/>
          <w:kern w:val="0"/>
          <w:sz w:val="32"/>
          <w:szCs w:val="32"/>
        </w:rPr>
        <w:t>资源勘探信息等支出</w:t>
      </w:r>
      <w:r>
        <w:rPr>
          <w:rFonts w:ascii="??_GB2312" w:hAnsi="宋体" w:eastAsia="Times New Roman"/>
          <w:b/>
          <w:bCs/>
          <w:sz w:val="32"/>
          <w:szCs w:val="32"/>
        </w:rPr>
        <w:t>（类）</w:t>
      </w:r>
      <w:r>
        <w:rPr>
          <w:rFonts w:hint="eastAsia" w:ascii="宋体" w:hAnsi="宋体" w:cs="宋体"/>
          <w:b/>
          <w:color w:val="000000"/>
          <w:sz w:val="32"/>
          <w:szCs w:val="32"/>
        </w:rPr>
        <w:t>安全生产监管</w:t>
      </w:r>
      <w:r>
        <w:rPr>
          <w:rFonts w:ascii="??_GB2312" w:hAnsi="宋体" w:eastAsia="Times New Roman"/>
          <w:b/>
          <w:bCs/>
          <w:sz w:val="32"/>
          <w:szCs w:val="32"/>
        </w:rPr>
        <w:t>（款）行政运行（项）</w:t>
      </w:r>
      <w:r>
        <w:rPr>
          <w:rFonts w:ascii="??_GB2312" w:hAnsi="宋体" w:eastAsia="Times New Roman" w:cs="Courier New"/>
          <w:b/>
          <w:bCs/>
          <w:color w:val="FF0000"/>
          <w:sz w:val="32"/>
          <w:szCs w:val="32"/>
        </w:rPr>
        <w:t>（请根据单位实际情况，参照《201</w:t>
      </w:r>
      <w:r>
        <w:rPr>
          <w:rFonts w:hint="eastAsia" w:ascii="??_GB2312" w:hAnsi="宋体" w:cs="Courier New"/>
          <w:b/>
          <w:bCs/>
          <w:color w:val="FF0000"/>
          <w:sz w:val="32"/>
          <w:szCs w:val="32"/>
        </w:rPr>
        <w:t>7</w:t>
      </w:r>
      <w:r>
        <w:rPr>
          <w:rFonts w:ascii="??_GB2312" w:hAnsi="宋体" w:eastAsia="Times New Roman" w:cs="Courier New"/>
          <w:b/>
          <w:bCs/>
          <w:color w:val="FF0000"/>
          <w:sz w:val="32"/>
          <w:szCs w:val="32"/>
        </w:rPr>
        <w:t>年政府收支分类科目》和对口中央部门</w:t>
      </w:r>
      <w:r>
        <w:rPr>
          <w:rFonts w:hint="eastAsia" w:ascii="??_GB2312" w:hAnsi="宋体" w:cs="Courier New"/>
          <w:b/>
          <w:bCs/>
          <w:color w:val="FF0000"/>
          <w:sz w:val="32"/>
          <w:szCs w:val="32"/>
        </w:rPr>
        <w:t>预</w:t>
      </w:r>
      <w:r>
        <w:rPr>
          <w:rFonts w:ascii="??_GB2312" w:hAnsi="宋体" w:eastAsia="Times New Roman" w:cs="Courier New"/>
          <w:b/>
          <w:bCs/>
          <w:color w:val="FF0000"/>
          <w:sz w:val="32"/>
          <w:szCs w:val="32"/>
        </w:rPr>
        <w:t>算公开信息填写）</w:t>
      </w:r>
      <w:r>
        <w:rPr>
          <w:rFonts w:ascii="??_GB2312" w:hAnsi="宋体" w:eastAsia="Times New Roman" w:cs="Courier New"/>
          <w:b/>
          <w:bCs/>
          <w:sz w:val="32"/>
          <w:szCs w:val="32"/>
        </w:rPr>
        <w:t>：</w:t>
      </w:r>
      <w:r>
        <w:rPr>
          <w:rFonts w:ascii="??_GB2312" w:hAnsi="宋体" w:eastAsia="Times New Roman" w:cs="Courier New"/>
          <w:sz w:val="32"/>
          <w:szCs w:val="32"/>
        </w:rPr>
        <w:t>是指</w:t>
      </w:r>
      <w:r>
        <w:rPr>
          <w:rFonts w:hint="eastAsia" w:ascii="??_GB2312" w:hAnsi="宋体" w:cs="Courier New" w:eastAsiaTheme="minorEastAsia"/>
          <w:sz w:val="32"/>
          <w:szCs w:val="32"/>
        </w:rPr>
        <w:t>反应行政单位（包括实行公务员管理的事业单位）的基本支出。</w:t>
      </w:r>
    </w:p>
    <w:p>
      <w:pPr>
        <w:numPr>
          <w:ilvl w:val="0"/>
          <w:numId w:val="6"/>
        </w:numPr>
        <w:kinsoku w:val="0"/>
        <w:overflowPunct w:val="0"/>
        <w:autoSpaceDE w:val="0"/>
        <w:autoSpaceDN w:val="0"/>
        <w:adjustRightInd w:val="0"/>
        <w:snapToGrid w:val="0"/>
        <w:spacing w:line="360" w:lineRule="auto"/>
        <w:ind w:firstLine="643" w:firstLineChars="200"/>
        <w:rPr>
          <w:rFonts w:ascii="??_GB2312" w:hAnsi="宋体" w:eastAsia="Times New Roman" w:cs="Courier New"/>
          <w:b/>
          <w:bCs/>
          <w:sz w:val="32"/>
          <w:szCs w:val="32"/>
        </w:rPr>
      </w:pPr>
      <w:r>
        <w:rPr>
          <w:rFonts w:hint="eastAsia" w:ascii="宋体" w:hAnsi="宋体" w:cs="宋体"/>
          <w:b/>
          <w:color w:val="000000"/>
          <w:kern w:val="0"/>
          <w:sz w:val="32"/>
          <w:szCs w:val="32"/>
        </w:rPr>
        <w:t>资源勘探信息等支出</w:t>
      </w:r>
      <w:r>
        <w:rPr>
          <w:rFonts w:ascii="??_GB2312" w:hAnsi="宋体" w:eastAsia="Times New Roman"/>
          <w:b/>
          <w:bCs/>
          <w:sz w:val="32"/>
          <w:szCs w:val="32"/>
        </w:rPr>
        <w:t>（类）</w:t>
      </w:r>
      <w:r>
        <w:rPr>
          <w:rFonts w:hint="eastAsia" w:ascii="宋体" w:hAnsi="宋体" w:cs="宋体"/>
          <w:b/>
          <w:color w:val="000000"/>
          <w:sz w:val="32"/>
          <w:szCs w:val="32"/>
        </w:rPr>
        <w:t>安全生产监管</w:t>
      </w:r>
      <w:r>
        <w:rPr>
          <w:rFonts w:ascii="??_GB2312" w:hAnsi="宋体" w:eastAsia="Times New Roman"/>
          <w:b/>
          <w:bCs/>
          <w:sz w:val="32"/>
          <w:szCs w:val="32"/>
        </w:rPr>
        <w:t>（款）行政运行（项）：</w:t>
      </w:r>
      <w:r>
        <w:rPr>
          <w:rFonts w:hint="eastAsia" w:ascii="??_GB2312" w:hAnsi="宋体" w:cs="Courier New" w:eastAsiaTheme="minorEastAsia"/>
          <w:sz w:val="32"/>
          <w:szCs w:val="32"/>
        </w:rPr>
        <w:t>反应国家安全生产监督管理部门、煤矿安全监察部门的支出。</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结余分配：</w:t>
      </w:r>
      <w:r>
        <w:rPr>
          <w:rFonts w:ascii="??_GB2312" w:hAnsi="宋体" w:eastAsia="Times New Roman" w:cs="Courier New"/>
          <w:sz w:val="32"/>
          <w:szCs w:val="32"/>
        </w:rPr>
        <w:t>指事业单位按规定提取的职工福利基金、事业基金和缴纳的所得税，以及建设单位按规定应交回的基本建设竣工项目结余资金。</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年末结转和结余：</w:t>
      </w:r>
      <w:r>
        <w:rPr>
          <w:rFonts w:ascii="??_GB2312" w:hAnsi="宋体" w:eastAsia="Times New Roman" w:cs="Courier New"/>
          <w:sz w:val="32"/>
          <w:szCs w:val="32"/>
        </w:rPr>
        <w:t>指本年度或以前年度预算安排、因客观条件发生变化无法按原计划实施，需延迟到以后年度按有关规定继续使用的资金。</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基本支出：</w:t>
      </w:r>
      <w:r>
        <w:rPr>
          <w:rFonts w:ascii="??_GB2312" w:hAnsi="宋体" w:eastAsia="Times New Roman" w:cs="Courier New"/>
          <w:sz w:val="32"/>
          <w:szCs w:val="32"/>
        </w:rPr>
        <w:t>指为保障机构正常运转、完成日常工作任务而发生的人员支出和公用支出。</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项目支出：</w:t>
      </w:r>
      <w:r>
        <w:rPr>
          <w:rFonts w:ascii="??_GB2312" w:hAnsi="宋体" w:eastAsia="Times New Roman" w:cs="Courier New"/>
          <w:sz w:val="32"/>
          <w:szCs w:val="32"/>
        </w:rPr>
        <w:t>指在基本支出之外为完成特定行政任务和事业发展目标所发生的支出。</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经营支出：</w:t>
      </w:r>
      <w:r>
        <w:rPr>
          <w:rFonts w:ascii="??_GB2312" w:hAnsi="宋体" w:eastAsia="Times New Roman" w:cs="Courier New"/>
          <w:sz w:val="32"/>
          <w:szCs w:val="32"/>
        </w:rPr>
        <w:t>指事业单位在专业业务活动及其辅助活动之外开展非独立核算经营活动发生的支出。</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“三公”经费：</w:t>
      </w:r>
      <w:r>
        <w:rPr>
          <w:rFonts w:ascii="??_GB2312" w:hAnsi="宋体" w:eastAsia="Times New Roman"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机关运行经费：</w:t>
      </w:r>
      <w:r>
        <w:rPr>
          <w:rFonts w:ascii="??_GB2312" w:hAnsi="宋体" w:eastAsia="Times New Roman"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_GB2312" w:hAnsi="Times New Roman" w:eastAsia="Times New Roman"/>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altName w:val="宋体"/>
    <w:panose1 w:val="0201050906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6" o:spid="_x0000_s1026" o:spt="202" type="#_x0000_t202" style="position:absolute;left:0pt;margin-top:0pt;height:11pt;width:18.7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- 2 -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77E83"/>
    <w:multiLevelType w:val="multilevel"/>
    <w:tmpl w:val="1FA77E83"/>
    <w:lvl w:ilvl="0" w:tentative="0">
      <w:start w:val="2"/>
      <w:numFmt w:val="decimal"/>
      <w:lvlText w:val="%1、"/>
      <w:lvlJc w:val="left"/>
      <w:pPr>
        <w:ind w:left="720" w:hanging="72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F667D4B"/>
    <w:multiLevelType w:val="multilevel"/>
    <w:tmpl w:val="3F667D4B"/>
    <w:lvl w:ilvl="0" w:tentative="0">
      <w:start w:val="1"/>
      <w:numFmt w:val="japaneseCounting"/>
      <w:lvlText w:val="%1、"/>
      <w:lvlJc w:val="left"/>
      <w:pPr>
        <w:ind w:left="2421"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5971BE17"/>
    <w:multiLevelType w:val="singleLevel"/>
    <w:tmpl w:val="5971BE17"/>
    <w:lvl w:ilvl="0" w:tentative="0">
      <w:start w:val="1"/>
      <w:numFmt w:val="chineseCounting"/>
      <w:suff w:val="nothing"/>
      <w:lvlText w:val="%1、"/>
      <w:lvlJc w:val="left"/>
      <w:rPr>
        <w:rFonts w:cs="Times New Roman"/>
      </w:rPr>
    </w:lvl>
  </w:abstractNum>
  <w:abstractNum w:abstractNumId="3">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4">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abstractNum w:abstractNumId="5">
    <w:nsid w:val="672717C3"/>
    <w:multiLevelType w:val="multilevel"/>
    <w:tmpl w:val="672717C3"/>
    <w:lvl w:ilvl="0" w:tentative="0">
      <w:start w:val="1"/>
      <w:numFmt w:val="japaneseCounting"/>
      <w:lvlText w:val="（%1）"/>
      <w:lvlJc w:val="left"/>
      <w:pPr>
        <w:ind w:left="2356"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172A27"/>
    <w:rsid w:val="000522FD"/>
    <w:rsid w:val="00092801"/>
    <w:rsid w:val="000A721E"/>
    <w:rsid w:val="000B1B9B"/>
    <w:rsid w:val="000B5568"/>
    <w:rsid w:val="000E2CB5"/>
    <w:rsid w:val="00132E43"/>
    <w:rsid w:val="00157BF5"/>
    <w:rsid w:val="0017112E"/>
    <w:rsid w:val="00172A27"/>
    <w:rsid w:val="001B5463"/>
    <w:rsid w:val="001C0107"/>
    <w:rsid w:val="001D2164"/>
    <w:rsid w:val="001F673F"/>
    <w:rsid w:val="00225B72"/>
    <w:rsid w:val="00265F76"/>
    <w:rsid w:val="002A721A"/>
    <w:rsid w:val="002E19CC"/>
    <w:rsid w:val="002F6FCE"/>
    <w:rsid w:val="00351B45"/>
    <w:rsid w:val="00376170"/>
    <w:rsid w:val="003C07F8"/>
    <w:rsid w:val="00402C74"/>
    <w:rsid w:val="0048066C"/>
    <w:rsid w:val="00486554"/>
    <w:rsid w:val="00497219"/>
    <w:rsid w:val="004C11C3"/>
    <w:rsid w:val="004D36BB"/>
    <w:rsid w:val="004F3C7C"/>
    <w:rsid w:val="005002F7"/>
    <w:rsid w:val="0050293C"/>
    <w:rsid w:val="00503F16"/>
    <w:rsid w:val="0050605C"/>
    <w:rsid w:val="0055143E"/>
    <w:rsid w:val="0055771C"/>
    <w:rsid w:val="005E0A10"/>
    <w:rsid w:val="00630D31"/>
    <w:rsid w:val="00631863"/>
    <w:rsid w:val="006B040E"/>
    <w:rsid w:val="006E2695"/>
    <w:rsid w:val="006F22F7"/>
    <w:rsid w:val="007115FD"/>
    <w:rsid w:val="007429A3"/>
    <w:rsid w:val="00787823"/>
    <w:rsid w:val="007956F5"/>
    <w:rsid w:val="007B52CD"/>
    <w:rsid w:val="007F16C0"/>
    <w:rsid w:val="007F47BF"/>
    <w:rsid w:val="007F7F87"/>
    <w:rsid w:val="0088425C"/>
    <w:rsid w:val="00893D70"/>
    <w:rsid w:val="0097037A"/>
    <w:rsid w:val="009929D5"/>
    <w:rsid w:val="009E7231"/>
    <w:rsid w:val="00A76877"/>
    <w:rsid w:val="00A77C36"/>
    <w:rsid w:val="00AB7377"/>
    <w:rsid w:val="00AF7B15"/>
    <w:rsid w:val="00B16BDC"/>
    <w:rsid w:val="00B54309"/>
    <w:rsid w:val="00B84FB0"/>
    <w:rsid w:val="00BA37FF"/>
    <w:rsid w:val="00BB0532"/>
    <w:rsid w:val="00BB402A"/>
    <w:rsid w:val="00BC30E8"/>
    <w:rsid w:val="00BD2220"/>
    <w:rsid w:val="00BE4CA5"/>
    <w:rsid w:val="00BF3D6F"/>
    <w:rsid w:val="00BF74B7"/>
    <w:rsid w:val="00C57D7B"/>
    <w:rsid w:val="00C6444A"/>
    <w:rsid w:val="00C7798B"/>
    <w:rsid w:val="00CB738E"/>
    <w:rsid w:val="00CC4F8E"/>
    <w:rsid w:val="00CD2AD7"/>
    <w:rsid w:val="00CD4933"/>
    <w:rsid w:val="00D37CEE"/>
    <w:rsid w:val="00D40D3B"/>
    <w:rsid w:val="00D75DE5"/>
    <w:rsid w:val="00D9092F"/>
    <w:rsid w:val="00DB1C77"/>
    <w:rsid w:val="00DD5457"/>
    <w:rsid w:val="00E21B07"/>
    <w:rsid w:val="00E32E02"/>
    <w:rsid w:val="00E415AC"/>
    <w:rsid w:val="00E561A6"/>
    <w:rsid w:val="00E74BED"/>
    <w:rsid w:val="00E92067"/>
    <w:rsid w:val="00EC1562"/>
    <w:rsid w:val="00ED38A5"/>
    <w:rsid w:val="00ED44BB"/>
    <w:rsid w:val="00F31199"/>
    <w:rsid w:val="00F50DF4"/>
    <w:rsid w:val="00F678A2"/>
    <w:rsid w:val="00F76675"/>
    <w:rsid w:val="00F92F65"/>
    <w:rsid w:val="00F95779"/>
    <w:rsid w:val="01F21A60"/>
    <w:rsid w:val="026651AD"/>
    <w:rsid w:val="027033B1"/>
    <w:rsid w:val="03240ECA"/>
    <w:rsid w:val="04453648"/>
    <w:rsid w:val="04634D02"/>
    <w:rsid w:val="07F31BEE"/>
    <w:rsid w:val="084D7413"/>
    <w:rsid w:val="08A93228"/>
    <w:rsid w:val="08FB3159"/>
    <w:rsid w:val="09BB2134"/>
    <w:rsid w:val="0B535BF5"/>
    <w:rsid w:val="0C366EEC"/>
    <w:rsid w:val="0FAB2FE6"/>
    <w:rsid w:val="0FEF0DE6"/>
    <w:rsid w:val="113E646F"/>
    <w:rsid w:val="117A0571"/>
    <w:rsid w:val="147E551D"/>
    <w:rsid w:val="14D2458E"/>
    <w:rsid w:val="150B6848"/>
    <w:rsid w:val="15492582"/>
    <w:rsid w:val="17965762"/>
    <w:rsid w:val="17BE6092"/>
    <w:rsid w:val="17F73D7A"/>
    <w:rsid w:val="1A624019"/>
    <w:rsid w:val="1C1F61CB"/>
    <w:rsid w:val="1C3B117F"/>
    <w:rsid w:val="1C970E94"/>
    <w:rsid w:val="1E2566FD"/>
    <w:rsid w:val="1E7D3B34"/>
    <w:rsid w:val="20F5460F"/>
    <w:rsid w:val="212E5315"/>
    <w:rsid w:val="254B33D1"/>
    <w:rsid w:val="256D2254"/>
    <w:rsid w:val="27507D70"/>
    <w:rsid w:val="29621C7E"/>
    <w:rsid w:val="2983760E"/>
    <w:rsid w:val="29B13F52"/>
    <w:rsid w:val="29ED2241"/>
    <w:rsid w:val="2ACE51FA"/>
    <w:rsid w:val="2BA4769A"/>
    <w:rsid w:val="2C654BE7"/>
    <w:rsid w:val="2C8F6BCF"/>
    <w:rsid w:val="2CC075DB"/>
    <w:rsid w:val="2CD06EF4"/>
    <w:rsid w:val="2D9D4DA5"/>
    <w:rsid w:val="2DBF18D1"/>
    <w:rsid w:val="2F47056C"/>
    <w:rsid w:val="307652F7"/>
    <w:rsid w:val="325F6EF2"/>
    <w:rsid w:val="32EF005E"/>
    <w:rsid w:val="32EF40CE"/>
    <w:rsid w:val="33A76F4E"/>
    <w:rsid w:val="34416F30"/>
    <w:rsid w:val="364D690A"/>
    <w:rsid w:val="36FA2471"/>
    <w:rsid w:val="372974AC"/>
    <w:rsid w:val="38262F47"/>
    <w:rsid w:val="39637962"/>
    <w:rsid w:val="39765334"/>
    <w:rsid w:val="39967F15"/>
    <w:rsid w:val="39C26E8E"/>
    <w:rsid w:val="3AC84EB1"/>
    <w:rsid w:val="3AE7177F"/>
    <w:rsid w:val="3C5769C0"/>
    <w:rsid w:val="3EA437AD"/>
    <w:rsid w:val="3EEE22CD"/>
    <w:rsid w:val="3F081D17"/>
    <w:rsid w:val="3FCD07F4"/>
    <w:rsid w:val="41CF71DE"/>
    <w:rsid w:val="42271DDB"/>
    <w:rsid w:val="42563EC6"/>
    <w:rsid w:val="43E82B9D"/>
    <w:rsid w:val="457B1C96"/>
    <w:rsid w:val="468900BD"/>
    <w:rsid w:val="46F559ED"/>
    <w:rsid w:val="477D716C"/>
    <w:rsid w:val="48B52937"/>
    <w:rsid w:val="48C00F7D"/>
    <w:rsid w:val="48EE3EF3"/>
    <w:rsid w:val="4B2D55EB"/>
    <w:rsid w:val="4C1E2F28"/>
    <w:rsid w:val="4DE20C7C"/>
    <w:rsid w:val="50C2787A"/>
    <w:rsid w:val="5115239B"/>
    <w:rsid w:val="541D6A82"/>
    <w:rsid w:val="544677EE"/>
    <w:rsid w:val="55EA1009"/>
    <w:rsid w:val="55EB1211"/>
    <w:rsid w:val="5651051D"/>
    <w:rsid w:val="57E961A8"/>
    <w:rsid w:val="581E77CF"/>
    <w:rsid w:val="58B06254"/>
    <w:rsid w:val="5AF25131"/>
    <w:rsid w:val="5BCA31AA"/>
    <w:rsid w:val="5C0F3375"/>
    <w:rsid w:val="5DD56AC2"/>
    <w:rsid w:val="5E886EBD"/>
    <w:rsid w:val="5EB57926"/>
    <w:rsid w:val="5ECF3FA4"/>
    <w:rsid w:val="5F130DE5"/>
    <w:rsid w:val="5F964892"/>
    <w:rsid w:val="5FB578F9"/>
    <w:rsid w:val="600176AC"/>
    <w:rsid w:val="60B8378D"/>
    <w:rsid w:val="60F22670"/>
    <w:rsid w:val="617A16DC"/>
    <w:rsid w:val="627A693C"/>
    <w:rsid w:val="62D27395"/>
    <w:rsid w:val="63FC5C35"/>
    <w:rsid w:val="664A46E0"/>
    <w:rsid w:val="6796775E"/>
    <w:rsid w:val="67D84ED8"/>
    <w:rsid w:val="68500770"/>
    <w:rsid w:val="686B0051"/>
    <w:rsid w:val="687C156E"/>
    <w:rsid w:val="68E95CA0"/>
    <w:rsid w:val="68F315DE"/>
    <w:rsid w:val="69F84494"/>
    <w:rsid w:val="6ABB6698"/>
    <w:rsid w:val="6AC30185"/>
    <w:rsid w:val="6DC12C15"/>
    <w:rsid w:val="6F2D14A1"/>
    <w:rsid w:val="6FDF24CC"/>
    <w:rsid w:val="705F045F"/>
    <w:rsid w:val="71490407"/>
    <w:rsid w:val="7156288B"/>
    <w:rsid w:val="72B61072"/>
    <w:rsid w:val="73F12465"/>
    <w:rsid w:val="75531EF6"/>
    <w:rsid w:val="755A7A11"/>
    <w:rsid w:val="75D0003D"/>
    <w:rsid w:val="783E1213"/>
    <w:rsid w:val="79060C93"/>
    <w:rsid w:val="7A070B19"/>
    <w:rsid w:val="7C2C436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iPriority="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Char"/>
    <w:basedOn w:val="5"/>
    <w:link w:val="2"/>
    <w:semiHidden/>
    <w:qFormat/>
    <w:locked/>
    <w:uiPriority w:val="99"/>
    <w:rPr>
      <w:rFonts w:ascii="Calibri" w:hAnsi="Calibri" w:cs="Times New Roman"/>
      <w:sz w:val="24"/>
      <w:szCs w:val="24"/>
    </w:rPr>
  </w:style>
  <w:style w:type="character" w:customStyle="1" w:styleId="8">
    <w:name w:val="页脚 Char"/>
    <w:basedOn w:val="5"/>
    <w:link w:val="3"/>
    <w:semiHidden/>
    <w:qFormat/>
    <w:locked/>
    <w:uiPriority w:val="99"/>
    <w:rPr>
      <w:rFonts w:ascii="Calibri" w:hAnsi="Calibri" w:cs="Times New Roman"/>
      <w:sz w:val="18"/>
      <w:szCs w:val="18"/>
    </w:rPr>
  </w:style>
  <w:style w:type="character" w:customStyle="1" w:styleId="9">
    <w:name w:val="页眉 Char"/>
    <w:basedOn w:val="5"/>
    <w:link w:val="4"/>
    <w:semiHidden/>
    <w:qFormat/>
    <w:locked/>
    <w:uiPriority w:val="99"/>
    <w:rPr>
      <w:rFonts w:ascii="Calibri" w:hAnsi="Calibri" w:cs="Times New Roman"/>
      <w:sz w:val="18"/>
      <w:szCs w:val="18"/>
    </w:rPr>
  </w:style>
  <w:style w:type="character" w:customStyle="1" w:styleId="10">
    <w:name w:val="font31"/>
    <w:basedOn w:val="5"/>
    <w:qFormat/>
    <w:uiPriority w:val="99"/>
    <w:rPr>
      <w:rFonts w:ascii="Arial" w:hAnsi="Arial" w:cs="Arial"/>
      <w:color w:val="000000"/>
      <w:sz w:val="16"/>
      <w:szCs w:val="16"/>
      <w:u w:val="none"/>
    </w:rPr>
  </w:style>
  <w:style w:type="character" w:customStyle="1" w:styleId="11">
    <w:name w:val="font01"/>
    <w:basedOn w:val="5"/>
    <w:qFormat/>
    <w:uiPriority w:val="99"/>
    <w:rPr>
      <w:rFonts w:ascii="Arial" w:hAnsi="Arial" w:cs="Arial"/>
      <w:color w:val="000000"/>
      <w:sz w:val="16"/>
      <w:szCs w:val="16"/>
      <w:u w:val="none"/>
    </w:rPr>
  </w:style>
  <w:style w:type="character" w:customStyle="1" w:styleId="12">
    <w:name w:val="font41"/>
    <w:basedOn w:val="5"/>
    <w:qFormat/>
    <w:uiPriority w:val="99"/>
    <w:rPr>
      <w:rFonts w:ascii="宋体" w:hAnsi="宋体" w:eastAsia="宋体" w:cs="宋体"/>
      <w:color w:val="000000"/>
      <w:sz w:val="16"/>
      <w:szCs w:val="16"/>
      <w:u w:val="none"/>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1E2E19-D018-412B-93D6-685266204C6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1258</Words>
  <Characters>7177</Characters>
  <Lines>59</Lines>
  <Paragraphs>16</Paragraphs>
  <TotalTime>0</TotalTime>
  <ScaleCrop>false</ScaleCrop>
  <LinksUpToDate>false</LinksUpToDate>
  <CharactersWithSpaces>8419</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2018-01-27T06:34:00Z</dcterms:created>
  <dc:creator>wsj</dc:creator>
  <cp:lastModifiedBy>Administrator</cp:lastModifiedBy>
  <cp:lastPrinted>2017-07-25T02:47:00Z</cp:lastPrinted>
  <dcterms:modified xsi:type="dcterms:W3CDTF">2019-02-13T09:01:39Z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