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spacing w:line="240" w:lineRule="auto"/>
        <w:textAlignment w:val="auto"/>
        <w:rPr>
          <w:rFonts w:hint="eastAsia" w:eastAsia="仿宋"/>
          <w:spacing w:val="0"/>
          <w:sz w:val="48"/>
          <w:szCs w:val="48"/>
          <w:lang w:val="en-US" w:eastAsia="zh-CN"/>
        </w:rPr>
      </w:pPr>
    </w:p>
    <w:p>
      <w:pPr>
        <w:keepNext w:val="0"/>
        <w:keepLines w:val="0"/>
        <w:pageBreakBefore w:val="0"/>
        <w:wordWrap/>
        <w:topLinePunct w:val="0"/>
        <w:bidi w:val="0"/>
        <w:spacing w:line="360" w:lineRule="auto"/>
        <w:jc w:val="center"/>
        <w:textAlignment w:val="auto"/>
        <w:rPr>
          <w:rFonts w:hint="eastAsia" w:ascii="黑体" w:hAnsi="黑体" w:eastAsia="黑体" w:cs="黑体"/>
          <w:b/>
          <w:bCs/>
          <w:spacing w:val="0"/>
          <w:sz w:val="48"/>
          <w:szCs w:val="48"/>
          <w:lang w:val="en-US" w:eastAsia="zh-CN"/>
        </w:rPr>
      </w:pPr>
      <w:r>
        <w:rPr>
          <w:rFonts w:hint="eastAsia" w:ascii="黑体" w:hAnsi="黑体" w:eastAsia="黑体" w:cs="黑体"/>
          <w:b/>
          <w:bCs/>
          <w:spacing w:val="0"/>
          <w:sz w:val="48"/>
          <w:szCs w:val="48"/>
          <w:lang w:val="en-US" w:eastAsia="zh-CN"/>
        </w:rPr>
        <w:t>2018年浉河区粮食局部门预算</w:t>
      </w:r>
    </w:p>
    <w:p>
      <w:pPr>
        <w:keepNext w:val="0"/>
        <w:keepLines w:val="0"/>
        <w:pageBreakBefore w:val="0"/>
        <w:wordWrap/>
        <w:topLinePunct w:val="0"/>
        <w:bidi w:val="0"/>
        <w:spacing w:line="360" w:lineRule="auto"/>
        <w:jc w:val="center"/>
        <w:textAlignment w:val="auto"/>
        <w:rPr>
          <w:rFonts w:hint="eastAsia" w:ascii="黑体" w:hAnsi="黑体" w:eastAsia="黑体" w:cs="黑体"/>
          <w:b/>
          <w:bCs/>
          <w:spacing w:val="0"/>
          <w:sz w:val="48"/>
          <w:szCs w:val="48"/>
          <w:lang w:val="en-US" w:eastAsia="zh-CN"/>
        </w:rPr>
      </w:pPr>
      <w:r>
        <w:rPr>
          <w:rFonts w:hint="eastAsia" w:ascii="黑体" w:hAnsi="黑体" w:eastAsia="黑体" w:cs="黑体"/>
          <w:b/>
          <w:bCs/>
          <w:spacing w:val="0"/>
          <w:sz w:val="48"/>
          <w:szCs w:val="48"/>
          <w:lang w:val="en-US" w:eastAsia="zh-CN"/>
        </w:rPr>
        <w:t>公开说明</w:t>
      </w:r>
    </w:p>
    <w:p>
      <w:pPr>
        <w:keepNext w:val="0"/>
        <w:keepLines w:val="0"/>
        <w:pageBreakBefore w:val="0"/>
        <w:wordWrap/>
        <w:topLinePunct w:val="0"/>
        <w:bidi w:val="0"/>
        <w:spacing w:line="360" w:lineRule="auto"/>
        <w:textAlignment w:val="auto"/>
        <w:rPr>
          <w:rFonts w:hint="eastAsia" w:eastAsia="仿宋"/>
          <w:b/>
          <w:bCs/>
          <w:spacing w:val="0"/>
          <w:sz w:val="36"/>
          <w:szCs w:val="36"/>
          <w:lang w:val="en-US" w:eastAsia="zh-CN"/>
        </w:rPr>
      </w:pPr>
    </w:p>
    <w:p>
      <w:pPr>
        <w:keepNext w:val="0"/>
        <w:keepLines w:val="0"/>
        <w:pageBreakBefore w:val="0"/>
        <w:wordWrap/>
        <w:topLinePunct w:val="0"/>
        <w:bidi w:val="0"/>
        <w:spacing w:line="360" w:lineRule="auto"/>
        <w:jc w:val="center"/>
        <w:textAlignment w:val="auto"/>
        <w:rPr>
          <w:rFonts w:hint="eastAsia" w:eastAsia="仿宋"/>
          <w:b/>
          <w:bCs/>
          <w:spacing w:val="0"/>
          <w:sz w:val="36"/>
          <w:szCs w:val="36"/>
          <w:lang w:val="en-US" w:eastAsia="zh-CN"/>
        </w:rPr>
      </w:pPr>
      <w:r>
        <w:rPr>
          <w:rFonts w:hint="eastAsia" w:eastAsia="仿宋"/>
          <w:b/>
          <w:bCs/>
          <w:spacing w:val="0"/>
          <w:sz w:val="36"/>
          <w:szCs w:val="36"/>
          <w:lang w:val="en-US" w:eastAsia="zh-CN"/>
        </w:rPr>
        <w:t>目     录</w:t>
      </w:r>
    </w:p>
    <w:p>
      <w:pPr>
        <w:keepNext w:val="0"/>
        <w:keepLines w:val="0"/>
        <w:pageBreakBefore w:val="0"/>
        <w:wordWrap/>
        <w:topLinePunct w:val="0"/>
        <w:bidi w:val="0"/>
        <w:spacing w:line="360" w:lineRule="auto"/>
        <w:ind w:firstLine="3520" w:firstLineChars="1100"/>
        <w:textAlignment w:val="auto"/>
        <w:rPr>
          <w:rFonts w:hint="eastAsia" w:ascii="仿宋" w:hAnsi="仿宋" w:eastAsia="仿宋" w:cs="仿宋"/>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粮食局基本情况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粮食局主要职责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粮食局机构设置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二、2018年度部门预算情况说明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三、名词解释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附件：粮食局2018年度部门预算表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部门收支总体情况表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部门收入总体情况表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部门支出总体情况表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财政拨款收支总体情况表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一般公共预算支出情况表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一般公共预算基本支出情况表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一般公共预算“三公”经费支出情况表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政府性基金预算支出情况表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numPr>
          <w:ilvl w:val="0"/>
          <w:numId w:val="0"/>
        </w:numPr>
        <w:wordWrap/>
        <w:topLinePunct w:val="0"/>
        <w:bidi w:val="0"/>
        <w:spacing w:line="360" w:lineRule="auto"/>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numPr>
          <w:ilvl w:val="0"/>
          <w:numId w:val="0"/>
        </w:numPr>
        <w:wordWrap/>
        <w:topLinePunct w:val="0"/>
        <w:bidi w:val="0"/>
        <w:spacing w:line="360" w:lineRule="auto"/>
        <w:ind w:firstLine="643" w:firstLineChars="200"/>
        <w:jc w:val="both"/>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一、粮食局基本情况</w:t>
      </w:r>
    </w:p>
    <w:p>
      <w:pPr>
        <w:keepNext w:val="0"/>
        <w:keepLines w:val="0"/>
        <w:pageBreakBefore w:val="0"/>
        <w:numPr>
          <w:ilvl w:val="0"/>
          <w:numId w:val="4"/>
        </w:numPr>
        <w:wordWrap/>
        <w:topLinePunct w:val="0"/>
        <w:bidi w:val="0"/>
        <w:spacing w:line="360" w:lineRule="auto"/>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粮食局主要职责</w:t>
      </w:r>
    </w:p>
    <w:p>
      <w:pPr>
        <w:keepNext w:val="0"/>
        <w:keepLines w:val="0"/>
        <w:pageBreakBefore w:val="0"/>
        <w:numPr>
          <w:ilvl w:val="0"/>
          <w:numId w:val="0"/>
        </w:numPr>
        <w:wordWrap/>
        <w:topLinePunct w:val="0"/>
        <w:bidi w:val="0"/>
        <w:spacing w:line="360" w:lineRule="auto"/>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全区粮食流通和粮油储备任务落实，国家保护价粮收购、储存及调出等计划贯彻，负责区域内军粮的供应及管理，同时肩负国家、省、市、区政府对水库移民、退耕还林、还草、救灾等所需粮食的调度供应工作。协调落实粮食系统流通、加工、收储企业的基建、技改、仓储维修等项目监督管理。指导粮食系统工商企业的经营、改革与发展，协助有关部门搞好粮油质量、计量标准管理和监督，配合有关部门打击生产经营假冒伪劣粮油商品行为，协助</w:t>
      </w:r>
      <w:r>
        <w:rPr>
          <w:rFonts w:hint="eastAsia" w:ascii="仿宋" w:hAnsi="仿宋" w:eastAsia="仿宋" w:cs="仿宋"/>
          <w:spacing w:val="0"/>
          <w:sz w:val="32"/>
          <w:szCs w:val="32"/>
          <w:lang w:eastAsia="zh-CN"/>
        </w:rPr>
        <w:t>做好食品安全检查。</w:t>
      </w:r>
    </w:p>
    <w:p>
      <w:pPr>
        <w:keepNext w:val="0"/>
        <w:keepLines w:val="0"/>
        <w:pageBreakBefore w:val="0"/>
        <w:numPr>
          <w:ilvl w:val="0"/>
          <w:numId w:val="4"/>
        </w:numPr>
        <w:wordWrap/>
        <w:topLinePunct w:val="0"/>
        <w:bidi w:val="0"/>
        <w:spacing w:line="360" w:lineRule="auto"/>
        <w:ind w:left="0" w:leftChars="0"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粮食局机构设置</w:t>
      </w:r>
    </w:p>
    <w:p>
      <w:pPr>
        <w:keepNext w:val="0"/>
        <w:keepLines w:val="0"/>
        <w:pageBreakBefore w:val="0"/>
        <w:numPr>
          <w:ilvl w:val="0"/>
          <w:numId w:val="0"/>
        </w:numPr>
        <w:wordWrap/>
        <w:topLinePunct w:val="0"/>
        <w:bidi w:val="0"/>
        <w:spacing w:line="36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浉河区</w:t>
      </w:r>
      <w:r>
        <w:rPr>
          <w:rFonts w:hint="eastAsia" w:ascii="仿宋" w:hAnsi="仿宋" w:eastAsia="仿宋" w:cs="仿宋"/>
          <w:spacing w:val="0"/>
          <w:sz w:val="32"/>
          <w:szCs w:val="32"/>
          <w:lang w:eastAsia="zh-CN"/>
        </w:rPr>
        <w:t>粮食局</w:t>
      </w:r>
      <w:r>
        <w:rPr>
          <w:rFonts w:hint="eastAsia" w:ascii="仿宋" w:hAnsi="仿宋" w:eastAsia="仿宋" w:cs="仿宋"/>
          <w:spacing w:val="0"/>
          <w:sz w:val="32"/>
          <w:szCs w:val="32"/>
        </w:rPr>
        <w:t>内设行政管理办公室、业务管理科、财务基建科、监察审计科、企业改革办公室共三科二室。</w:t>
      </w:r>
    </w:p>
    <w:p>
      <w:pPr>
        <w:keepNext w:val="0"/>
        <w:keepLines w:val="0"/>
        <w:pageBreakBefore w:val="0"/>
        <w:numPr>
          <w:ilvl w:val="0"/>
          <w:numId w:val="0"/>
        </w:numPr>
        <w:wordWrap/>
        <w:topLinePunct w:val="0"/>
        <w:bidi w:val="0"/>
        <w:spacing w:line="360" w:lineRule="auto"/>
        <w:ind w:leftChars="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 xml:space="preserve"> 纳入浉河区</w:t>
      </w:r>
      <w:r>
        <w:rPr>
          <w:rFonts w:hint="eastAsia" w:ascii="仿宋" w:hAnsi="仿宋" w:eastAsia="仿宋" w:cs="仿宋"/>
          <w:spacing w:val="0"/>
          <w:sz w:val="32"/>
          <w:szCs w:val="32"/>
          <w:lang w:eastAsia="zh-CN"/>
        </w:rPr>
        <w:t>粮食局</w:t>
      </w:r>
      <w:r>
        <w:rPr>
          <w:rFonts w:hint="eastAsia" w:ascii="仿宋" w:hAnsi="仿宋" w:eastAsia="仿宋" w:cs="仿宋"/>
          <w:spacing w:val="0"/>
          <w:sz w:val="32"/>
          <w:szCs w:val="32"/>
        </w:rPr>
        <w:t>2018年度部门预算编制范围包括本级预算</w:t>
      </w:r>
      <w:r>
        <w:rPr>
          <w:rFonts w:hint="eastAsia" w:ascii="仿宋" w:hAnsi="仿宋" w:eastAsia="仿宋" w:cs="仿宋"/>
          <w:spacing w:val="0"/>
          <w:sz w:val="32"/>
          <w:szCs w:val="32"/>
          <w:lang w:eastAsia="zh-CN"/>
        </w:rPr>
        <w:t>，无二级机构</w:t>
      </w:r>
      <w:r>
        <w:rPr>
          <w:rFonts w:hint="eastAsia" w:ascii="仿宋" w:hAnsi="仿宋" w:eastAsia="仿宋" w:cs="仿宋"/>
          <w:spacing w:val="0"/>
          <w:sz w:val="32"/>
          <w:szCs w:val="32"/>
        </w:rPr>
        <w:t>。</w:t>
      </w:r>
    </w:p>
    <w:p>
      <w:pPr>
        <w:keepNext w:val="0"/>
        <w:keepLines w:val="0"/>
        <w:pageBreakBefore w:val="0"/>
        <w:numPr>
          <w:ilvl w:val="0"/>
          <w:numId w:val="0"/>
        </w:numPr>
        <w:wordWrap/>
        <w:topLinePunct w:val="0"/>
        <w:bidi w:val="0"/>
        <w:spacing w:line="360" w:lineRule="auto"/>
        <w:ind w:leftChars="0" w:firstLine="640" w:firstLineChars="200"/>
        <w:textAlignment w:val="auto"/>
        <w:rPr>
          <w:rFonts w:hint="eastAsia" w:ascii="仿宋" w:hAnsi="仿宋" w:eastAsia="仿宋" w:cs="仿宋"/>
          <w:spacing w:val="0"/>
          <w:sz w:val="32"/>
          <w:szCs w:val="32"/>
          <w:lang w:eastAsia="zh-CN"/>
        </w:rPr>
      </w:pPr>
    </w:p>
    <w:p>
      <w:pPr>
        <w:keepNext w:val="0"/>
        <w:keepLines w:val="0"/>
        <w:pageBreakBefore w:val="0"/>
        <w:widowControl w:val="0"/>
        <w:numPr>
          <w:ilvl w:val="0"/>
          <w:numId w:val="0"/>
        </w:numPr>
        <w:wordWrap/>
        <w:topLinePunct w:val="0"/>
        <w:bidi w:val="0"/>
        <w:spacing w:line="360" w:lineRule="auto"/>
        <w:ind w:firstLine="643" w:firstLineChars="200"/>
        <w:jc w:val="both"/>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二、2018年度部门预算说明</w:t>
      </w:r>
    </w:p>
    <w:p>
      <w:pPr>
        <w:keepNext w:val="0"/>
        <w:keepLines w:val="0"/>
        <w:pageBreakBefore w:val="0"/>
        <w:widowControl w:val="0"/>
        <w:numPr>
          <w:ilvl w:val="0"/>
          <w:numId w:val="5"/>
        </w:numPr>
        <w:wordWrap/>
        <w:topLinePunct w:val="0"/>
        <w:bidi w:val="0"/>
        <w:spacing w:line="360" w:lineRule="auto"/>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收入支出预算总体情况说明</w:t>
      </w:r>
    </w:p>
    <w:p>
      <w:pPr>
        <w:keepNext w:val="0"/>
        <w:keepLines w:val="0"/>
        <w:pageBreakBefore w:val="0"/>
        <w:widowControl w:val="0"/>
        <w:numPr>
          <w:ilvl w:val="0"/>
          <w:numId w:val="0"/>
        </w:numPr>
        <w:wordWrap/>
        <w:topLinePunct w:val="0"/>
        <w:bidi w:val="0"/>
        <w:spacing w:line="360" w:lineRule="auto"/>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粮食局2018年收入总计452万元，支出总计452万元，与2017年相比，收、支增加17.99万元，增长4%，属本年上年结转增加所致。</w:t>
      </w:r>
    </w:p>
    <w:p>
      <w:pPr>
        <w:keepNext w:val="0"/>
        <w:keepLines w:val="0"/>
        <w:pageBreakBefore w:val="0"/>
        <w:widowControl w:val="0"/>
        <w:numPr>
          <w:ilvl w:val="0"/>
          <w:numId w:val="5"/>
        </w:numPr>
        <w:wordWrap/>
        <w:topLinePunct w:val="0"/>
        <w:bidi w:val="0"/>
        <w:spacing w:line="360" w:lineRule="auto"/>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收入预算总体情况说明</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粮食局2018年收入预算452万元，其中：一般公共预算收入 412.3 万元，政府性基金收入0元，国有资本经营预算收入0  万元，专户管理的收入0 万元，其他收入0  万元，部门结转资金39.7万元。</w:t>
      </w:r>
    </w:p>
    <w:p>
      <w:pPr>
        <w:keepNext w:val="0"/>
        <w:keepLines w:val="0"/>
        <w:pageBreakBefore w:val="0"/>
        <w:widowControl w:val="0"/>
        <w:numPr>
          <w:ilvl w:val="0"/>
          <w:numId w:val="5"/>
        </w:numPr>
        <w:wordWrap/>
        <w:topLinePunct w:val="0"/>
        <w:bidi w:val="0"/>
        <w:spacing w:line="360" w:lineRule="auto"/>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支出预算总体情况说明</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粮食局2018年支出预算 452 万元，其中：基本支出235.8  万元，占预算的52  %；项目支出 216.2 万元，占 预算支出的 48 %。</w:t>
      </w:r>
    </w:p>
    <w:p>
      <w:pPr>
        <w:keepNext w:val="0"/>
        <w:keepLines w:val="0"/>
        <w:pageBreakBefore w:val="0"/>
        <w:widowControl w:val="0"/>
        <w:numPr>
          <w:ilvl w:val="0"/>
          <w:numId w:val="5"/>
        </w:numPr>
        <w:wordWrap/>
        <w:topLinePunct w:val="0"/>
        <w:bidi w:val="0"/>
        <w:spacing w:line="360" w:lineRule="auto"/>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财政拨款收入支出预算总体情况说明</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粮食局2018年财政拨款收支预算 452万元。与2017年相比，财政拨款收支预算增加 17.99 万元，增长4 %，增长的主要原因为：属本年上年结转增加所致。</w:t>
      </w:r>
    </w:p>
    <w:p>
      <w:pPr>
        <w:keepNext w:val="0"/>
        <w:keepLines w:val="0"/>
        <w:pageBreakBefore w:val="0"/>
        <w:widowControl w:val="0"/>
        <w:numPr>
          <w:ilvl w:val="0"/>
          <w:numId w:val="5"/>
        </w:numPr>
        <w:wordWrap/>
        <w:topLinePunct w:val="0"/>
        <w:bidi w:val="0"/>
        <w:spacing w:line="360" w:lineRule="auto"/>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一般公共预算支出预算情况说明</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粮食局2018年一般公共预算支出年初预算为 452 万元。主要用于以下方面：人员工资及商品服务支出 235.8 万元，占年初预算 52 %，教育及培训支出 0 万元，占年初预算0%，项目支出中区级储备补贴169.5万元，占年初预算支出37%，主食产业化及粮油深加工专项业务活动经费支出30万元，占年初预算支出的6%。</w:t>
      </w:r>
    </w:p>
    <w:p>
      <w:pPr>
        <w:keepNext w:val="0"/>
        <w:keepLines w:val="0"/>
        <w:pageBreakBefore w:val="0"/>
        <w:widowControl w:val="0"/>
        <w:numPr>
          <w:ilvl w:val="0"/>
          <w:numId w:val="5"/>
        </w:numPr>
        <w:wordWrap/>
        <w:topLinePunct w:val="0"/>
        <w:bidi w:val="0"/>
        <w:spacing w:line="360" w:lineRule="auto"/>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一般公共预算基本支出预算情况说明</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粮食局2018年一般公共预算基本支出235.8万元，其中：人员经费 208.2 万元，主要包括：基本工资、津贴补贴、奖金、社会保障缴费、绩效工资、离休费、部分退休补贴、住房公积金等；公用经费 27.6 万元，主要包括：办公费、印刷费、咨询费、手续费、水费、电费、邮电费、差旅费、维修费、会议费、公务接待费、工会经费、福利费、公务用车运行维护费、其他交通费用等。</w:t>
      </w:r>
    </w:p>
    <w:p>
      <w:pPr>
        <w:keepNext w:val="0"/>
        <w:keepLines w:val="0"/>
        <w:pageBreakBefore w:val="0"/>
        <w:widowControl w:val="0"/>
        <w:numPr>
          <w:ilvl w:val="0"/>
          <w:numId w:val="5"/>
        </w:numPr>
        <w:wordWrap/>
        <w:topLinePunct w:val="0"/>
        <w:bidi w:val="0"/>
        <w:spacing w:line="360" w:lineRule="auto"/>
        <w:ind w:left="0"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粮食局2018年无政府性基金预算支出。</w:t>
      </w:r>
    </w:p>
    <w:p>
      <w:pPr>
        <w:keepNext w:val="0"/>
        <w:keepLines w:val="0"/>
        <w:pageBreakBefore w:val="0"/>
        <w:widowControl w:val="0"/>
        <w:numPr>
          <w:ilvl w:val="0"/>
          <w:numId w:val="5"/>
        </w:numPr>
        <w:wordWrap/>
        <w:topLinePunct w:val="0"/>
        <w:bidi w:val="0"/>
        <w:spacing w:line="360" w:lineRule="auto"/>
        <w:ind w:left="0" w:leftChars="0" w:firstLine="640" w:firstLineChars="200"/>
        <w:jc w:val="both"/>
        <w:textAlignment w:val="auto"/>
        <w:rPr>
          <w:rFonts w:hint="eastAsia" w:ascii="仿宋" w:hAnsi="仿宋" w:eastAsia="仿宋" w:cs="仿宋"/>
          <w:spacing w:val="0"/>
          <w:sz w:val="32"/>
          <w:szCs w:val="32"/>
          <w:lang w:val="en-US" w:eastAsia="zh-CN"/>
        </w:rPr>
      </w:pPr>
      <w:r>
        <w:rPr>
          <w:rFonts w:hint="default" w:ascii="仿宋" w:hAnsi="仿宋" w:eastAsia="仿宋" w:cs="仿宋"/>
          <w:spacing w:val="0"/>
          <w:sz w:val="32"/>
          <w:szCs w:val="32"/>
          <w:lang w:val="en-US" w:eastAsia="zh-CN"/>
        </w:rPr>
        <w:t>“</w:t>
      </w:r>
      <w:r>
        <w:rPr>
          <w:rFonts w:hint="eastAsia" w:ascii="仿宋" w:hAnsi="仿宋" w:eastAsia="仿宋" w:cs="仿宋"/>
          <w:spacing w:val="0"/>
          <w:sz w:val="32"/>
          <w:szCs w:val="32"/>
          <w:lang w:val="en-US" w:eastAsia="zh-CN"/>
        </w:rPr>
        <w:t>三公</w:t>
      </w:r>
      <w:r>
        <w:rPr>
          <w:rFonts w:hint="default" w:ascii="仿宋" w:hAnsi="仿宋" w:eastAsia="仿宋" w:cs="仿宋"/>
          <w:spacing w:val="0"/>
          <w:sz w:val="32"/>
          <w:szCs w:val="32"/>
          <w:lang w:val="en-US" w:eastAsia="zh-CN"/>
        </w:rPr>
        <w:t>”</w:t>
      </w:r>
      <w:r>
        <w:rPr>
          <w:rFonts w:hint="eastAsia" w:ascii="仿宋" w:hAnsi="仿宋" w:eastAsia="仿宋" w:cs="仿宋"/>
          <w:spacing w:val="0"/>
          <w:sz w:val="32"/>
          <w:szCs w:val="32"/>
          <w:lang w:val="en-US" w:eastAsia="zh-CN"/>
        </w:rPr>
        <w:t>经费支出预算情况说明</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粮食局2018年“三公”经费预算为 8万元。2018年“三公”经费支出预算数比2017年减少0.4 万元。</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具体支出情况如下：</w:t>
      </w:r>
    </w:p>
    <w:p>
      <w:pPr>
        <w:keepNext w:val="0"/>
        <w:keepLines w:val="0"/>
        <w:pageBreakBefore w:val="0"/>
        <w:widowControl w:val="0"/>
        <w:numPr>
          <w:ilvl w:val="0"/>
          <w:numId w:val="6"/>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因公出国（境）费0元。</w:t>
      </w:r>
    </w:p>
    <w:p>
      <w:pPr>
        <w:keepNext w:val="0"/>
        <w:keepLines w:val="0"/>
        <w:pageBreakBefore w:val="0"/>
        <w:widowControl w:val="0"/>
        <w:numPr>
          <w:ilvl w:val="0"/>
          <w:numId w:val="6"/>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公务用车购置及运行费3.5 万元，其中，公务用车购置费0万元；公务用车运行维护费 3.5万元，</w:t>
      </w:r>
      <w:r>
        <w:rPr>
          <w:rFonts w:hint="eastAsia" w:ascii="宋体" w:hAnsi="宋体" w:cs="Courier New"/>
          <w:b/>
          <w:bCs/>
          <w:sz w:val="32"/>
          <w:szCs w:val="32"/>
          <w:lang w:eastAsia="zh-CN"/>
        </w:rPr>
        <w:t>公车保有量</w:t>
      </w:r>
      <w:r>
        <w:rPr>
          <w:rFonts w:hint="eastAsia" w:ascii="宋体" w:hAnsi="宋体" w:cs="Courier New"/>
          <w:sz w:val="32"/>
          <w:szCs w:val="32"/>
          <w:lang w:eastAsia="zh-CN"/>
        </w:rPr>
        <w:t>为</w:t>
      </w:r>
      <w:r>
        <w:rPr>
          <w:rFonts w:hint="eastAsia" w:ascii="宋体" w:hAnsi="宋体" w:cs="Courier New"/>
          <w:sz w:val="32"/>
          <w:szCs w:val="32"/>
          <w:lang w:val="en-US" w:eastAsia="zh-CN"/>
        </w:rPr>
        <w:t>1</w:t>
      </w:r>
      <w:bookmarkStart w:id="0" w:name="_GoBack"/>
      <w:bookmarkEnd w:id="0"/>
      <w:r>
        <w:rPr>
          <w:rFonts w:hint="eastAsia" w:ascii="宋体" w:hAnsi="宋体" w:cs="Courier New"/>
          <w:sz w:val="32"/>
          <w:szCs w:val="32"/>
          <w:lang w:val="en-US" w:eastAsia="zh-CN"/>
        </w:rPr>
        <w:t>辆，</w:t>
      </w:r>
      <w:r>
        <w:rPr>
          <w:rFonts w:hint="eastAsia" w:ascii="仿宋" w:hAnsi="仿宋" w:eastAsia="仿宋" w:cs="仿宋"/>
          <w:spacing w:val="0"/>
          <w:sz w:val="32"/>
          <w:szCs w:val="32"/>
          <w:lang w:val="en-US" w:eastAsia="zh-CN"/>
        </w:rPr>
        <w:t>主要用于执法车的燃料费、维修费、保险费等支出。</w:t>
      </w:r>
    </w:p>
    <w:p>
      <w:pPr>
        <w:keepNext w:val="0"/>
        <w:keepLines w:val="0"/>
        <w:pageBreakBefore w:val="0"/>
        <w:widowControl w:val="0"/>
        <w:numPr>
          <w:ilvl w:val="0"/>
          <w:numId w:val="6"/>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公务接待费4.9  万元，主要用于按规定开支的各类公务接待支出。预算数比2017年减少 0.4万元。减少的主要原因是2018年我局将按照中央国务院八项规定和省委省政府厉行节约的相关规定要求，严格管控“三公”经费支出，进一步压缩公务接待开支。</w:t>
      </w:r>
    </w:p>
    <w:p>
      <w:pPr>
        <w:keepNext w:val="0"/>
        <w:keepLines w:val="0"/>
        <w:pageBreakBefore w:val="0"/>
        <w:widowControl w:val="0"/>
        <w:numPr>
          <w:ilvl w:val="0"/>
          <w:numId w:val="0"/>
        </w:numPr>
        <w:wordWrap/>
        <w:topLinePunct w:val="0"/>
        <w:bidi w:val="0"/>
        <w:spacing w:line="360" w:lineRule="auto"/>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九）其他重要事项的情况说明</w:t>
      </w:r>
    </w:p>
    <w:p>
      <w:pPr>
        <w:keepNext w:val="0"/>
        <w:keepLines w:val="0"/>
        <w:pageBreakBefore w:val="0"/>
        <w:widowControl w:val="0"/>
        <w:numPr>
          <w:ilvl w:val="0"/>
          <w:numId w:val="7"/>
        </w:numPr>
        <w:wordWrap/>
        <w:topLinePunct w:val="0"/>
        <w:bidi w:val="0"/>
        <w:spacing w:line="360" w:lineRule="auto"/>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机关运行经费支出情况</w:t>
      </w:r>
    </w:p>
    <w:p>
      <w:pPr>
        <w:keepNext w:val="0"/>
        <w:keepLines w:val="0"/>
        <w:pageBreakBefore w:val="0"/>
        <w:widowControl w:val="0"/>
        <w:numPr>
          <w:ilvl w:val="0"/>
          <w:numId w:val="0"/>
        </w:numPr>
        <w:wordWrap/>
        <w:topLinePunct w:val="0"/>
        <w:bidi w:val="0"/>
        <w:spacing w:line="360" w:lineRule="auto"/>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粮食局2018年机关运行经费支出预算27.6万元，包括保障机构正常运转及正常履职，完成预算年度主要工作任务需要。</w:t>
      </w:r>
    </w:p>
    <w:p>
      <w:pPr>
        <w:keepNext w:val="0"/>
        <w:keepLines w:val="0"/>
        <w:pageBreakBefore w:val="0"/>
        <w:widowControl w:val="0"/>
        <w:numPr>
          <w:ilvl w:val="0"/>
          <w:numId w:val="0"/>
        </w:numPr>
        <w:wordWrap/>
        <w:topLinePunct w:val="0"/>
        <w:bidi w:val="0"/>
        <w:spacing w:line="360" w:lineRule="auto"/>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2、政府采购支出情况</w:t>
      </w:r>
    </w:p>
    <w:p>
      <w:pPr>
        <w:keepNext w:val="0"/>
        <w:keepLines w:val="0"/>
        <w:pageBreakBefore w:val="0"/>
        <w:widowControl w:val="0"/>
        <w:numPr>
          <w:ilvl w:val="0"/>
          <w:numId w:val="0"/>
        </w:numPr>
        <w:wordWrap/>
        <w:topLinePunct w:val="0"/>
        <w:bidi w:val="0"/>
        <w:spacing w:line="360" w:lineRule="auto"/>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粮食局2018年度没有政府采购预算支出。</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3、关于预算绩效管理工作开展情况说明</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粮食局2018年拟组织对区级储备项目进行预算绩效评价，涉及资金169.5万元，主要对区级储备粮的管理、以及所发挥的效能进行绩效评价。</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4、国有资产占用情况</w:t>
      </w:r>
    </w:p>
    <w:p>
      <w:pPr>
        <w:keepNext w:val="0"/>
        <w:keepLines w:val="0"/>
        <w:pageBreakBefore w:val="0"/>
        <w:widowControl w:val="0"/>
        <w:numPr>
          <w:ilvl w:val="0"/>
          <w:numId w:val="0"/>
        </w:numPr>
        <w:wordWrap/>
        <w:topLinePunct w:val="0"/>
        <w:bidi w:val="0"/>
        <w:spacing w:line="360" w:lineRule="auto"/>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2017年期末，我局有执法车一辆，办公用房1000平方米。</w:t>
      </w:r>
    </w:p>
    <w:p>
      <w:pPr>
        <w:keepNext w:val="0"/>
        <w:keepLines w:val="0"/>
        <w:pageBreakBefore w:val="0"/>
        <w:widowControl w:val="0"/>
        <w:numPr>
          <w:ilvl w:val="0"/>
          <w:numId w:val="0"/>
        </w:numPr>
        <w:wordWrap/>
        <w:topLinePunct w:val="0"/>
        <w:bidi w:val="0"/>
        <w:spacing w:line="360" w:lineRule="auto"/>
        <w:ind w:leftChars="0" w:firstLine="643" w:firstLineChars="200"/>
        <w:jc w:val="both"/>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三、名词解释</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1、财政拨款收入：是指省级财政当年拨付的资金。</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 xml:space="preserve">2、其他收入：是指部门取得的除“财政拨款”、“事业收入”、“事业单位经营收入”等以外的收入。 </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3、基本支出：是指为保障机构正常运转、完成日常工作任务所必需的开支，其内容包括人员经费和日常公用经费两部分。</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4、项目支出：是指在基本支出之外，为完成特定的行政工作任务或事业发展目标所发生的支出。</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 w:hAnsi="仿宋" w:eastAsia="仿宋" w:cs="仿宋"/>
          <w:spacing w:val="0"/>
          <w:sz w:val="32"/>
          <w:szCs w:val="32"/>
          <w:lang w:eastAsia="zh-CN"/>
        </w:rPr>
        <w:t>。</w:t>
      </w:r>
    </w:p>
    <w:p>
      <w:pPr>
        <w:keepNext w:val="0"/>
        <w:keepLines w:val="0"/>
        <w:pageBreakBefore w:val="0"/>
        <w:widowControl/>
        <w:wordWrap/>
        <w:topLinePunct w:val="0"/>
        <w:bidi w:val="0"/>
        <w:adjustRightInd w:val="0"/>
        <w:snapToGrid w:val="0"/>
        <w:spacing w:line="360" w:lineRule="auto"/>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640" w:firstLineChars="200"/>
        <w:jc w:val="both"/>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7、储备粮油补贴：为完善粮食调控和监管体系，保障粮食市场供应和价格基本稳定，确保粮食应急供应，各级政府所储备的粮食发生各项费用支出。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0"/>
          <w:sz w:val="32"/>
          <w:szCs w:val="32"/>
          <w:lang w:val="en-US" w:eastAsia="zh-CN"/>
        </w:rPr>
        <w:t>8、主食产业化：</w:t>
      </w:r>
      <w:r>
        <w:rPr>
          <w:rFonts w:hint="eastAsia" w:ascii="仿宋" w:hAnsi="仿宋" w:eastAsia="仿宋" w:cs="仿宋"/>
          <w:b w:val="0"/>
          <w:i w:val="0"/>
          <w:caps w:val="0"/>
          <w:color w:val="333333"/>
          <w:spacing w:val="0"/>
          <w:sz w:val="32"/>
          <w:szCs w:val="32"/>
          <w:shd w:val="clear" w:color="auto" w:fill="FFFFFF"/>
        </w:rPr>
        <w:t>是指按照一定的规范和标准，以现代科学技术成果，提升传统食品工艺;用机械化、标准化、规模化生产，代替散乱的手工和半手工加工;设计和引入现代营销理念，构建从农业种植到居民饮食消费的全产业链体系，创造新型的现代主食产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6292B"/>
    <w:multiLevelType w:val="singleLevel"/>
    <w:tmpl w:val="8AB6292B"/>
    <w:lvl w:ilvl="0" w:tentative="0">
      <w:start w:val="1"/>
      <w:numFmt w:val="chineseCounting"/>
      <w:suff w:val="nothing"/>
      <w:lvlText w:val="（%1）"/>
      <w:lvlJc w:val="left"/>
      <w:rPr>
        <w:rFonts w:hint="eastAsia"/>
      </w:rPr>
    </w:lvl>
  </w:abstractNum>
  <w:abstractNum w:abstractNumId="1">
    <w:nsid w:val="D98ED7FF"/>
    <w:multiLevelType w:val="singleLevel"/>
    <w:tmpl w:val="D98ED7FF"/>
    <w:lvl w:ilvl="0" w:tentative="0">
      <w:start w:val="1"/>
      <w:numFmt w:val="decimal"/>
      <w:suff w:val="nothing"/>
      <w:lvlText w:val="%1、"/>
      <w:lvlJc w:val="left"/>
    </w:lvl>
  </w:abstractNum>
  <w:abstractNum w:abstractNumId="2">
    <w:nsid w:val="FCE86FB9"/>
    <w:multiLevelType w:val="singleLevel"/>
    <w:tmpl w:val="FCE86FB9"/>
    <w:lvl w:ilvl="0" w:tentative="0">
      <w:start w:val="1"/>
      <w:numFmt w:val="chineseCounting"/>
      <w:suff w:val="nothing"/>
      <w:lvlText w:val="（%1）"/>
      <w:lvlJc w:val="left"/>
      <w:rPr>
        <w:rFonts w:hint="eastAsia"/>
      </w:rPr>
    </w:lvl>
  </w:abstractNum>
  <w:abstractNum w:abstractNumId="3">
    <w:nsid w:val="09B15DA3"/>
    <w:multiLevelType w:val="singleLevel"/>
    <w:tmpl w:val="09B15DA3"/>
    <w:lvl w:ilvl="0" w:tentative="0">
      <w:start w:val="1"/>
      <w:numFmt w:val="decimal"/>
      <w:suff w:val="nothing"/>
      <w:lvlText w:val="%1、"/>
      <w:lvlJc w:val="left"/>
    </w:lvl>
  </w:abstractNum>
  <w:abstractNum w:abstractNumId="4">
    <w:nsid w:val="15749688"/>
    <w:multiLevelType w:val="singleLevel"/>
    <w:tmpl w:val="15749688"/>
    <w:lvl w:ilvl="0" w:tentative="0">
      <w:start w:val="1"/>
      <w:numFmt w:val="chineseCounting"/>
      <w:suff w:val="nothing"/>
      <w:lvlText w:val="%1、"/>
      <w:lvlJc w:val="left"/>
      <w:rPr>
        <w:rFonts w:hint="eastAsia"/>
      </w:rPr>
    </w:lvl>
  </w:abstractNum>
  <w:abstractNum w:abstractNumId="5">
    <w:nsid w:val="234F7AA9"/>
    <w:multiLevelType w:val="singleLevel"/>
    <w:tmpl w:val="234F7AA9"/>
    <w:lvl w:ilvl="0" w:tentative="0">
      <w:start w:val="1"/>
      <w:numFmt w:val="decimal"/>
      <w:suff w:val="nothing"/>
      <w:lvlText w:val="%1、"/>
      <w:lvlJc w:val="left"/>
    </w:lvl>
  </w:abstractNum>
  <w:abstractNum w:abstractNumId="6">
    <w:nsid w:val="3B4AE36D"/>
    <w:multiLevelType w:val="singleLevel"/>
    <w:tmpl w:val="3B4AE36D"/>
    <w:lvl w:ilvl="0" w:tentative="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7138C"/>
    <w:rsid w:val="0FDB335E"/>
    <w:rsid w:val="11F95318"/>
    <w:rsid w:val="1527138C"/>
    <w:rsid w:val="29236081"/>
    <w:rsid w:val="2D76260F"/>
    <w:rsid w:val="2D9554ED"/>
    <w:rsid w:val="37A132D5"/>
    <w:rsid w:val="37C0079C"/>
    <w:rsid w:val="409E243E"/>
    <w:rsid w:val="4C377E02"/>
    <w:rsid w:val="523B6049"/>
    <w:rsid w:val="565F105C"/>
    <w:rsid w:val="5E3D45A8"/>
    <w:rsid w:val="70B5799E"/>
    <w:rsid w:val="7322050E"/>
    <w:rsid w:val="73934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2019-01-21T01:30:00Z</dcterms:created>
  <dc:creator>Administrator</dc:creator>
  <cp:lastModifiedBy>Administrator</cp:lastModifiedBy>
  <dcterms:modified xsi:type="dcterms:W3CDTF">2019-02-14T00:50:58Z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