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浉河区委办公室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区委办公室概况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第二部分　　区委办公室</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区委办公室</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区委办公室概况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539"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区委办单位机关内设 6 个职能科室。主要职责是：负责协助区委领导处理日常工作，贯彻区委的指示、决定。</w:t>
      </w:r>
      <w:r>
        <w:rPr>
          <w:rFonts w:hint="eastAsia" w:ascii="仿宋_GB2312" w:hAnsi="仿宋_GB2312" w:eastAsia="仿宋_GB2312" w:cs="仿宋_GB2312"/>
          <w:spacing w:val="4"/>
          <w:kern w:val="0"/>
          <w:sz w:val="32"/>
          <w:szCs w:val="32"/>
        </w:rPr>
        <w:t>负责区委和区委办公室文件、区委向市委的请示报告、区委领导同志讲话等文稿的起草、修改和印发工作；负责办好内部简报；负责区委和区委办公室机关文书处理、档案管理工作；负责中央、省委、市委文件的翻印和分发工作。负责中央、省委、市委、区委重大工作部署和决定事项贯彻落实的督促检查；负责中央、省委、市委和区委领导同志有关批示的传达、催办和情况反馈工作。负责区委办公室离退休人员的管理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人员编制数共计32人。其中行政22人，行政工勤10人。实有在职人员数30人。其中行政20人，行政工勤10人。离休3人，退休14人。</w:t>
      </w:r>
    </w:p>
    <w:p>
      <w:pPr>
        <w:spacing w:line="360" w:lineRule="auto"/>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纳入区委办公室2018年度部门预算编制范围的单位包括本级预算和所属单位预算在内的汇总预算。</w:t>
      </w:r>
    </w:p>
    <w:p>
      <w:pPr>
        <w:spacing w:line="360" w:lineRule="auto"/>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区委办公室是中共信阳市浉河区委的综合办事机构。区委保密委员会办公室（区保密局）、区委机要局并入区委办公室、保留牌子。区委办公室内设 6 个职能科室，即常委办（秘书一室）、秘书二室、信息调研室、行政室、区委督查室、综合室。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（一）常委办（秘书一室）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区委常委会议及区委全委会议的组织筹备及会后事宜；四大班子联席会议的组织筹备及会后事宜；大型会议处级领导同志的会议通知工作；以区委名义召开的会议和区四大家领导机关召开的由乡、镇、办事处党政正职、区直单位主要领导同志参加的全区性会议，会议承办单位提前报告常委办，由常委办统筹安排；拟邀请区委处级领导同志参加的各类庆典活动，邀请单位向常委办报告，由常委办负责请示相关领导后再作统筹安排；上级机关正处级实职及其以上领导同志来区检查指导工作，相关单位和部门应第一时间向常委办报告，常委办以值班报告形式及时将有关情况报区委、区政府主要领导同志，以便统筹安排好接待工作；区处级领导同志及各乡、镇、办事处党政正职、区委各部委办、区直单位主要领导同志外出，应事先向区委主要领导同志请假，并报常委办备案；区委领导同志参加会议及活动具体事务的协调安排工作；对区委及书记本人的文件、材料的转办工作；对区委领导同志的其他服务工作；参与区委办公室临时性中心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（二）秘书二室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负责审核、印制、分发区委、区委办公室文件；负责区委规范性文件的清理和备案；负责区委法律顾问的协调管理；负责《秘书工作》的征订；完成区委及办公室领导交办的其他任务。</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（三）信息调研室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负责全区各方面信息收集、综合、编发，及时准确地向区委及上级党委反馈、报告有关情况，并提出工作建议；负责组织全区信息网络建设、业务培训，提高信息队伍业务素质；保证信息微机联网的正常运转；负责《工作信息》、《浉河信息》、《浉河区情》等材料编写、印制、分发工作；组织并开展调查研究，掌握各项政策的贯彻执行情况，为领导当好参谋助手，搞好决策的全程服务；负责编发《调查研究》、《内部参阅》刊物；参与区委会议的会务组织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（四）行政室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负责做好区委机关的财务管理工作；负责车辆的管理，为区委领导及办公室有关公务活动提供用车，并确保司乘人员的安全；负责办公室报刊、杂志、信件的征记、分发、投递工作；做好区委召开的有关会议后勤服务工作；负责区委办离退休干部管理、服务工作；完成区委办公室领导交办的其他任务。</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（五）区委督查室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对党的方针、路线、政策及区委的重大决策、重要工作部署，包括中央、省、市、区委领导同志指示、批办事项的执行情况进行督促检查；抓好全区党委督查网络建设，搞好督查人员的业务培训和经验交流等工作；负责编发《督查通报》、《督查情况》和《工作月报》；完成区委及办公室领导交办的其他任务。</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（六）综合室</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按照区委意图和部署，围绕区委中心工作，负责对全区经济运行和社会发展中全局性、综合性、战略性的重大问题进行调查研究，提出意见和建议，供区委决策参考；负责起草区委召开的全区性大会报告、重要汇报材料、综合材料及区委主要领导同志讲话文稿、署名文章等；围绕区委重点调研课题，组织、联络、协调各有关部门共同开展调查研究；区委主要领导交办的其它工作。</w:t>
      </w:r>
    </w:p>
    <w:p>
      <w:pPr>
        <w:spacing w:line="360" w:lineRule="auto"/>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并入保留牌子的单位主要职责：</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（一）中共信阳市浉河区委保密委员会办公室（区保密局）</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1. 承办区委保密委员会日常事务工作，依法履行保密行政管理职能。</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2. 贯彻执行《保密法》及其配套法规，贯彻党中央、国务院和省委、省政府，市委、市政府，区委、区政府有关保密工作的方针、政策、决定、指示；贯彻落实中央保密委员会、市委保密委员会、区委保密委员会及国家保密局和省、市保密局的工作部署。</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3. 研究全区保密工作中的重大问题，制订全区保密工作计划、发展规划和规章制度。</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4. 指导、协调全区党政各部门、各群众团体、企事业单位的保密工作；监督检查《保密法》及其配套法规的实施。</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5. 组织保密检查，督促有关部门查处泄密事件；组织或参与对重大的泄密事件的查处工作；组织有关部门对泄密的国家秘密采取补救措施。</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6. 组织、指导全区保密宣传教育工作，制订宣传教育计划；组织保密业务培训，开展对保密理论、政策研究。</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7. 负责指导全区保密技术防范工作，负责组织对涉密通信、办公自动化和计算机信息系统保密设施建设情况进行审核验收；负责计算机信息网络的保密管理和对上网信息进行保密检查。</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8. 组织协调全区保密技术检查和泄密非法出版物（包括刊物、光盘、磁盘）查缴工作。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9. 处理涉外保密事务。</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10. 承办区委、区政府和上级业务主管部门交办的其他事项。</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（二）中共信阳市浉河区委机要局（区委机要局）</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1. 贯彻落实党中央、国务院、省委、省政府、市委、市政府、区委、区政府关于密码工作的方针、政策和决定，落实市委机要局关于机要局工作的安排和部署。</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2. 负责区委、区人大、区政府、区政协和区直各单位、大专院校与省委、省人大、省政府、省政协及各县区的密码通信和语音加密通信；负责区委、区政府的信息传输和移动保密通信工作。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3. 负责全区党政机要系统计算机密码通信网络和区直横向计算机加密通信网络的规划、建设、使用和管理工作。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4. 负责全区普通密码的管理工作，承担中央国家机关和省直机关延伸到我区的普通密码的管理工作，承担中央国家机关和省直机关延伸到我区的普通密码通信的单位的业务指导、保密检查、设备检测工作；承担区直机关延伸到乡镇的普通密码的规划建设、检查指导、技术服务等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5. 负责指定全区机要系统密码科技工作的中长期发展规划和年度科技工作的安排；组织全区密码通信部门的各项科研活动；负责全区机要部门各类密码机、计算机、网络设备和其他配套设备的订购、配发、推广应用和技术开发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6. 对乡镇密码工作部门实施业务领导，安排全区机要部门年度工作，检查、指导全区机要保密、技术训练、密码管理和业务技术工作；会同有关部门查处有关密码失泄密事件，研究解决全区密码工作中的问题。</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7. 承办全区新选机要干部的审查报告工作；负责全区机要干部的业务培训、技术考核工作。</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8. 负责全区商用密码的管理工作。</w:t>
      </w:r>
    </w:p>
    <w:p>
      <w:pPr>
        <w:spacing w:line="360" w:lineRule="auto"/>
        <w:ind w:left="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9. 承办区委、区委办公室和上级机要部门交办的其他事项。</w:t>
      </w:r>
    </w:p>
    <w:p>
      <w:pPr>
        <w:spacing w:line="360" w:lineRule="auto"/>
        <w:ind w:left="640"/>
        <w:jc w:val="left"/>
        <w:rPr>
          <w:rFonts w:ascii="仿宋_GB2312" w:hAnsi="仿宋_GB2312" w:eastAsia="仿宋_GB2312" w:cs="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浉河区委办公室</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单位名称：浉河区委办公室</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487.4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487.4</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487.4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487.4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0</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0</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1371"/>
        <w:gridCol w:w="379"/>
        <w:gridCol w:w="476"/>
        <w:gridCol w:w="523"/>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1371" w:type="dxa"/>
            <w:vAlign w:val="center"/>
          </w:tcPr>
          <w:p>
            <w:pPr>
              <w:rPr>
                <w:rFonts w:ascii="仿宋" w:hAnsi="仿宋" w:eastAsia="仿宋" w:cs="宋体"/>
                <w:color w:val="000000"/>
                <w:sz w:val="16"/>
                <w:szCs w:val="16"/>
              </w:rPr>
            </w:pPr>
          </w:p>
        </w:tc>
        <w:tc>
          <w:tcPr>
            <w:tcW w:w="37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1371" w:type="dxa"/>
            <w:vAlign w:val="center"/>
          </w:tcPr>
          <w:p>
            <w:pPr>
              <w:rPr>
                <w:rFonts w:ascii="仿宋" w:hAnsi="仿宋" w:eastAsia="仿宋" w:cs="宋体"/>
                <w:color w:val="000000"/>
                <w:sz w:val="16"/>
                <w:szCs w:val="16"/>
              </w:rPr>
            </w:pPr>
          </w:p>
        </w:tc>
        <w:tc>
          <w:tcPr>
            <w:tcW w:w="37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01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85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759"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85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759"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97"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487.4</w:t>
            </w:r>
          </w:p>
        </w:tc>
        <w:tc>
          <w:tcPr>
            <w:tcW w:w="759"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b/>
                <w:sz w:val="22"/>
                <w:szCs w:val="22"/>
              </w:rPr>
            </w:pPr>
            <w:r>
              <w:rPr>
                <w:rFonts w:hint="eastAsia" w:ascii="仿宋" w:hAnsi="仿宋" w:eastAsia="仿宋"/>
                <w:b/>
                <w:sz w:val="22"/>
                <w:szCs w:val="22"/>
              </w:rPr>
              <w:t>487.4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318.7</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318.7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23.2</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23.2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0.3</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19.9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19.9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31.1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31.1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13.8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13.8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0.4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 xml:space="preserve">0.4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专项业务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20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20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2013103</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机关服务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30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30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一般行政管理事务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30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2"/>
                <w:szCs w:val="22"/>
              </w:rPr>
            </w:pPr>
            <w:r>
              <w:rPr>
                <w:rFonts w:hint="eastAsia" w:ascii="宋体" w:hAnsi="宋体" w:cs="宋体"/>
                <w:color w:val="000000"/>
                <w:kern w:val="0"/>
                <w:sz w:val="22"/>
                <w:szCs w:val="22"/>
              </w:rPr>
              <w:t xml:space="preserve">30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0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759"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2"/>
                <w:szCs w:val="22"/>
              </w:rPr>
            </w:pPr>
            <w:r>
              <w:rPr>
                <w:rFonts w:hint="eastAsia" w:ascii="仿宋" w:hAnsi="仿宋" w:eastAsia="仿宋" w:cs="宋体"/>
                <w:b/>
                <w:color w:val="000000"/>
                <w:sz w:val="22"/>
                <w:szCs w:val="22"/>
              </w:rPr>
              <w:t>487.4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
                <w:bCs/>
                <w:sz w:val="22"/>
                <w:szCs w:val="22"/>
              </w:rPr>
            </w:pPr>
            <w:r>
              <w:rPr>
                <w:rFonts w:hint="eastAsia" w:ascii="仿宋" w:hAnsi="仿宋" w:eastAsia="仿宋"/>
                <w:b/>
                <w:bCs/>
                <w:sz w:val="22"/>
                <w:szCs w:val="22"/>
              </w:rPr>
              <w:t>307.4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sz w:val="22"/>
                <w:szCs w:val="22"/>
              </w:rPr>
            </w:pPr>
            <w:r>
              <w:rPr>
                <w:rFonts w:hint="eastAsia" w:ascii="仿宋" w:hAnsi="仿宋" w:eastAsia="仿宋" w:cs="宋体"/>
                <w:b/>
                <w:bCs/>
                <w:color w:val="000000"/>
                <w:sz w:val="22"/>
                <w:szCs w:val="22"/>
              </w:rPr>
              <w:t>180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318.7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218.7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22"/>
                <w:szCs w:val="22"/>
              </w:rPr>
            </w:pPr>
            <w:r>
              <w:rPr>
                <w:rFonts w:hint="eastAsia" w:ascii="仿宋" w:hAnsi="仿宋" w:eastAsia="仿宋" w:cs="宋体"/>
                <w:bCs/>
                <w:color w:val="000000"/>
                <w:sz w:val="22"/>
                <w:szCs w:val="22"/>
              </w:rPr>
              <w:t>100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23.2</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23.2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19.9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19.9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31.1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31.1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13.8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13.8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专项业务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机关服务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宋体" w:hAnsi="宋体" w:cs="宋体"/>
                <w:color w:val="000000"/>
                <w:kern w:val="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60" w:hRule="atLeast"/>
        </w:trPr>
        <w:tc>
          <w:tcPr>
            <w:tcW w:w="3231" w:type="dxa"/>
            <w:gridSpan w:val="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c>
          <w:tcPr>
            <w:tcW w:w="1184" w:type="dxa"/>
            <w:gridSpan w:val="2"/>
            <w:vAlign w:val="center"/>
          </w:tcPr>
          <w:p>
            <w:pPr>
              <w:widowControl/>
              <w:jc w:val="center"/>
              <w:textAlignment w:val="center"/>
            </w:pPr>
          </w:p>
        </w:tc>
        <w:tc>
          <w:tcPr>
            <w:tcW w:w="5920" w:type="dxa"/>
            <w:gridSpan w:val="9"/>
            <w:vAlign w:val="center"/>
          </w:tcPr>
          <w:p>
            <w:pPr>
              <w:widowControl/>
              <w:jc w:val="lef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487.4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487.4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487.4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487.4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color w:val="000000"/>
                <w:sz w:val="22"/>
                <w:szCs w:val="22"/>
              </w:rPr>
              <w:t>487.4</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sz w:val="22"/>
                <w:szCs w:val="22"/>
              </w:rPr>
              <w:t>487.4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487.4</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22"/>
                <w:szCs w:val="22"/>
              </w:rPr>
            </w:pPr>
            <w:r>
              <w:rPr>
                <w:rFonts w:hint="eastAsia" w:ascii="仿宋" w:hAnsi="仿宋" w:eastAsia="仿宋"/>
                <w:b/>
                <w:bCs/>
                <w:sz w:val="22"/>
                <w:szCs w:val="22"/>
              </w:rPr>
              <w:t>487.4</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宋体"/>
                <w:b/>
                <w:color w:val="000000"/>
                <w:sz w:val="22"/>
                <w:szCs w:val="22"/>
              </w:rPr>
              <w:t>487.4</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22"/>
                <w:szCs w:val="22"/>
              </w:rPr>
              <w:t>487.4</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b/>
                <w:bCs/>
                <w:sz w:val="22"/>
                <w:szCs w:val="22"/>
              </w:rPr>
              <w:t>307.4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bCs/>
                <w:color w:val="000000"/>
                <w:sz w:val="22"/>
                <w:szCs w:val="22"/>
              </w:rPr>
              <w:t>180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318.7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218.7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22"/>
                <w:szCs w:val="22"/>
              </w:rPr>
              <w:t>100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23.2</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23.2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kern w:val="0"/>
                <w:sz w:val="22"/>
                <w:szCs w:val="22"/>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sz w:val="22"/>
                <w:szCs w:val="22"/>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19.9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19.9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31.1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31.1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13.8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13.8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0.4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0.4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专项业务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20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20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30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2"/>
                <w:szCs w:val="22"/>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30</w:t>
            </w: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spacing w:line="240" w:lineRule="exact"/>
              <w:rPr>
                <w:rFonts w:ascii="仿宋" w:hAnsi="仿宋" w:eastAsia="仿宋" w:cs="宋体"/>
                <w:color w:val="000000"/>
                <w:sz w:val="16"/>
                <w:szCs w:val="16"/>
              </w:rPr>
            </w:pPr>
          </w:p>
        </w:tc>
        <w:tc>
          <w:tcPr>
            <w:tcW w:w="1794" w:type="dxa"/>
            <w:vAlign w:val="center"/>
          </w:tcPr>
          <w:p>
            <w:pPr>
              <w:spacing w:line="240" w:lineRule="exact"/>
              <w:rPr>
                <w:rFonts w:ascii="仿宋" w:hAnsi="仿宋" w:eastAsia="仿宋" w:cs="宋体"/>
                <w:color w:val="000000"/>
                <w:sz w:val="16"/>
                <w:szCs w:val="16"/>
              </w:rPr>
            </w:pPr>
          </w:p>
        </w:tc>
        <w:tc>
          <w:tcPr>
            <w:tcW w:w="1620" w:type="dxa"/>
            <w:vAlign w:val="center"/>
          </w:tcPr>
          <w:p>
            <w:pPr>
              <w:spacing w:line="240" w:lineRule="exact"/>
              <w:rPr>
                <w:rFonts w:ascii="仿宋" w:hAnsi="仿宋" w:eastAsia="仿宋" w:cs="宋体"/>
                <w:color w:val="000000"/>
                <w:sz w:val="16"/>
                <w:szCs w:val="16"/>
              </w:rPr>
            </w:pPr>
          </w:p>
        </w:tc>
        <w:tc>
          <w:tcPr>
            <w:tcW w:w="754" w:type="dxa"/>
            <w:vAlign w:val="center"/>
          </w:tcPr>
          <w:p>
            <w:pPr>
              <w:spacing w:line="240" w:lineRule="exact"/>
              <w:rPr>
                <w:rFonts w:ascii="仿宋" w:hAnsi="仿宋" w:eastAsia="仿宋" w:cs="宋体"/>
                <w:color w:val="000000"/>
                <w:sz w:val="16"/>
                <w:szCs w:val="16"/>
              </w:rPr>
            </w:pPr>
          </w:p>
        </w:tc>
        <w:tc>
          <w:tcPr>
            <w:tcW w:w="1794" w:type="dxa"/>
            <w:gridSpan w:val="2"/>
            <w:vAlign w:val="center"/>
          </w:tcPr>
          <w:p>
            <w:pPr>
              <w:spacing w:line="240" w:lineRule="exact"/>
              <w:rPr>
                <w:rFonts w:ascii="仿宋" w:hAnsi="仿宋" w:eastAsia="仿宋" w:cs="宋体"/>
                <w:color w:val="000000"/>
                <w:sz w:val="16"/>
                <w:szCs w:val="16"/>
              </w:rPr>
            </w:pPr>
          </w:p>
        </w:tc>
        <w:tc>
          <w:tcPr>
            <w:tcW w:w="2568" w:type="dxa"/>
            <w:gridSpan w:val="2"/>
            <w:vAlign w:val="center"/>
          </w:tcPr>
          <w:p>
            <w:pPr>
              <w:widowControl/>
              <w:spacing w:line="240" w:lineRule="exact"/>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225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39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117.1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54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8.6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31.1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43.4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23.2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19.9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22.5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b/>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spacing w:line="240" w:lineRule="exact"/>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spacing w:line="240" w:lineRule="exact"/>
              <w:jc w:val="center"/>
              <w:rPr>
                <w:rFonts w:ascii="仿宋" w:hAnsi="仿宋" w:eastAsia="仿宋" w:cs="宋体"/>
                <w:b/>
                <w:color w:val="000000"/>
                <w:sz w:val="22"/>
                <w:szCs w:val="22"/>
              </w:rPr>
            </w:pPr>
            <w:r>
              <w:rPr>
                <w:rFonts w:hint="eastAsia" w:ascii="仿宋" w:hAnsi="仿宋" w:eastAsia="仿宋" w:cs="宋体"/>
                <w:b/>
                <w:color w:val="000000"/>
                <w:sz w:val="22"/>
                <w:szCs w:val="22"/>
              </w:rPr>
              <w:t>268.4</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39</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49.87</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4.66</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45.21</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11.83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33.38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58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58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46</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12</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ascii="仿宋" w:hAnsi="仿宋" w:eastAsia="仿宋" w:cs="宋体"/>
                <w:b/>
                <w:color w:val="FF0000"/>
                <w:kern w:val="0"/>
                <w:sz w:val="20"/>
                <w:szCs w:val="20"/>
              </w:rPr>
              <w:t>xx</w:t>
            </w:r>
            <w:r>
              <w:rPr>
                <w:rFonts w:hint="eastAsia" w:ascii="仿宋" w:hAnsi="仿宋" w:eastAsia="仿宋" w:cs="宋体"/>
                <w:b/>
                <w:color w:val="FF0000"/>
                <w:kern w:val="0"/>
                <w:sz w:val="20"/>
                <w:szCs w:val="20"/>
              </w:rPr>
              <w:t>厅（局）没有政府性基金收入，也没有使用政府性基金安排的支出，故本表无数据。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浉河区委办公室</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_GB2312" w:hAnsi="仿宋_GB2312" w:eastAsia="仿宋_GB2312" w:cs="仿宋_GB2312"/>
          <w:sz w:val="32"/>
          <w:szCs w:val="32"/>
        </w:rPr>
      </w:pP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一、关于收入支出预算总体情况说明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2018年度收入总计487.4万元，支出总计487.4万元，与2017年相比，收入减少21.98万元，支出减少21.98万元，下降5%。因为退休人员工资交养老所。</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二、关于收入预算情况说明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2018年度收入合计487.4万元，其中：财政拨款收入487.4万元，占100 %；事业收入0 万元，占 0 %；经营收入0万元，占 0 %；其他收入0万元，占0 %。</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三、关于支出预算情况说明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2018年度支出合计487.4万元，其中：基本支出307.4万元，占63%；项目支出180万元，占37%；经营支出0万元，占0%。</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四、关于财政拨款收入支出预算总体情况说明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2018年财政拨款收支总预算487.4万元。与2017年相比，财政拨款收、支总计减少21.98万元，下降5%。因退休人员工资交养老所。</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五、关于行政运行</w:t>
      </w:r>
      <w:r>
        <w:rPr>
          <w:rFonts w:hint="eastAsia" w:ascii="仿宋_GB2312" w:hAnsi="仿宋_GB2312" w:eastAsia="仿宋_GB2312" w:cs="仿宋_GB2312"/>
          <w:b/>
          <w:color w:val="000000"/>
          <w:kern w:val="0"/>
          <w:sz w:val="32"/>
          <w:szCs w:val="32"/>
        </w:rPr>
        <w:t>等支出预</w:t>
      </w:r>
      <w:r>
        <w:rPr>
          <w:rFonts w:hint="eastAsia" w:ascii="仿宋_GB2312" w:hAnsi="仿宋_GB2312" w:eastAsia="仿宋_GB2312" w:cs="仿宋_GB2312"/>
          <w:sz w:val="32"/>
          <w:szCs w:val="32"/>
        </w:rPr>
        <w:t>算情况说明</w:t>
      </w:r>
    </w:p>
    <w:p>
      <w:pPr>
        <w:numPr>
          <w:ilvl w:val="0"/>
          <w:numId w:val="3"/>
        </w:num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财政拨款支出预算总体情况。</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2018年行政运行</w:t>
      </w:r>
      <w:r>
        <w:rPr>
          <w:rFonts w:hint="eastAsia" w:ascii="仿宋_GB2312" w:hAnsi="仿宋_GB2312" w:eastAsia="仿宋_GB2312" w:cs="仿宋_GB2312"/>
          <w:bCs/>
          <w:color w:val="000000"/>
          <w:kern w:val="0"/>
          <w:sz w:val="32"/>
          <w:szCs w:val="32"/>
        </w:rPr>
        <w:t>等支出487.4</w:t>
      </w:r>
      <w:r>
        <w:rPr>
          <w:rFonts w:hint="eastAsia" w:ascii="仿宋_GB2312" w:hAnsi="仿宋_GB2312" w:eastAsia="仿宋_GB2312" w:cs="仿宋_GB2312"/>
          <w:bCs/>
          <w:sz w:val="32"/>
          <w:szCs w:val="32"/>
        </w:rPr>
        <w:t>万元，占支出合计的100%。与2017年相比，行政运行</w:t>
      </w:r>
      <w:r>
        <w:rPr>
          <w:rFonts w:hint="eastAsia" w:ascii="仿宋_GB2312" w:hAnsi="仿宋_GB2312" w:eastAsia="仿宋_GB2312" w:cs="仿宋_GB2312"/>
          <w:bCs/>
          <w:color w:val="000000"/>
          <w:kern w:val="0"/>
          <w:sz w:val="32"/>
          <w:szCs w:val="32"/>
        </w:rPr>
        <w:t>等支出</w:t>
      </w:r>
      <w:r>
        <w:rPr>
          <w:rFonts w:hint="eastAsia" w:ascii="仿宋_GB2312" w:hAnsi="仿宋_GB2312" w:eastAsia="仿宋_GB2312" w:cs="仿宋_GB2312"/>
          <w:sz w:val="32"/>
          <w:szCs w:val="32"/>
        </w:rPr>
        <w:t>减少21.98万元，下降5%。因退休人员工资交养老所。</w:t>
      </w:r>
    </w:p>
    <w:p>
      <w:pPr>
        <w:numPr>
          <w:ilvl w:val="0"/>
          <w:numId w:val="3"/>
        </w:num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财政拨款支出预算结构情况。</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2018年度行政运行</w:t>
      </w:r>
      <w:r>
        <w:rPr>
          <w:rFonts w:hint="eastAsia" w:ascii="仿宋_GB2312" w:hAnsi="仿宋_GB2312" w:eastAsia="仿宋_GB2312" w:cs="仿宋_GB2312"/>
          <w:bCs/>
          <w:color w:val="000000"/>
          <w:kern w:val="0"/>
          <w:sz w:val="32"/>
          <w:szCs w:val="32"/>
        </w:rPr>
        <w:t>等支出487.4</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Cs/>
          <w:spacing w:val="-1"/>
          <w:kern w:val="0"/>
          <w:sz w:val="32"/>
          <w:szCs w:val="32"/>
        </w:rPr>
        <w:t>人员经费268.4万元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_GB2312" w:hAnsi="仿宋_GB2312" w:eastAsia="仿宋_GB2312" w:cs="仿宋_GB2312"/>
          <w:b/>
          <w:spacing w:val="-1"/>
          <w:kern w:val="0"/>
          <w:sz w:val="32"/>
          <w:szCs w:val="32"/>
        </w:rPr>
        <w:t>公用经费39</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rPr>
        <w:t>，主要包括：办公费、印刷费、水费、电费、邮电费、物业管理费、差旅费、维修(护)费、会议费、公务接待费、劳务费、委托业务费、工会经费、其他交通费用、其他商品和服务支出。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58万元，其中：因公出国（境）费支出预算为0万元；公务用车购置及运行费支出预算为12万元；公务接待费支出预算为46万元。按逐年递减比去年减少1%。减少的主要原因是：2018年单位严格执行公务用车改革制度，包含车辆保险、维修费和加油费；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2018年度“三公”经费财政拨款支出预算中，因公出国（境）费支出预算0万元，占0%；公务用车购置及运行费支出预算12万元，公务接待费支出预算46万元，具体情况如下：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支出12万元。其中：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支出12万元。现有公务用车</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辆，主要用于车辆保险、维修和加油费。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支出46万元。其中：主要用于区委办公室日常的公务接待。</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2018年度政府性基金预算财政拨款支出年初预算为0万元，支出为0万元。</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2018年度机关运行经费预算支出255.17万元。主要用于办公费、印刷费、差旅费等支出。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2018年度政府采购支出预算总额9.7万元，其中：政府采购货物支出9.7万元，用于采购空调、电脑。</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关于预算绩效管理工作开展情况说明</w:t>
      </w:r>
    </w:p>
    <w:p>
      <w:pPr>
        <w:widowControl/>
        <w:spacing w:line="600" w:lineRule="exact"/>
        <w:ind w:firstLine="630"/>
        <w:jc w:val="left"/>
        <w:rPr>
          <w:rFonts w:eastAsia="仿宋_GB2312"/>
          <w:color w:val="000000"/>
          <w:kern w:val="0"/>
          <w:sz w:val="32"/>
          <w:szCs w:val="32"/>
        </w:rPr>
      </w:pPr>
      <w:r>
        <w:rPr>
          <w:rFonts w:hint="eastAsia" w:eastAsia="仿宋_GB2312"/>
          <w:color w:val="000000"/>
          <w:kern w:val="0"/>
          <w:sz w:val="32"/>
          <w:szCs w:val="32"/>
        </w:rPr>
        <w:t>浉河区委办公室2018年没有开展项目预算绩效评价。</w:t>
      </w:r>
    </w:p>
    <w:p>
      <w:pPr>
        <w:widowControl/>
        <w:spacing w:line="600" w:lineRule="exact"/>
        <w:ind w:firstLine="630"/>
        <w:jc w:val="left"/>
        <w:rPr>
          <w:rFonts w:eastAsia="仿宋_GB2312"/>
          <w:color w:val="000000"/>
          <w:kern w:val="0"/>
          <w:sz w:val="32"/>
          <w:szCs w:val="32"/>
        </w:rPr>
      </w:pPr>
    </w:p>
    <w:p>
      <w:pPr>
        <w:kinsoku w:val="0"/>
        <w:overflowPunct w:val="0"/>
        <w:autoSpaceDE w:val="0"/>
        <w:autoSpaceDN w:val="0"/>
        <w:adjustRightInd w:val="0"/>
        <w:snapToGrid w:val="0"/>
        <w:spacing w:line="360" w:lineRule="auto"/>
        <w:ind w:left="420" w:firstLine="320" w:firstLineChars="1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2017年期末，区委办公室共有车辆5辆，其中：一般公务用车4辆、特种专业技术用车1辆。</w:t>
      </w:r>
    </w:p>
    <w:p>
      <w:pPr>
        <w:widowControl/>
        <w:spacing w:line="600" w:lineRule="exact"/>
        <w:ind w:firstLine="630"/>
        <w:jc w:val="left"/>
        <w:rPr>
          <w:rFonts w:eastAsia="仿宋_GB2312"/>
          <w:color w:val="000000"/>
          <w:kern w:val="0"/>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FB5"/>
    <w:rsid w:val="002655D0"/>
    <w:rsid w:val="002A721A"/>
    <w:rsid w:val="002F4DAF"/>
    <w:rsid w:val="00336FCB"/>
    <w:rsid w:val="00376170"/>
    <w:rsid w:val="003B0059"/>
    <w:rsid w:val="003D011F"/>
    <w:rsid w:val="003E636C"/>
    <w:rsid w:val="00402C74"/>
    <w:rsid w:val="004C11C3"/>
    <w:rsid w:val="004D36BB"/>
    <w:rsid w:val="004F3C7C"/>
    <w:rsid w:val="0050293C"/>
    <w:rsid w:val="00503F16"/>
    <w:rsid w:val="005E126E"/>
    <w:rsid w:val="006307E4"/>
    <w:rsid w:val="00630D31"/>
    <w:rsid w:val="006727A8"/>
    <w:rsid w:val="006F22F7"/>
    <w:rsid w:val="007115FD"/>
    <w:rsid w:val="00731FE8"/>
    <w:rsid w:val="00743248"/>
    <w:rsid w:val="00761532"/>
    <w:rsid w:val="00787823"/>
    <w:rsid w:val="007956F5"/>
    <w:rsid w:val="007A304E"/>
    <w:rsid w:val="007B72EA"/>
    <w:rsid w:val="007F7F87"/>
    <w:rsid w:val="008616FA"/>
    <w:rsid w:val="009B6CAD"/>
    <w:rsid w:val="00A77C36"/>
    <w:rsid w:val="00AB7377"/>
    <w:rsid w:val="00AE7787"/>
    <w:rsid w:val="00AF6D5F"/>
    <w:rsid w:val="00AF7B15"/>
    <w:rsid w:val="00B12B50"/>
    <w:rsid w:val="00B54309"/>
    <w:rsid w:val="00B74243"/>
    <w:rsid w:val="00B84FB0"/>
    <w:rsid w:val="00BA37FF"/>
    <w:rsid w:val="00BC30E8"/>
    <w:rsid w:val="00BC5210"/>
    <w:rsid w:val="00BE4CA5"/>
    <w:rsid w:val="00BF3D6F"/>
    <w:rsid w:val="00BF74B7"/>
    <w:rsid w:val="00C26F86"/>
    <w:rsid w:val="00C57D7B"/>
    <w:rsid w:val="00C6444A"/>
    <w:rsid w:val="00CD4933"/>
    <w:rsid w:val="00CE033F"/>
    <w:rsid w:val="00D21FAE"/>
    <w:rsid w:val="00D9092F"/>
    <w:rsid w:val="00DB1C77"/>
    <w:rsid w:val="00DD5457"/>
    <w:rsid w:val="00E11F42"/>
    <w:rsid w:val="00E21B07"/>
    <w:rsid w:val="00E32E02"/>
    <w:rsid w:val="00E4707A"/>
    <w:rsid w:val="00E8190D"/>
    <w:rsid w:val="00E92067"/>
    <w:rsid w:val="00ED38A5"/>
    <w:rsid w:val="00ED44BB"/>
    <w:rsid w:val="00ED7D42"/>
    <w:rsid w:val="00EE6AA4"/>
    <w:rsid w:val="00F92F65"/>
    <w:rsid w:val="00FB0B96"/>
    <w:rsid w:val="00FB779C"/>
    <w:rsid w:val="01F21A60"/>
    <w:rsid w:val="026651AD"/>
    <w:rsid w:val="027033B1"/>
    <w:rsid w:val="03240ECA"/>
    <w:rsid w:val="04453648"/>
    <w:rsid w:val="07F31BEE"/>
    <w:rsid w:val="084D7413"/>
    <w:rsid w:val="08A93228"/>
    <w:rsid w:val="08FB3159"/>
    <w:rsid w:val="09BB2134"/>
    <w:rsid w:val="0C366EEC"/>
    <w:rsid w:val="0E9E4588"/>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0A11B90"/>
    <w:rsid w:val="325F6EF2"/>
    <w:rsid w:val="32EF005E"/>
    <w:rsid w:val="32EF40CE"/>
    <w:rsid w:val="33A76F4E"/>
    <w:rsid w:val="343D38DE"/>
    <w:rsid w:val="34416F30"/>
    <w:rsid w:val="364D690A"/>
    <w:rsid w:val="36FA2471"/>
    <w:rsid w:val="372974AC"/>
    <w:rsid w:val="38262F47"/>
    <w:rsid w:val="39637962"/>
    <w:rsid w:val="39765334"/>
    <w:rsid w:val="39967F15"/>
    <w:rsid w:val="3AE023B0"/>
    <w:rsid w:val="3AE7177F"/>
    <w:rsid w:val="3C5769C0"/>
    <w:rsid w:val="3EA437AD"/>
    <w:rsid w:val="3EEE22CD"/>
    <w:rsid w:val="3F081D17"/>
    <w:rsid w:val="3FCD07F4"/>
    <w:rsid w:val="40B138B6"/>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6DB5B25"/>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46592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 w:val="7F107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30FA8-6E8F-4C1B-93BC-9149F11971E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1729</Words>
  <Characters>9856</Characters>
  <Lines>82</Lines>
  <Paragraphs>23</Paragraphs>
  <TotalTime>20</TotalTime>
  <ScaleCrop>false</ScaleCrop>
  <LinksUpToDate>false</LinksUpToDate>
  <CharactersWithSpaces>11562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2019-02-14T01:34:34Z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