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b/>
          <w:bCs/>
          <w:sz w:val="52"/>
          <w:szCs w:val="52"/>
        </w:rPr>
      </w:pPr>
    </w:p>
    <w:p>
      <w:pPr>
        <w:jc w:val="center"/>
        <w:rPr>
          <w:rFonts w:hint="eastAsia" w:ascii="仿宋" w:hAnsi="仿宋" w:eastAsia="仿宋" w:cs="仿宋"/>
          <w:b/>
          <w:bCs/>
          <w:sz w:val="44"/>
          <w:szCs w:val="44"/>
        </w:rPr>
      </w:pPr>
      <w:r>
        <w:rPr>
          <w:rFonts w:hint="eastAsia" w:ascii="仿宋" w:hAnsi="仿宋" w:eastAsia="仿宋" w:cs="仿宋"/>
          <w:b/>
          <w:bCs/>
          <w:sz w:val="44"/>
          <w:szCs w:val="44"/>
          <w:lang w:eastAsia="zh-CN"/>
        </w:rPr>
        <w:t>浉河区林业</w:t>
      </w:r>
      <w:r>
        <w:rPr>
          <w:rFonts w:hint="eastAsia" w:ascii="仿宋" w:hAnsi="仿宋" w:eastAsia="仿宋" w:cs="仿宋"/>
          <w:b/>
          <w:bCs/>
          <w:sz w:val="44"/>
          <w:szCs w:val="44"/>
        </w:rPr>
        <w:t>局</w:t>
      </w:r>
    </w:p>
    <w:p>
      <w:pPr>
        <w:jc w:val="center"/>
        <w:rPr>
          <w:rFonts w:hint="eastAsia" w:ascii="仿宋" w:hAnsi="仿宋" w:eastAsia="仿宋" w:cs="仿宋"/>
          <w:b/>
          <w:bCs/>
          <w:sz w:val="44"/>
          <w:szCs w:val="44"/>
        </w:rPr>
      </w:pPr>
    </w:p>
    <w:p>
      <w:pPr>
        <w:jc w:val="center"/>
        <w:rPr>
          <w:rFonts w:hint="eastAsia" w:ascii="仿宋" w:hAnsi="仿宋" w:eastAsia="仿宋" w:cs="仿宋"/>
          <w:b/>
          <w:bCs/>
          <w:sz w:val="44"/>
          <w:szCs w:val="44"/>
        </w:rPr>
        <w:sectPr>
          <w:pgSz w:w="11906" w:h="16838"/>
          <w:pgMar w:top="1440" w:right="1800" w:bottom="1440" w:left="1800" w:header="851" w:footer="992" w:gutter="0"/>
          <w:pgNumType w:fmt="numberInDash" w:start="1"/>
          <w:cols w:space="425" w:num="1"/>
          <w:docGrid w:type="lines" w:linePitch="312" w:charSpace="0"/>
        </w:sectPr>
      </w:pPr>
      <w:r>
        <w:rPr>
          <w:rFonts w:hint="eastAsia" w:ascii="仿宋" w:hAnsi="仿宋" w:eastAsia="仿宋" w:cs="仿宋"/>
          <w:b/>
          <w:bCs/>
          <w:sz w:val="44"/>
          <w:szCs w:val="44"/>
          <w:lang w:eastAsia="zh-CN"/>
        </w:rPr>
        <w:t>2017</w:t>
      </w:r>
      <w:r>
        <w:rPr>
          <w:rFonts w:hint="eastAsia" w:ascii="仿宋" w:hAnsi="仿宋" w:eastAsia="仿宋" w:cs="仿宋"/>
          <w:b/>
          <w:bCs/>
          <w:sz w:val="44"/>
          <w:szCs w:val="44"/>
        </w:rPr>
        <w:t>年度部门决算</w:t>
      </w:r>
    </w:p>
    <w:p>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jc w:val="left"/>
        <w:rPr>
          <w:rFonts w:hint="eastAsia" w:ascii="仿宋" w:hAnsi="仿宋" w:eastAsia="仿宋" w:cs="仿宋"/>
          <w:b/>
          <w:bCs/>
          <w:sz w:val="32"/>
          <w:szCs w:val="32"/>
        </w:rPr>
      </w:pPr>
      <w:r>
        <w:rPr>
          <w:rFonts w:hint="eastAsia" w:ascii="仿宋" w:hAnsi="仿宋" w:eastAsia="仿宋" w:cs="仿宋"/>
          <w:b/>
          <w:bCs/>
          <w:sz w:val="32"/>
          <w:szCs w:val="32"/>
        </w:rPr>
        <w:t>第一部分　　</w:t>
      </w:r>
      <w:r>
        <w:rPr>
          <w:rFonts w:hint="eastAsia" w:ascii="仿宋" w:hAnsi="仿宋" w:eastAsia="仿宋" w:cs="仿宋"/>
          <w:b/>
          <w:bCs/>
          <w:sz w:val="32"/>
          <w:szCs w:val="32"/>
          <w:lang w:eastAsia="zh-CN"/>
        </w:rPr>
        <w:t>浉河区林业</w:t>
      </w:r>
      <w:r>
        <w:rPr>
          <w:rFonts w:hint="eastAsia" w:ascii="仿宋" w:hAnsi="仿宋" w:eastAsia="仿宋" w:cs="仿宋"/>
          <w:b/>
          <w:bCs/>
          <w:sz w:val="32"/>
          <w:szCs w:val="32"/>
        </w:rPr>
        <w:t>局概况</w:t>
      </w:r>
    </w:p>
    <w:p>
      <w:pPr>
        <w:numPr>
          <w:ilvl w:val="0"/>
          <w:numId w:val="1"/>
        </w:numPr>
        <w:jc w:val="left"/>
        <w:rPr>
          <w:rFonts w:hint="eastAsia" w:ascii="仿宋" w:hAnsi="仿宋" w:eastAsia="仿宋" w:cs="仿宋"/>
          <w:sz w:val="32"/>
          <w:szCs w:val="32"/>
        </w:rPr>
      </w:pPr>
      <w:r>
        <w:rPr>
          <w:rFonts w:hint="eastAsia" w:ascii="仿宋" w:hAnsi="仿宋" w:eastAsia="仿宋" w:cs="仿宋"/>
          <w:sz w:val="32"/>
          <w:szCs w:val="32"/>
        </w:rPr>
        <w:t>主要职能</w:t>
      </w:r>
    </w:p>
    <w:p>
      <w:pPr>
        <w:numPr>
          <w:ilvl w:val="0"/>
          <w:numId w:val="1"/>
        </w:numPr>
        <w:jc w:val="left"/>
        <w:rPr>
          <w:rFonts w:hint="eastAsia" w:ascii="仿宋" w:hAnsi="仿宋" w:eastAsia="仿宋" w:cs="仿宋"/>
          <w:sz w:val="32"/>
          <w:szCs w:val="32"/>
        </w:rPr>
      </w:pPr>
      <w:r>
        <w:rPr>
          <w:rFonts w:hint="eastAsia" w:ascii="仿宋" w:hAnsi="仿宋" w:eastAsia="仿宋" w:cs="仿宋"/>
          <w:sz w:val="32"/>
          <w:szCs w:val="32"/>
        </w:rPr>
        <w:t>部门决算单位构成</w:t>
      </w:r>
    </w:p>
    <w:p>
      <w:pPr>
        <w:jc w:val="left"/>
        <w:rPr>
          <w:rFonts w:hint="eastAsia" w:ascii="仿宋" w:hAnsi="仿宋" w:eastAsia="仿宋" w:cs="仿宋"/>
          <w:b/>
          <w:bCs/>
          <w:sz w:val="32"/>
          <w:szCs w:val="32"/>
          <w:lang w:eastAsia="zh-CN"/>
        </w:rPr>
      </w:pPr>
      <w:r>
        <w:rPr>
          <w:rFonts w:hint="eastAsia" w:ascii="仿宋" w:hAnsi="仿宋" w:eastAsia="仿宋" w:cs="仿宋"/>
          <w:b/>
          <w:bCs/>
          <w:sz w:val="32"/>
          <w:szCs w:val="32"/>
        </w:rPr>
        <w:t>第二部分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浉河区林业</w:t>
      </w:r>
      <w:r>
        <w:rPr>
          <w:rFonts w:hint="eastAsia" w:ascii="仿宋" w:hAnsi="仿宋" w:eastAsia="仿宋" w:cs="仿宋"/>
          <w:b/>
          <w:bCs/>
          <w:sz w:val="32"/>
          <w:szCs w:val="32"/>
        </w:rPr>
        <w:t>局</w:t>
      </w:r>
      <w:r>
        <w:rPr>
          <w:rFonts w:hint="eastAsia" w:ascii="仿宋" w:hAnsi="仿宋" w:eastAsia="仿宋" w:cs="仿宋"/>
          <w:b/>
          <w:bCs/>
          <w:sz w:val="32"/>
          <w:szCs w:val="32"/>
          <w:lang w:eastAsia="zh-CN"/>
        </w:rPr>
        <w:t>2017</w:t>
      </w:r>
      <w:r>
        <w:rPr>
          <w:rFonts w:hint="eastAsia" w:ascii="仿宋" w:hAnsi="仿宋" w:eastAsia="仿宋" w:cs="仿宋"/>
          <w:b/>
          <w:bCs/>
          <w:sz w:val="32"/>
          <w:szCs w:val="32"/>
        </w:rPr>
        <w:t>年度部门决算</w:t>
      </w:r>
      <w:r>
        <w:rPr>
          <w:rFonts w:hint="eastAsia" w:ascii="仿宋" w:hAnsi="仿宋" w:eastAsia="仿宋" w:cs="仿宋"/>
          <w:b/>
          <w:bCs/>
          <w:sz w:val="32"/>
          <w:szCs w:val="32"/>
          <w:lang w:eastAsia="zh-CN"/>
        </w:rPr>
        <w:t>情况说明</w:t>
      </w:r>
    </w:p>
    <w:p>
      <w:pPr>
        <w:jc w:val="left"/>
        <w:rPr>
          <w:rFonts w:hint="eastAsia" w:ascii="仿宋" w:hAnsi="仿宋" w:eastAsia="仿宋" w:cs="仿宋"/>
          <w:sz w:val="32"/>
          <w:szCs w:val="32"/>
          <w:lang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关于</w:t>
      </w:r>
      <w:r>
        <w:rPr>
          <w:rFonts w:hint="eastAsia" w:ascii="仿宋" w:hAnsi="仿宋" w:eastAsia="仿宋" w:cs="仿宋"/>
          <w:sz w:val="32"/>
          <w:szCs w:val="32"/>
        </w:rPr>
        <w:t>收入支出决算</w:t>
      </w:r>
      <w:r>
        <w:rPr>
          <w:rFonts w:hint="eastAsia" w:ascii="仿宋" w:hAnsi="仿宋" w:eastAsia="仿宋" w:cs="仿宋"/>
          <w:sz w:val="32"/>
          <w:szCs w:val="32"/>
          <w:lang w:eastAsia="zh-CN"/>
        </w:rPr>
        <w:t>总体情况说明</w:t>
      </w:r>
    </w:p>
    <w:p>
      <w:pPr>
        <w:jc w:val="left"/>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关于</w:t>
      </w:r>
      <w:r>
        <w:rPr>
          <w:rFonts w:hint="eastAsia" w:ascii="仿宋" w:hAnsi="仿宋" w:eastAsia="仿宋" w:cs="仿宋"/>
          <w:sz w:val="32"/>
          <w:szCs w:val="32"/>
        </w:rPr>
        <w:t>收入决算表</w:t>
      </w:r>
      <w:r>
        <w:rPr>
          <w:rFonts w:hint="eastAsia" w:ascii="仿宋" w:hAnsi="仿宋" w:eastAsia="仿宋" w:cs="仿宋"/>
          <w:sz w:val="32"/>
          <w:szCs w:val="32"/>
          <w:lang w:eastAsia="zh-CN"/>
        </w:rPr>
        <w:t>情况说明</w:t>
      </w:r>
    </w:p>
    <w:p>
      <w:pPr>
        <w:jc w:val="left"/>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eastAsia="zh-CN"/>
        </w:rPr>
        <w:t>关于</w:t>
      </w:r>
      <w:r>
        <w:rPr>
          <w:rFonts w:hint="eastAsia" w:ascii="仿宋" w:hAnsi="仿宋" w:eastAsia="仿宋" w:cs="仿宋"/>
          <w:sz w:val="32"/>
          <w:szCs w:val="32"/>
        </w:rPr>
        <w:t>支出决算表</w:t>
      </w:r>
      <w:r>
        <w:rPr>
          <w:rFonts w:hint="eastAsia" w:ascii="仿宋" w:hAnsi="仿宋" w:eastAsia="仿宋" w:cs="仿宋"/>
          <w:sz w:val="32"/>
          <w:szCs w:val="32"/>
          <w:lang w:eastAsia="zh-CN"/>
        </w:rPr>
        <w:t>情况说明</w:t>
      </w:r>
    </w:p>
    <w:p>
      <w:pPr>
        <w:jc w:val="left"/>
        <w:rPr>
          <w:rFonts w:hint="eastAsia" w:ascii="仿宋" w:hAnsi="仿宋" w:eastAsia="仿宋" w:cs="仿宋"/>
          <w:sz w:val="32"/>
          <w:szCs w:val="32"/>
          <w:lang w:eastAsia="zh-CN"/>
        </w:rPr>
      </w:pPr>
      <w:r>
        <w:rPr>
          <w:rFonts w:hint="eastAsia" w:ascii="仿宋" w:hAnsi="仿宋" w:eastAsia="仿宋" w:cs="仿宋"/>
          <w:sz w:val="32"/>
          <w:szCs w:val="32"/>
        </w:rPr>
        <w:t>四、</w:t>
      </w:r>
      <w:r>
        <w:rPr>
          <w:rFonts w:hint="eastAsia" w:ascii="仿宋" w:hAnsi="仿宋" w:eastAsia="仿宋" w:cs="仿宋"/>
          <w:sz w:val="32"/>
          <w:szCs w:val="32"/>
          <w:lang w:eastAsia="zh-CN"/>
        </w:rPr>
        <w:t>关于</w:t>
      </w:r>
      <w:r>
        <w:rPr>
          <w:rFonts w:hint="eastAsia" w:ascii="仿宋" w:hAnsi="仿宋" w:eastAsia="仿宋" w:cs="仿宋"/>
          <w:sz w:val="32"/>
          <w:szCs w:val="32"/>
        </w:rPr>
        <w:t>财政拨款收入支出决算总</w:t>
      </w:r>
      <w:r>
        <w:rPr>
          <w:rFonts w:hint="eastAsia" w:ascii="仿宋" w:hAnsi="仿宋" w:eastAsia="仿宋" w:cs="仿宋"/>
          <w:sz w:val="32"/>
          <w:szCs w:val="32"/>
          <w:lang w:eastAsia="zh-CN"/>
        </w:rPr>
        <w:t>体情况说明</w:t>
      </w:r>
    </w:p>
    <w:p>
      <w:pPr>
        <w:jc w:val="left"/>
        <w:rPr>
          <w:rFonts w:hint="eastAsia"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z w:val="32"/>
          <w:szCs w:val="32"/>
          <w:lang w:eastAsia="zh-CN"/>
        </w:rPr>
        <w:t>关于</w:t>
      </w:r>
      <w:r>
        <w:rPr>
          <w:rFonts w:hint="eastAsia" w:ascii="仿宋" w:hAnsi="仿宋" w:eastAsia="仿宋" w:cs="仿宋"/>
          <w:sz w:val="32"/>
          <w:szCs w:val="32"/>
        </w:rPr>
        <w:t>一般公共预算财政拨款支出决算</w:t>
      </w:r>
      <w:r>
        <w:rPr>
          <w:rFonts w:hint="eastAsia" w:ascii="仿宋" w:hAnsi="仿宋" w:eastAsia="仿宋" w:cs="仿宋"/>
          <w:sz w:val="32"/>
          <w:szCs w:val="32"/>
          <w:lang w:eastAsia="zh-CN"/>
        </w:rPr>
        <w:t>情况说明</w:t>
      </w:r>
    </w:p>
    <w:p>
      <w:pPr>
        <w:jc w:val="left"/>
        <w:rPr>
          <w:rFonts w:hint="eastAsia" w:ascii="仿宋" w:hAnsi="仿宋" w:eastAsia="仿宋" w:cs="仿宋"/>
          <w:sz w:val="32"/>
          <w:szCs w:val="32"/>
        </w:rPr>
      </w:pPr>
      <w:r>
        <w:rPr>
          <w:rFonts w:hint="eastAsia" w:ascii="仿宋" w:hAnsi="仿宋" w:eastAsia="仿宋" w:cs="仿宋"/>
          <w:sz w:val="32"/>
          <w:szCs w:val="32"/>
        </w:rPr>
        <w:t>六、</w:t>
      </w:r>
      <w:r>
        <w:rPr>
          <w:rFonts w:hint="eastAsia" w:ascii="仿宋" w:hAnsi="仿宋" w:eastAsia="仿宋" w:cs="仿宋"/>
          <w:sz w:val="32"/>
          <w:szCs w:val="32"/>
          <w:lang w:eastAsia="zh-CN"/>
        </w:rPr>
        <w:t>关于</w:t>
      </w:r>
      <w:r>
        <w:rPr>
          <w:rFonts w:hint="eastAsia" w:ascii="仿宋" w:hAnsi="仿宋" w:eastAsia="仿宋" w:cs="仿宋"/>
          <w:sz w:val="32"/>
          <w:szCs w:val="32"/>
        </w:rPr>
        <w:t>一般公共预算财政拨款基本支出决算</w:t>
      </w:r>
      <w:r>
        <w:rPr>
          <w:rFonts w:hint="eastAsia" w:ascii="仿宋" w:hAnsi="仿宋" w:eastAsia="仿宋" w:cs="仿宋"/>
          <w:sz w:val="32"/>
          <w:szCs w:val="32"/>
          <w:lang w:eastAsia="zh-CN"/>
        </w:rPr>
        <w:t>情况说明</w:t>
      </w:r>
    </w:p>
    <w:p>
      <w:pPr>
        <w:jc w:val="left"/>
        <w:rPr>
          <w:rFonts w:hint="eastAsia" w:ascii="仿宋" w:hAnsi="仿宋" w:eastAsia="仿宋" w:cs="仿宋"/>
          <w:sz w:val="32"/>
          <w:szCs w:val="32"/>
        </w:rPr>
      </w:pPr>
      <w:r>
        <w:rPr>
          <w:rFonts w:hint="eastAsia" w:ascii="仿宋" w:hAnsi="仿宋" w:eastAsia="仿宋" w:cs="仿宋"/>
          <w:sz w:val="32"/>
          <w:szCs w:val="32"/>
        </w:rPr>
        <w:t>七、</w:t>
      </w:r>
      <w:r>
        <w:rPr>
          <w:rFonts w:hint="eastAsia" w:ascii="仿宋" w:hAnsi="仿宋" w:eastAsia="仿宋" w:cs="仿宋"/>
          <w:sz w:val="32"/>
          <w:szCs w:val="32"/>
          <w:lang w:eastAsia="zh-CN"/>
        </w:rPr>
        <w:t>关于</w:t>
      </w:r>
      <w:r>
        <w:rPr>
          <w:rFonts w:hint="eastAsia" w:ascii="仿宋" w:hAnsi="仿宋" w:eastAsia="仿宋" w:cs="仿宋"/>
          <w:sz w:val="32"/>
          <w:szCs w:val="32"/>
        </w:rPr>
        <w:t>一般公共预算财政拨款“三公”经费支出决算</w:t>
      </w:r>
      <w:r>
        <w:rPr>
          <w:rFonts w:hint="eastAsia" w:ascii="仿宋" w:hAnsi="仿宋" w:eastAsia="仿宋" w:cs="仿宋"/>
          <w:sz w:val="32"/>
          <w:szCs w:val="32"/>
          <w:lang w:eastAsia="zh-CN"/>
        </w:rPr>
        <w:t>情况说明</w:t>
      </w:r>
    </w:p>
    <w:p>
      <w:pPr>
        <w:jc w:val="left"/>
        <w:rPr>
          <w:rFonts w:hint="eastAsia" w:ascii="仿宋" w:hAnsi="仿宋" w:eastAsia="仿宋" w:cs="仿宋"/>
          <w:sz w:val="32"/>
          <w:szCs w:val="32"/>
        </w:rPr>
      </w:pPr>
      <w:r>
        <w:rPr>
          <w:rFonts w:hint="eastAsia" w:ascii="仿宋" w:hAnsi="仿宋" w:eastAsia="仿宋" w:cs="仿宋"/>
          <w:sz w:val="32"/>
          <w:szCs w:val="32"/>
        </w:rPr>
        <w:t>八、</w:t>
      </w:r>
      <w:r>
        <w:rPr>
          <w:rFonts w:hint="eastAsia" w:ascii="仿宋" w:hAnsi="仿宋" w:eastAsia="仿宋" w:cs="仿宋"/>
          <w:sz w:val="32"/>
          <w:szCs w:val="32"/>
          <w:lang w:eastAsia="zh-CN"/>
        </w:rPr>
        <w:t>关于预算绩效情况说明</w:t>
      </w:r>
    </w:p>
    <w:p>
      <w:pPr>
        <w:jc w:val="left"/>
        <w:rPr>
          <w:rFonts w:hint="eastAsia" w:ascii="仿宋" w:hAnsi="仿宋" w:eastAsia="仿宋" w:cs="仿宋"/>
          <w:sz w:val="32"/>
          <w:szCs w:val="32"/>
        </w:rPr>
      </w:pPr>
      <w:r>
        <w:rPr>
          <w:rFonts w:hint="eastAsia" w:ascii="仿宋" w:hAnsi="仿宋" w:eastAsia="仿宋" w:cs="仿宋"/>
          <w:sz w:val="32"/>
          <w:szCs w:val="32"/>
          <w:lang w:eastAsia="zh-CN"/>
        </w:rPr>
        <w:t>九、关于</w:t>
      </w:r>
      <w:r>
        <w:rPr>
          <w:rFonts w:hint="eastAsia" w:ascii="仿宋" w:hAnsi="仿宋" w:eastAsia="仿宋" w:cs="仿宋"/>
          <w:sz w:val="32"/>
          <w:szCs w:val="32"/>
        </w:rPr>
        <w:t>政府性基金预算财政拨款收入支出决算</w:t>
      </w:r>
      <w:r>
        <w:rPr>
          <w:rFonts w:hint="eastAsia" w:ascii="仿宋" w:hAnsi="仿宋" w:eastAsia="仿宋" w:cs="仿宋"/>
          <w:sz w:val="32"/>
          <w:szCs w:val="32"/>
          <w:lang w:eastAsia="zh-CN"/>
        </w:rPr>
        <w:t>情况说明</w:t>
      </w:r>
    </w:p>
    <w:p>
      <w:pPr>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十、其他重要事项情况说明</w:t>
      </w:r>
    </w:p>
    <w:p>
      <w:pPr>
        <w:pStyle w:val="4"/>
        <w:widowControl/>
        <w:spacing w:line="315" w:lineRule="atLeast"/>
        <w:ind w:right="522"/>
        <w:jc w:val="both"/>
        <w:rPr>
          <w:rFonts w:hint="eastAsia" w:ascii="仿宋_GB2312" w:hAnsi="仿宋_GB2312"/>
          <w:sz w:val="32"/>
          <w:szCs w:val="32"/>
          <w:lang w:val="en-US" w:eastAsia="zh-CN"/>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三</w:t>
      </w:r>
      <w:r>
        <w:rPr>
          <w:rFonts w:hint="eastAsia" w:ascii="仿宋" w:hAnsi="仿宋" w:eastAsia="仿宋" w:cs="仿宋"/>
          <w:b/>
          <w:bCs/>
          <w:sz w:val="32"/>
          <w:szCs w:val="32"/>
        </w:rPr>
        <w:t>部分　　名词解释</w:t>
      </w:r>
    </w:p>
    <w:p>
      <w:pPr>
        <w:pStyle w:val="4"/>
        <w:widowControl/>
        <w:spacing w:line="315" w:lineRule="atLeast"/>
        <w:ind w:left="102" w:right="522" w:firstLine="641"/>
        <w:jc w:val="both"/>
        <w:rPr>
          <w:rFonts w:hint="eastAsia" w:ascii="仿宋_GB2312" w:hAnsi="仿宋_GB2312"/>
          <w:sz w:val="32"/>
          <w:szCs w:val="32"/>
          <w:lang w:val="en-US" w:eastAsia="zh-CN"/>
        </w:rPr>
      </w:pPr>
    </w:p>
    <w:p>
      <w:pPr>
        <w:pStyle w:val="4"/>
        <w:widowControl/>
        <w:spacing w:line="315" w:lineRule="atLeast"/>
        <w:ind w:left="102" w:right="522" w:firstLine="641"/>
        <w:jc w:val="both"/>
        <w:rPr>
          <w:rFonts w:hint="eastAsia" w:ascii="仿宋_GB2312" w:hAnsi="仿宋_GB2312"/>
          <w:sz w:val="32"/>
          <w:szCs w:val="32"/>
          <w:lang w:val="en-US" w:eastAsia="zh-CN"/>
        </w:rPr>
      </w:pPr>
    </w:p>
    <w:p>
      <w:pPr>
        <w:pStyle w:val="4"/>
        <w:widowControl/>
        <w:spacing w:line="315" w:lineRule="atLeast"/>
        <w:ind w:left="102" w:right="522" w:firstLine="641"/>
        <w:jc w:val="both"/>
        <w:rPr>
          <w:rFonts w:hint="eastAsia" w:ascii="仿宋_GB2312" w:hAnsi="仿宋_GB2312"/>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spacing w:line="315" w:lineRule="atLeast"/>
        <w:ind w:left="102" w:right="522" w:firstLine="3550" w:firstLineChars="1105"/>
        <w:jc w:val="both"/>
        <w:textAlignment w:val="auto"/>
        <w:outlineLvl w:val="9"/>
        <w:rPr>
          <w:rFonts w:hint="eastAsia" w:ascii="仿宋_GB2312" w:hAnsi="仿宋_GB2312" w:eastAsiaTheme="minorEastAsia"/>
          <w:b/>
          <w:bCs/>
          <w:sz w:val="32"/>
          <w:szCs w:val="32"/>
          <w:lang w:val="en-US" w:eastAsia="zh-CN"/>
        </w:rPr>
      </w:pPr>
      <w:r>
        <w:rPr>
          <w:rFonts w:ascii="仿宋_GB2312" w:hAnsi="仿宋_GB2312"/>
          <w:b/>
          <w:bCs/>
          <w:sz w:val="32"/>
          <w:szCs w:val="32"/>
        </w:rPr>
        <w:t>第一部分</w:t>
      </w:r>
      <w:r>
        <w:rPr>
          <w:rFonts w:hint="eastAsia" w:ascii="仿宋_GB2312" w:hAnsi="仿宋_GB2312"/>
          <w:b/>
          <w:bCs/>
          <w:sz w:val="32"/>
          <w:szCs w:val="32"/>
          <w:lang w:val="en-US" w:eastAsia="zh-CN"/>
        </w:rPr>
        <w:tab/>
      </w:r>
      <w:r>
        <w:rPr>
          <w:rFonts w:hint="eastAsia" w:ascii="仿宋_GB2312" w:hAnsi="仿宋_GB2312"/>
          <w:b/>
          <w:bCs/>
          <w:sz w:val="32"/>
          <w:szCs w:val="32"/>
          <w:lang w:val="en-US" w:eastAsia="zh-CN"/>
        </w:rPr>
        <w:tab/>
      </w:r>
      <w:r>
        <w:rPr>
          <w:rFonts w:hint="eastAsia" w:ascii="仿宋_GB2312" w:hAnsi="仿宋_GB2312"/>
          <w:b/>
          <w:bCs/>
          <w:sz w:val="32"/>
          <w:szCs w:val="32"/>
          <w:lang w:val="en-US" w:eastAsia="zh-CN"/>
        </w:rPr>
        <w:tab/>
      </w:r>
    </w:p>
    <w:p>
      <w:pPr>
        <w:pStyle w:val="4"/>
        <w:widowControl/>
        <w:spacing w:line="315" w:lineRule="atLeast"/>
        <w:jc w:val="center"/>
        <w:rPr>
          <w:rFonts w:ascii="仿宋_GB2312" w:hAnsi="仿宋_GB2312"/>
          <w:b/>
          <w:bCs/>
          <w:sz w:val="32"/>
          <w:szCs w:val="32"/>
        </w:rPr>
      </w:pPr>
      <w:r>
        <w:rPr>
          <w:rFonts w:ascii="仿宋_GB2312" w:hAnsi="仿宋_GB2312"/>
          <w:b/>
          <w:bCs/>
          <w:sz w:val="32"/>
          <w:szCs w:val="32"/>
        </w:rPr>
        <w:t>浉河区林业局概况</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15" w:lineRule="atLeast"/>
        <w:ind w:left="0"/>
        <w:jc w:val="both"/>
        <w:textAlignment w:val="auto"/>
        <w:rPr>
          <w:rFonts w:ascii="仿宋_GB2312" w:hAnsi="仿宋_GB2312"/>
          <w:b/>
          <w:bCs/>
          <w:sz w:val="32"/>
          <w:szCs w:val="32"/>
        </w:rPr>
      </w:pPr>
      <w:bookmarkStart w:id="0" w:name="_GoBack"/>
      <w:r>
        <w:rPr>
          <w:rFonts w:ascii="仿宋_GB2312" w:hAnsi="仿宋_GB2312"/>
          <w:b/>
          <w:bCs/>
          <w:sz w:val="32"/>
          <w:szCs w:val="32"/>
        </w:rPr>
        <w:t>一、浉河区林业局主要职责</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15" w:lineRule="atLeast"/>
        <w:ind w:left="0" w:firstLine="640" w:firstLineChars="200"/>
        <w:jc w:val="left"/>
        <w:textAlignment w:val="auto"/>
        <w:outlineLvl w:val="9"/>
        <w:rPr>
          <w:rFonts w:ascii="仿宋_GB2312" w:hAnsi="仿宋_GB2312"/>
          <w:sz w:val="32"/>
          <w:szCs w:val="32"/>
        </w:rPr>
      </w:pPr>
      <w:r>
        <w:rPr>
          <w:rFonts w:ascii="仿宋_GB2312" w:hAnsi="仿宋_GB2312"/>
          <w:sz w:val="32"/>
          <w:szCs w:val="32"/>
        </w:rPr>
        <w:t>(一)贯彻执行《森林法》及党和国家发展林业和生态环境建设的方针、政策、法律、法规，制定全区林业发展规划、计划、代表政府组织实施并依法检查督促贯彻执行情况，承担林业生态文明建设的有关工作。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15" w:lineRule="atLeast"/>
        <w:ind w:left="0" w:firstLine="640" w:firstLineChars="200"/>
        <w:jc w:val="left"/>
        <w:textAlignment w:val="auto"/>
        <w:outlineLvl w:val="9"/>
        <w:rPr>
          <w:rFonts w:ascii="仿宋_GB2312" w:hAnsi="仿宋_GB2312"/>
          <w:sz w:val="32"/>
          <w:szCs w:val="32"/>
        </w:rPr>
      </w:pPr>
      <w:r>
        <w:rPr>
          <w:rFonts w:ascii="仿宋_GB2312" w:hAnsi="仿宋_GB2312"/>
          <w:sz w:val="32"/>
          <w:szCs w:val="32"/>
        </w:rPr>
        <w:t>(二)组织、协调、指导和监督全区造林绿化工作。承担浉河区绿化委员会的日常工作。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15" w:lineRule="atLeast"/>
        <w:ind w:left="0" w:firstLine="640" w:firstLineChars="200"/>
        <w:jc w:val="left"/>
        <w:textAlignment w:val="auto"/>
        <w:outlineLvl w:val="9"/>
        <w:rPr>
          <w:rFonts w:ascii="仿宋_GB2312" w:hAnsi="仿宋_GB2312"/>
          <w:sz w:val="32"/>
          <w:szCs w:val="32"/>
        </w:rPr>
      </w:pPr>
      <w:r>
        <w:rPr>
          <w:rFonts w:ascii="仿宋_GB2312" w:hAnsi="仿宋_GB2312"/>
          <w:sz w:val="32"/>
          <w:szCs w:val="32"/>
        </w:rPr>
        <w:t>(三)承担推进全区林业改革，维护农民经营林业合法</w:t>
      </w:r>
      <w:r>
        <w:rPr>
          <w:rFonts w:hint="eastAsia" w:ascii="仿宋_GB2312" w:hAnsi="仿宋_GB2312"/>
          <w:sz w:val="32"/>
          <w:szCs w:val="32"/>
          <w:lang w:eastAsia="zh-CN"/>
        </w:rPr>
        <w:t>权</w:t>
      </w:r>
      <w:r>
        <w:rPr>
          <w:rFonts w:ascii="仿宋_GB2312" w:hAnsi="仿宋_GB2312"/>
          <w:sz w:val="32"/>
          <w:szCs w:val="32"/>
        </w:rPr>
        <w:t>益的责任，建立和完善森林资源市场和流通体系。</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15" w:lineRule="atLeast"/>
        <w:ind w:left="0" w:firstLine="640" w:firstLineChars="200"/>
        <w:jc w:val="left"/>
        <w:textAlignment w:val="auto"/>
        <w:outlineLvl w:val="9"/>
        <w:rPr>
          <w:rFonts w:ascii="仿宋_GB2312" w:hAnsi="仿宋_GB2312"/>
          <w:sz w:val="32"/>
          <w:szCs w:val="32"/>
        </w:rPr>
      </w:pPr>
      <w:r>
        <w:rPr>
          <w:rFonts w:ascii="仿宋_GB2312" w:hAnsi="仿宋_GB2312"/>
          <w:sz w:val="32"/>
          <w:szCs w:val="32"/>
        </w:rPr>
        <w:t>(四)承担全区森林资源保护监管的责任。</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15" w:lineRule="atLeast"/>
        <w:ind w:left="0" w:firstLine="640" w:firstLineChars="200"/>
        <w:jc w:val="left"/>
        <w:textAlignment w:val="auto"/>
        <w:outlineLvl w:val="9"/>
        <w:rPr>
          <w:rFonts w:ascii="仿宋_GB2312" w:hAnsi="仿宋_GB2312"/>
          <w:sz w:val="32"/>
          <w:szCs w:val="32"/>
        </w:rPr>
      </w:pPr>
      <w:r>
        <w:rPr>
          <w:rFonts w:ascii="仿宋_GB2312" w:hAnsi="仿宋_GB2312"/>
          <w:sz w:val="32"/>
          <w:szCs w:val="32"/>
        </w:rPr>
        <w:t>(五)组织、指导陆生野生动植物资源的保护和合理开发利用。</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15" w:lineRule="atLeast"/>
        <w:ind w:left="0" w:firstLine="640" w:firstLineChars="200"/>
        <w:jc w:val="left"/>
        <w:textAlignment w:val="auto"/>
        <w:outlineLvl w:val="9"/>
        <w:rPr>
          <w:rFonts w:ascii="仿宋_GB2312" w:hAnsi="仿宋_GB2312"/>
          <w:sz w:val="32"/>
          <w:szCs w:val="32"/>
        </w:rPr>
      </w:pPr>
      <w:r>
        <w:rPr>
          <w:rFonts w:ascii="仿宋_GB2312" w:hAnsi="仿宋_GB2312"/>
          <w:sz w:val="32"/>
          <w:szCs w:val="32"/>
        </w:rPr>
        <w:t>(六)负责对省级自然保护区的监督管理，依法指导自然保护区的建设和管理。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15" w:lineRule="atLeast"/>
        <w:ind w:left="0" w:firstLine="640" w:firstLineChars="200"/>
        <w:jc w:val="left"/>
        <w:textAlignment w:val="auto"/>
        <w:outlineLvl w:val="9"/>
        <w:rPr>
          <w:rFonts w:ascii="仿宋_GB2312" w:hAnsi="仿宋_GB2312"/>
          <w:sz w:val="32"/>
          <w:szCs w:val="32"/>
        </w:rPr>
      </w:pPr>
      <w:r>
        <w:rPr>
          <w:rFonts w:ascii="仿宋_GB2312" w:hAnsi="仿宋_GB2312"/>
          <w:sz w:val="32"/>
          <w:szCs w:val="32"/>
        </w:rPr>
        <w:t>(七)承担组织、协调、指导、监督全区森林防火工作的责任；承担区政府护林防火指挥部的具体工作。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15" w:lineRule="atLeast"/>
        <w:ind w:left="0" w:firstLine="320" w:firstLineChars="100"/>
        <w:jc w:val="left"/>
        <w:textAlignment w:val="auto"/>
        <w:outlineLvl w:val="9"/>
        <w:rPr>
          <w:rFonts w:ascii="仿宋_GB2312" w:hAnsi="仿宋_GB2312"/>
          <w:sz w:val="32"/>
          <w:szCs w:val="32"/>
        </w:rPr>
      </w:pPr>
      <w:r>
        <w:rPr>
          <w:rFonts w:ascii="仿宋_GB2312" w:hAnsi="仿宋_GB2312"/>
          <w:sz w:val="32"/>
          <w:szCs w:val="32"/>
        </w:rPr>
        <w:t>(八)组织、指导和监督森林病虫害防治、检疫工作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15" w:lineRule="atLeast"/>
        <w:ind w:left="0" w:firstLine="640" w:firstLineChars="200"/>
        <w:jc w:val="left"/>
        <w:textAlignment w:val="auto"/>
        <w:outlineLvl w:val="9"/>
        <w:rPr>
          <w:rFonts w:ascii="仿宋_GB2312" w:hAnsi="仿宋_GB2312"/>
          <w:sz w:val="32"/>
          <w:szCs w:val="32"/>
        </w:rPr>
      </w:pPr>
      <w:r>
        <w:rPr>
          <w:rFonts w:ascii="仿宋_GB2312" w:hAnsi="仿宋_GB2312"/>
          <w:sz w:val="32"/>
          <w:szCs w:val="32"/>
        </w:rPr>
        <w:t>（九）拟定全区林业经济调节和林业投资意见；组织编制全区年度林业生产及投融资计划</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15" w:lineRule="atLeast"/>
        <w:ind w:left="0" w:firstLine="640" w:firstLineChars="200"/>
        <w:jc w:val="left"/>
        <w:textAlignment w:val="auto"/>
        <w:outlineLvl w:val="9"/>
        <w:rPr>
          <w:rFonts w:ascii="仿宋_GB2312" w:hAnsi="仿宋_GB2312"/>
          <w:sz w:val="32"/>
          <w:szCs w:val="32"/>
        </w:rPr>
      </w:pPr>
      <w:r>
        <w:rPr>
          <w:rFonts w:ascii="仿宋_GB2312" w:hAnsi="仿宋_GB2312"/>
          <w:sz w:val="32"/>
          <w:szCs w:val="32"/>
        </w:rPr>
        <w:t>（十）组织指导全区林业及其生态建设的科技、教育和外事工作，指导全区林业队伍的建设，负责全区林业科技工作。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15" w:lineRule="atLeast"/>
        <w:ind w:left="0" w:firstLine="640" w:firstLineChars="200"/>
        <w:jc w:val="left"/>
        <w:textAlignment w:val="auto"/>
        <w:outlineLvl w:val="9"/>
        <w:rPr>
          <w:rFonts w:ascii="仿宋_GB2312" w:hAnsi="仿宋_GB2312"/>
          <w:sz w:val="32"/>
          <w:szCs w:val="32"/>
        </w:rPr>
      </w:pPr>
      <w:r>
        <w:rPr>
          <w:rFonts w:ascii="仿宋_GB2312" w:hAnsi="仿宋_GB2312"/>
          <w:sz w:val="32"/>
          <w:szCs w:val="32"/>
        </w:rPr>
        <w:t>（十一）承办区委、区政府和上级业务部门交办的其他工作。</w:t>
      </w:r>
    </w:p>
    <w:bookmarkEnd w:id="0"/>
    <w:p>
      <w:pPr>
        <w:pStyle w:val="4"/>
        <w:widowControl/>
        <w:spacing w:line="315" w:lineRule="atLeast"/>
        <w:jc w:val="both"/>
        <w:rPr>
          <w:rFonts w:ascii="仿宋_GB2312" w:hAnsi="仿宋_GB2312"/>
          <w:b/>
          <w:bCs/>
          <w:sz w:val="32"/>
          <w:szCs w:val="32"/>
        </w:rPr>
      </w:pPr>
      <w:r>
        <w:rPr>
          <w:rFonts w:ascii="仿宋_GB2312" w:hAnsi="仿宋_GB2312"/>
          <w:b/>
          <w:bCs/>
          <w:sz w:val="32"/>
          <w:szCs w:val="32"/>
        </w:rPr>
        <w:t>二、浉河区林业局决算单位构成</w:t>
      </w:r>
    </w:p>
    <w:p>
      <w:pPr>
        <w:pStyle w:val="4"/>
        <w:keepNext w:val="0"/>
        <w:keepLines w:val="0"/>
        <w:pageBreakBefore w:val="0"/>
        <w:widowControl/>
        <w:kinsoku/>
        <w:wordWrap/>
        <w:overflowPunct/>
        <w:topLinePunct w:val="0"/>
        <w:autoSpaceDE/>
        <w:autoSpaceDN/>
        <w:bidi w:val="0"/>
        <w:adjustRightInd/>
        <w:snapToGrid/>
        <w:spacing w:before="76" w:beforeLines="0" w:beforeAutospacing="0" w:after="76" w:afterLines="0" w:afterAutospacing="0" w:line="450" w:lineRule="atLeast"/>
        <w:ind w:left="76" w:leftChars="36" w:right="76" w:firstLine="640" w:firstLineChars="200"/>
        <w:jc w:val="left"/>
        <w:textAlignment w:val="auto"/>
        <w:outlineLvl w:val="9"/>
        <w:rPr>
          <w:rFonts w:hint="eastAsia" w:ascii="仿宋_GB2312" w:hAnsi="仿宋_GB2312"/>
          <w:sz w:val="32"/>
          <w:szCs w:val="32"/>
          <w:lang w:eastAsia="zh-CN"/>
        </w:rPr>
      </w:pPr>
      <w:r>
        <w:rPr>
          <w:rFonts w:ascii="仿宋_GB2312" w:hAnsi="仿宋_GB2312"/>
          <w:sz w:val="32"/>
          <w:szCs w:val="32"/>
        </w:rPr>
        <w:t>浉河区林业局是正科级行政单位，内设5个职能股室：办公室、造林绿化管理股、森林资源管理股、计划财务股、林业产业项目办;下设10个股级二级机构：林业技术推广站、森林病虫害防治检验站、林木种苗管理者、林科所、林政稽查大队、李家寨木材检查站、游河木材检查站、退耕还林办公室、森林防火办公室；2个副科级单位：林权管理中心、信阳四望山自然保护区管理局。行政在职人员1</w:t>
      </w:r>
      <w:r>
        <w:rPr>
          <w:rFonts w:hint="eastAsia" w:ascii="仿宋_GB2312" w:hAnsi="仿宋_GB2312"/>
          <w:sz w:val="32"/>
          <w:szCs w:val="32"/>
          <w:lang w:val="en-US" w:eastAsia="zh-CN"/>
        </w:rPr>
        <w:t>5</w:t>
      </w:r>
      <w:r>
        <w:rPr>
          <w:rFonts w:ascii="仿宋_GB2312" w:hAnsi="仿宋_GB2312"/>
          <w:sz w:val="32"/>
          <w:szCs w:val="32"/>
        </w:rPr>
        <w:t>人，事业在职人员1</w:t>
      </w:r>
      <w:r>
        <w:rPr>
          <w:rFonts w:hint="eastAsia" w:ascii="仿宋_GB2312" w:hAnsi="仿宋_GB2312"/>
          <w:sz w:val="32"/>
          <w:szCs w:val="32"/>
          <w:lang w:val="en-US" w:eastAsia="zh-CN"/>
        </w:rPr>
        <w:t>61</w:t>
      </w:r>
      <w:r>
        <w:rPr>
          <w:rFonts w:ascii="仿宋_GB2312" w:hAnsi="仿宋_GB2312"/>
          <w:sz w:val="32"/>
          <w:szCs w:val="32"/>
        </w:rPr>
        <w:t>，其中事业在职全供人员3</w:t>
      </w:r>
      <w:r>
        <w:rPr>
          <w:rFonts w:hint="eastAsia" w:ascii="仿宋_GB2312" w:hAnsi="仿宋_GB2312"/>
          <w:sz w:val="32"/>
          <w:szCs w:val="32"/>
          <w:lang w:val="en-US" w:eastAsia="zh-CN"/>
        </w:rPr>
        <w:t>4</w:t>
      </w:r>
      <w:r>
        <w:rPr>
          <w:rFonts w:ascii="仿宋_GB2312" w:hAnsi="仿宋_GB2312"/>
          <w:sz w:val="32"/>
          <w:szCs w:val="32"/>
        </w:rPr>
        <w:t>人，事业自筹人员10</w:t>
      </w:r>
      <w:r>
        <w:rPr>
          <w:rFonts w:hint="eastAsia" w:ascii="仿宋_GB2312" w:hAnsi="仿宋_GB2312"/>
          <w:sz w:val="32"/>
          <w:szCs w:val="32"/>
          <w:lang w:val="en-US" w:eastAsia="zh-CN"/>
        </w:rPr>
        <w:t>7</w:t>
      </w:r>
      <w:r>
        <w:rPr>
          <w:rFonts w:ascii="仿宋_GB2312" w:hAnsi="仿宋_GB2312"/>
          <w:sz w:val="32"/>
          <w:szCs w:val="32"/>
        </w:rPr>
        <w:t>，事业差供人员14复退无编6人；离退休47人，其中离休1人</w:t>
      </w:r>
      <w:r>
        <w:rPr>
          <w:rFonts w:hint="eastAsia" w:ascii="仿宋_GB2312" w:hAnsi="仿宋_GB2312"/>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76" w:beforeLines="0" w:beforeAutospacing="0" w:after="76" w:afterLines="0" w:afterAutospacing="0" w:line="450" w:lineRule="atLeast"/>
        <w:ind w:left="76" w:leftChars="36" w:right="76" w:firstLine="640" w:firstLineChars="200"/>
        <w:jc w:val="left"/>
        <w:textAlignment w:val="auto"/>
        <w:outlineLvl w:val="9"/>
        <w:rPr>
          <w:rFonts w:ascii="仿宋_GB2312" w:hAnsi="仿宋_GB2312"/>
          <w:sz w:val="32"/>
          <w:szCs w:val="32"/>
        </w:rPr>
      </w:pPr>
      <w:r>
        <w:rPr>
          <w:rFonts w:ascii="仿宋_GB2312" w:hAnsi="仿宋_GB2312"/>
          <w:sz w:val="32"/>
          <w:szCs w:val="32"/>
        </w:rPr>
        <w:t>浉河区林业局部门决算</w:t>
      </w:r>
      <w:r>
        <w:rPr>
          <w:rFonts w:hint="eastAsia" w:ascii="仿宋_GB2312" w:hAnsi="仿宋_GB2312"/>
          <w:sz w:val="32"/>
          <w:szCs w:val="32"/>
          <w:lang w:eastAsia="zh-CN"/>
        </w:rPr>
        <w:t>包括</w:t>
      </w:r>
      <w:r>
        <w:rPr>
          <w:rFonts w:hint="eastAsia" w:ascii="仿宋_GB2312" w:hAnsi="仿宋_GB2312"/>
          <w:sz w:val="32"/>
          <w:szCs w:val="32"/>
        </w:rPr>
        <w:t>本级决算和所属单位决算在内的汇总决算</w:t>
      </w:r>
      <w:r>
        <w:rPr>
          <w:rFonts w:hint="eastAsia" w:ascii="仿宋_GB2312" w:hAnsi="仿宋_GB2312"/>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76" w:beforeLines="0" w:beforeAutospacing="0" w:after="76" w:afterLines="0" w:afterAutospacing="0" w:line="450" w:lineRule="atLeast"/>
        <w:ind w:left="76" w:leftChars="36" w:right="76" w:firstLine="640" w:firstLineChars="200"/>
        <w:jc w:val="left"/>
        <w:textAlignment w:val="auto"/>
        <w:outlineLvl w:val="9"/>
        <w:rPr>
          <w:rFonts w:hint="eastAsia" w:ascii="仿宋_GB2312" w:hAnsi="仿宋_GB2312"/>
          <w:sz w:val="32"/>
          <w:szCs w:val="32"/>
          <w:lang w:val="en-US" w:eastAsia="zh-CN"/>
        </w:rPr>
      </w:pPr>
    </w:p>
    <w:p>
      <w:pPr>
        <w:jc w:val="left"/>
        <w:rPr>
          <w:rFonts w:hint="eastAsia" w:ascii="仿宋" w:hAnsi="仿宋" w:eastAsia="仿宋" w:cs="仿宋"/>
          <w:b/>
          <w:bCs/>
          <w:sz w:val="32"/>
          <w:szCs w:val="32"/>
        </w:rPr>
      </w:pPr>
    </w:p>
    <w:p>
      <w:pPr>
        <w:pStyle w:val="4"/>
        <w:keepNext w:val="0"/>
        <w:keepLines w:val="0"/>
        <w:pageBreakBefore w:val="0"/>
        <w:widowControl/>
        <w:kinsoku/>
        <w:wordWrap/>
        <w:overflowPunct/>
        <w:topLinePunct w:val="0"/>
        <w:autoSpaceDE/>
        <w:autoSpaceDN/>
        <w:bidi w:val="0"/>
        <w:adjustRightInd/>
        <w:snapToGrid/>
        <w:spacing w:line="315" w:lineRule="atLeast"/>
        <w:ind w:right="522" w:firstLine="0" w:firstLineChars="0"/>
        <w:jc w:val="center"/>
        <w:textAlignment w:val="auto"/>
        <w:outlineLvl w:val="9"/>
        <w:rPr>
          <w:rFonts w:ascii="仿宋_GB2312" w:hAnsi="仿宋_GB2312"/>
          <w:b/>
          <w:bCs/>
          <w:sz w:val="32"/>
          <w:szCs w:val="32"/>
        </w:rPr>
      </w:pPr>
      <w:r>
        <w:rPr>
          <w:rFonts w:hint="eastAsia" w:ascii="仿宋_GB2312" w:hAnsi="仿宋_GB2312"/>
          <w:b/>
          <w:bCs/>
          <w:sz w:val="32"/>
          <w:szCs w:val="32"/>
        </w:rPr>
        <w:t>第</w:t>
      </w:r>
      <w:r>
        <w:rPr>
          <w:rFonts w:hint="eastAsia" w:ascii="仿宋_GB2312" w:hAnsi="仿宋_GB2312"/>
          <w:b/>
          <w:bCs/>
          <w:sz w:val="32"/>
          <w:szCs w:val="32"/>
          <w:lang w:eastAsia="zh-CN"/>
        </w:rPr>
        <w:t>二</w:t>
      </w:r>
      <w:r>
        <w:rPr>
          <w:rFonts w:hint="eastAsia" w:ascii="仿宋_GB2312" w:hAnsi="仿宋_GB2312"/>
          <w:b/>
          <w:bCs/>
          <w:sz w:val="32"/>
          <w:szCs w:val="32"/>
        </w:rPr>
        <w:t>部分</w:t>
      </w:r>
    </w:p>
    <w:p>
      <w:pPr>
        <w:pStyle w:val="4"/>
        <w:keepNext w:val="0"/>
        <w:keepLines w:val="0"/>
        <w:pageBreakBefore w:val="0"/>
        <w:widowControl/>
        <w:kinsoku/>
        <w:wordWrap/>
        <w:overflowPunct/>
        <w:topLinePunct w:val="0"/>
        <w:autoSpaceDE/>
        <w:autoSpaceDN/>
        <w:bidi w:val="0"/>
        <w:adjustRightInd/>
        <w:snapToGrid/>
        <w:spacing w:line="315" w:lineRule="atLeast"/>
        <w:ind w:right="522" w:firstLine="0" w:firstLineChars="0"/>
        <w:jc w:val="center"/>
        <w:textAlignment w:val="auto"/>
        <w:outlineLvl w:val="9"/>
        <w:rPr>
          <w:rFonts w:ascii="仿宋_GB2312" w:hAnsi="仿宋_GB2312"/>
          <w:b/>
          <w:bCs/>
          <w:sz w:val="32"/>
          <w:szCs w:val="32"/>
        </w:rPr>
      </w:pPr>
      <w:r>
        <w:rPr>
          <w:rFonts w:hint="eastAsia" w:ascii="仿宋_GB2312" w:hAnsi="仿宋_GB2312"/>
          <w:b/>
          <w:bCs/>
          <w:sz w:val="32"/>
          <w:szCs w:val="32"/>
          <w:lang w:eastAsia="zh-CN"/>
        </w:rPr>
        <w:t>林业</w:t>
      </w:r>
      <w:r>
        <w:rPr>
          <w:rFonts w:hint="eastAsia" w:ascii="仿宋_GB2312" w:hAnsi="仿宋_GB2312"/>
          <w:b/>
          <w:bCs/>
          <w:sz w:val="32"/>
          <w:szCs w:val="32"/>
        </w:rPr>
        <w:t>局</w:t>
      </w:r>
    </w:p>
    <w:p>
      <w:pPr>
        <w:pStyle w:val="4"/>
        <w:keepNext w:val="0"/>
        <w:keepLines w:val="0"/>
        <w:pageBreakBefore w:val="0"/>
        <w:widowControl/>
        <w:kinsoku/>
        <w:wordWrap/>
        <w:overflowPunct/>
        <w:topLinePunct w:val="0"/>
        <w:autoSpaceDE/>
        <w:autoSpaceDN/>
        <w:bidi w:val="0"/>
        <w:adjustRightInd/>
        <w:snapToGrid/>
        <w:spacing w:line="315" w:lineRule="atLeast"/>
        <w:ind w:right="522" w:firstLine="0" w:firstLineChars="0"/>
        <w:jc w:val="center"/>
        <w:textAlignment w:val="auto"/>
        <w:outlineLvl w:val="9"/>
        <w:rPr>
          <w:rFonts w:hint="eastAsia" w:ascii="仿宋_GB2312" w:hAnsi="仿宋_GB2312"/>
          <w:b/>
          <w:bCs/>
          <w:sz w:val="32"/>
          <w:szCs w:val="32"/>
        </w:rPr>
      </w:pPr>
      <w:r>
        <w:rPr>
          <w:rFonts w:hint="eastAsia" w:ascii="仿宋_GB2312" w:hAnsi="仿宋_GB2312"/>
          <w:b/>
          <w:bCs/>
          <w:sz w:val="32"/>
          <w:szCs w:val="32"/>
          <w:lang w:eastAsia="zh-CN"/>
        </w:rPr>
        <w:t>2017</w:t>
      </w:r>
      <w:r>
        <w:rPr>
          <w:rFonts w:hint="eastAsia" w:ascii="仿宋_GB2312" w:hAnsi="仿宋_GB2312"/>
          <w:b/>
          <w:bCs/>
          <w:sz w:val="32"/>
          <w:szCs w:val="32"/>
        </w:rPr>
        <w:t>年度部门决算情况说明</w:t>
      </w:r>
    </w:p>
    <w:p>
      <w:pPr>
        <w:jc w:val="center"/>
        <w:rPr>
          <w:rFonts w:hint="eastAsia" w:ascii="隶书" w:hAnsi="隶书" w:eastAsia="隶书" w:cs="隶书"/>
          <w:sz w:val="48"/>
          <w:szCs w:val="48"/>
        </w:rPr>
      </w:pPr>
    </w:p>
    <w:p>
      <w:pPr>
        <w:pStyle w:val="4"/>
        <w:widowControl/>
        <w:spacing w:line="315" w:lineRule="atLeast"/>
        <w:jc w:val="both"/>
        <w:rPr>
          <w:rFonts w:hint="eastAsia" w:ascii="仿宋_GB2312" w:hAnsi="仿宋_GB2312"/>
          <w:b/>
          <w:bCs/>
          <w:sz w:val="32"/>
          <w:szCs w:val="32"/>
        </w:rPr>
      </w:pPr>
      <w:r>
        <w:rPr>
          <w:rFonts w:hint="eastAsia" w:ascii="仿宋_GB2312" w:hAnsi="仿宋_GB2312"/>
          <w:b/>
          <w:bCs/>
          <w:sz w:val="32"/>
          <w:szCs w:val="32"/>
          <w:lang w:eastAsia="zh-CN"/>
        </w:rPr>
        <w:t>一、</w:t>
      </w:r>
      <w:r>
        <w:rPr>
          <w:rFonts w:hint="eastAsia" w:ascii="仿宋_GB2312" w:hAnsi="仿宋_GB2312"/>
          <w:b/>
          <w:bCs/>
          <w:sz w:val="32"/>
          <w:szCs w:val="32"/>
        </w:rPr>
        <w:t>关于收入支出决算总体情况说明</w:t>
      </w:r>
    </w:p>
    <w:p>
      <w:pPr>
        <w:pStyle w:val="4"/>
        <w:widowControl/>
        <w:spacing w:line="315" w:lineRule="atLeast"/>
        <w:ind w:firstLine="640"/>
        <w:jc w:val="both"/>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年度收入总计</w:t>
      </w:r>
      <w:r>
        <w:rPr>
          <w:rFonts w:hint="eastAsia" w:ascii="仿宋_GB2312" w:hAnsi="仿宋_GB2312"/>
          <w:sz w:val="32"/>
          <w:szCs w:val="32"/>
          <w:lang w:val="en-US" w:eastAsia="zh-CN"/>
        </w:rPr>
        <w:t>1850.29</w:t>
      </w:r>
      <w:r>
        <w:rPr>
          <w:rFonts w:hint="eastAsia" w:ascii="仿宋_GB2312" w:hAnsi="宋体" w:eastAsia="仿宋_GB2312" w:cs="Courier New"/>
          <w:sz w:val="32"/>
          <w:szCs w:val="32"/>
        </w:rPr>
        <w:t>万元，支出总计</w:t>
      </w:r>
      <w:r>
        <w:rPr>
          <w:rFonts w:hint="eastAsia" w:ascii="仿宋_GB2312" w:hAnsi="仿宋_GB2312"/>
          <w:sz w:val="32"/>
          <w:szCs w:val="32"/>
          <w:lang w:val="en-US" w:eastAsia="zh-CN"/>
        </w:rPr>
        <w:t>4139.58</w:t>
      </w:r>
      <w:r>
        <w:rPr>
          <w:rFonts w:hint="eastAsia" w:ascii="仿宋_GB2312" w:hAnsi="宋体" w:eastAsia="仿宋_GB2312" w:cs="Courier New"/>
          <w:sz w:val="32"/>
          <w:szCs w:val="32"/>
        </w:rPr>
        <w:t>万元，与</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年相比收入减少</w:t>
      </w:r>
      <w:r>
        <w:rPr>
          <w:rFonts w:hint="eastAsia" w:ascii="仿宋_GB2312" w:hAnsi="宋体" w:eastAsia="仿宋_GB2312" w:cs="Courier New"/>
          <w:sz w:val="32"/>
          <w:szCs w:val="32"/>
          <w:lang w:val="en-US" w:eastAsia="zh-CN"/>
        </w:rPr>
        <w:t>1473.03</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44.3</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，下降原因为上级指标提前下达</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2017年</w:t>
      </w:r>
      <w:r>
        <w:rPr>
          <w:rFonts w:hint="eastAsia" w:ascii="仿宋" w:hAnsi="仿宋" w:eastAsia="仿宋" w:cs="仿宋"/>
          <w:sz w:val="32"/>
          <w:szCs w:val="32"/>
          <w:lang w:eastAsia="zh-CN"/>
        </w:rPr>
        <w:t>年初结转和结余</w:t>
      </w:r>
      <w:r>
        <w:rPr>
          <w:rFonts w:hint="eastAsia" w:ascii="仿宋" w:hAnsi="仿宋" w:eastAsia="仿宋" w:cs="仿宋"/>
          <w:sz w:val="32"/>
          <w:szCs w:val="32"/>
          <w:lang w:val="en-US" w:eastAsia="zh-CN"/>
        </w:rPr>
        <w:t>2289.29万元，</w:t>
      </w:r>
      <w:r>
        <w:rPr>
          <w:rFonts w:hint="eastAsia" w:ascii="仿宋" w:hAnsi="仿宋" w:eastAsia="仿宋" w:cs="仿宋"/>
          <w:sz w:val="32"/>
          <w:szCs w:val="32"/>
        </w:rPr>
        <w:t>其中农林水支出</w:t>
      </w:r>
      <w:r>
        <w:rPr>
          <w:rFonts w:hint="eastAsia" w:ascii="仿宋" w:hAnsi="仿宋" w:eastAsia="仿宋" w:cs="仿宋"/>
          <w:sz w:val="32"/>
          <w:szCs w:val="32"/>
          <w:lang w:val="en-US" w:eastAsia="zh-CN"/>
        </w:rPr>
        <w:t>3565.4796</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14.1897</w:t>
      </w:r>
      <w:r>
        <w:rPr>
          <w:rFonts w:hint="eastAsia" w:ascii="仿宋" w:hAnsi="仿宋" w:eastAsia="仿宋" w:cs="仿宋"/>
          <w:sz w:val="32"/>
          <w:szCs w:val="32"/>
        </w:rPr>
        <w:t>万元</w:t>
      </w:r>
      <w:r>
        <w:rPr>
          <w:rFonts w:hint="eastAsia" w:ascii="仿宋" w:hAnsi="仿宋" w:eastAsia="仿宋" w:cs="仿宋"/>
          <w:sz w:val="32"/>
          <w:szCs w:val="32"/>
          <w:lang w:eastAsia="zh-CN"/>
        </w:rPr>
        <w:t>，退耕还林粮食补贴</w:t>
      </w:r>
      <w:r>
        <w:rPr>
          <w:rFonts w:hint="eastAsia" w:ascii="仿宋" w:hAnsi="仿宋" w:eastAsia="仿宋" w:cs="仿宋"/>
          <w:sz w:val="32"/>
          <w:szCs w:val="32"/>
          <w:lang w:val="en-US" w:eastAsia="zh-CN"/>
        </w:rPr>
        <w:t>559.91万元</w:t>
      </w:r>
      <w:r>
        <w:rPr>
          <w:rFonts w:hint="eastAsia" w:ascii="仿宋_GB2312" w:hAnsi="仿宋_GB2312"/>
          <w:sz w:val="32"/>
          <w:szCs w:val="32"/>
          <w:lang w:eastAsia="zh-CN"/>
        </w:rPr>
        <w:t>。</w:t>
      </w:r>
    </w:p>
    <w:p>
      <w:pPr>
        <w:pStyle w:val="4"/>
        <w:widowControl/>
        <w:spacing w:line="315" w:lineRule="atLeast"/>
        <w:jc w:val="both"/>
        <w:rPr>
          <w:rFonts w:hint="eastAsia" w:ascii="仿宋_GB2312" w:hAnsi="仿宋_GB2312"/>
          <w:b/>
          <w:bCs/>
          <w:sz w:val="32"/>
          <w:szCs w:val="32"/>
          <w:lang w:eastAsia="zh-CN"/>
        </w:rPr>
      </w:pPr>
      <w:r>
        <w:rPr>
          <w:rFonts w:hint="eastAsia" w:ascii="仿宋_GB2312" w:hAnsi="仿宋_GB2312"/>
          <w:b/>
          <w:bCs/>
          <w:sz w:val="32"/>
          <w:szCs w:val="32"/>
          <w:lang w:eastAsia="zh-CN"/>
        </w:rPr>
        <w:t>二、关于收入决算情况说明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w:t>
      </w:r>
      <w:r>
        <w:rPr>
          <w:rFonts w:hint="eastAsia" w:ascii="仿宋_GB2312" w:hAnsi="Times New Roman" w:eastAsia="仿宋_GB2312"/>
          <w:sz w:val="32"/>
          <w:szCs w:val="32"/>
        </w:rPr>
        <w:t>收入合计</w:t>
      </w:r>
      <w:r>
        <w:rPr>
          <w:rFonts w:hint="eastAsia" w:ascii="仿宋_GB2312" w:hAnsi="宋体" w:eastAsia="仿宋_GB2312" w:cs="Courier New"/>
          <w:sz w:val="32"/>
          <w:szCs w:val="32"/>
          <w:lang w:val="en-US" w:eastAsia="zh-CN"/>
        </w:rPr>
        <w:t>1850.29</w:t>
      </w:r>
      <w:r>
        <w:rPr>
          <w:rFonts w:hint="eastAsia" w:ascii="仿宋_GB2312" w:hAnsi="Times New Roman" w:eastAsia="仿宋_GB2312"/>
          <w:sz w:val="32"/>
          <w:szCs w:val="32"/>
        </w:rPr>
        <w:t>万元，其中：财政拨款收入</w:t>
      </w:r>
      <w:r>
        <w:rPr>
          <w:rFonts w:hint="eastAsia" w:ascii="仿宋_GB2312" w:hAnsi="宋体" w:eastAsia="仿宋_GB2312" w:cs="Courier New"/>
          <w:sz w:val="32"/>
          <w:szCs w:val="32"/>
          <w:lang w:val="en-US" w:eastAsia="zh-CN"/>
        </w:rPr>
        <w:t>1850.29</w:t>
      </w:r>
      <w:r>
        <w:rPr>
          <w:rFonts w:hint="eastAsia" w:ascii="仿宋_GB2312" w:hAnsi="Times New Roman" w:eastAsia="仿宋_GB2312"/>
          <w:sz w:val="32"/>
          <w:szCs w:val="32"/>
        </w:rPr>
        <w:t>万元。</w:t>
      </w:r>
    </w:p>
    <w:p>
      <w:pPr>
        <w:jc w:val="left"/>
        <w:rPr>
          <w:rFonts w:hint="eastAsia" w:ascii="仿宋" w:hAnsi="仿宋" w:eastAsia="仿宋" w:cs="仿宋"/>
          <w:b/>
          <w:bCs/>
          <w:sz w:val="32"/>
          <w:szCs w:val="32"/>
        </w:rPr>
      </w:pPr>
    </w:p>
    <w:p>
      <w:pPr>
        <w:numPr>
          <w:ilvl w:val="0"/>
          <w:numId w:val="0"/>
        </w:numPr>
        <w:adjustRightInd w:val="0"/>
        <w:snapToGrid w:val="0"/>
        <w:spacing w:line="360" w:lineRule="auto"/>
        <w:outlineLvl w:val="1"/>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年度支出合计</w:t>
      </w:r>
      <w:r>
        <w:rPr>
          <w:rFonts w:hint="eastAsia" w:ascii="仿宋_GB2312" w:hAnsi="宋体" w:eastAsia="仿宋_GB2312" w:cs="Courier New"/>
          <w:sz w:val="32"/>
          <w:szCs w:val="32"/>
          <w:lang w:val="en-US" w:eastAsia="zh-CN"/>
        </w:rPr>
        <w:t>4139.58</w:t>
      </w:r>
      <w:r>
        <w:rPr>
          <w:rFonts w:hint="eastAsia" w:ascii="仿宋_GB2312" w:hAnsi="宋体" w:eastAsia="仿宋_GB2312" w:cs="Courier New"/>
          <w:sz w:val="32"/>
          <w:szCs w:val="32"/>
        </w:rPr>
        <w:t>万元，其中：基本支出</w:t>
      </w:r>
      <w:r>
        <w:rPr>
          <w:rFonts w:hint="eastAsia" w:ascii="仿宋_GB2312" w:hAnsi="宋体" w:eastAsia="仿宋_GB2312" w:cs="Courier New"/>
          <w:sz w:val="32"/>
          <w:szCs w:val="32"/>
          <w:lang w:val="en-US" w:eastAsia="zh-CN"/>
        </w:rPr>
        <w:t>1599.89</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38.65</w:t>
      </w:r>
      <w:r>
        <w:rPr>
          <w:rFonts w:ascii="仿宋_GB2312" w:hAnsi="宋体" w:eastAsia="仿宋_GB2312" w:cs="Courier New"/>
          <w:sz w:val="32"/>
          <w:szCs w:val="32"/>
        </w:rPr>
        <w:t>%</w:t>
      </w:r>
      <w:r>
        <w:rPr>
          <w:rFonts w:hint="eastAsia" w:ascii="仿宋_GB2312" w:hAnsi="宋体" w:eastAsia="仿宋_GB2312" w:cs="Courier New"/>
          <w:sz w:val="32"/>
          <w:szCs w:val="32"/>
        </w:rPr>
        <w:t>；项目支出</w:t>
      </w:r>
      <w:r>
        <w:rPr>
          <w:rFonts w:hint="eastAsia" w:ascii="仿宋_GB2312" w:hAnsi="宋体" w:eastAsia="仿宋_GB2312" w:cs="Courier New"/>
          <w:sz w:val="32"/>
          <w:szCs w:val="32"/>
          <w:lang w:val="en-US" w:eastAsia="zh-CN"/>
        </w:rPr>
        <w:t>2539.69</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61.35</w:t>
      </w:r>
      <w:r>
        <w:rPr>
          <w:rFonts w:hint="eastAsia" w:ascii="仿宋_GB2312" w:hAnsi="宋体" w:eastAsia="仿宋_GB2312" w:cs="Courier New"/>
          <w:sz w:val="32"/>
          <w:szCs w:val="32"/>
        </w:rPr>
        <w:t>%。</w:t>
      </w:r>
    </w:p>
    <w:p>
      <w:pPr>
        <w:numPr>
          <w:ilvl w:val="0"/>
          <w:numId w:val="0"/>
        </w:numPr>
        <w:adjustRightInd w:val="0"/>
        <w:snapToGrid w:val="0"/>
        <w:spacing w:line="360" w:lineRule="auto"/>
        <w:outlineLvl w:val="1"/>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hint="eastAsia" w:ascii="仿宋" w:hAnsi="仿宋" w:eastAsia="仿宋" w:cs="仿宋"/>
          <w:b/>
          <w:bCs/>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年财政拨款收支总决算</w:t>
      </w:r>
      <w:r>
        <w:rPr>
          <w:rFonts w:hint="eastAsia" w:ascii="仿宋_GB2312" w:hAnsi="宋体" w:eastAsia="仿宋_GB2312" w:cs="Courier New"/>
          <w:sz w:val="32"/>
          <w:szCs w:val="32"/>
          <w:lang w:val="en-US" w:eastAsia="zh-CN"/>
        </w:rPr>
        <w:t>4139.58</w:t>
      </w:r>
      <w:r>
        <w:rPr>
          <w:rFonts w:hint="eastAsia" w:ascii="仿宋_GB2312" w:hAnsi="宋体" w:eastAsia="仿宋_GB2312" w:cs="Courier New"/>
          <w:sz w:val="32"/>
          <w:szCs w:val="32"/>
        </w:rPr>
        <w:t>万元。与</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年相比，财政拨款收</w:t>
      </w:r>
      <w:r>
        <w:rPr>
          <w:rFonts w:hint="eastAsia" w:ascii="仿宋_GB2312" w:hAnsi="宋体" w:eastAsia="仿宋_GB2312" w:cs="Courier New"/>
          <w:sz w:val="32"/>
          <w:szCs w:val="32"/>
          <w:lang w:eastAsia="zh-CN"/>
        </w:rPr>
        <w:t>入增加了</w:t>
      </w:r>
      <w:r>
        <w:rPr>
          <w:rFonts w:hint="eastAsia" w:ascii="仿宋_GB2312" w:hAnsi="宋体" w:eastAsia="仿宋_GB2312" w:cs="Courier New"/>
          <w:sz w:val="32"/>
          <w:szCs w:val="32"/>
          <w:lang w:val="en-US" w:eastAsia="zh-CN"/>
        </w:rPr>
        <w:t>816.26</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增加了</w:t>
      </w:r>
      <w:r>
        <w:rPr>
          <w:rFonts w:hint="eastAsia" w:ascii="仿宋_GB2312" w:hAnsi="宋体" w:eastAsia="仿宋_GB2312" w:cs="Courier New"/>
          <w:sz w:val="32"/>
          <w:szCs w:val="32"/>
          <w:lang w:val="en-US" w:eastAsia="zh-CN"/>
        </w:rPr>
        <w:t>24.56</w:t>
      </w:r>
      <w:r>
        <w:rPr>
          <w:rFonts w:hint="eastAsia" w:ascii="仿宋_GB2312" w:hAnsi="宋体" w:eastAsia="仿宋_GB2312" w:cs="Courier New"/>
          <w:sz w:val="32"/>
          <w:szCs w:val="32"/>
        </w:rPr>
        <w:t>%。</w:t>
      </w:r>
    </w:p>
    <w:p>
      <w:pPr>
        <w:numPr>
          <w:ilvl w:val="0"/>
          <w:numId w:val="0"/>
        </w:numPr>
        <w:adjustRightInd w:val="0"/>
        <w:snapToGrid w:val="0"/>
        <w:spacing w:line="360" w:lineRule="auto"/>
        <w:outlineLvl w:val="1"/>
        <w:rPr>
          <w:rFonts w:hint="eastAsia" w:ascii="黑体" w:hAnsi="黑体" w:eastAsia="黑体"/>
          <w:sz w:val="32"/>
          <w:szCs w:val="32"/>
          <w:lang w:eastAsia="zh-CN"/>
        </w:rPr>
      </w:pPr>
      <w:r>
        <w:rPr>
          <w:rFonts w:hint="eastAsia" w:ascii="黑体" w:hAnsi="黑体" w:eastAsia="黑体"/>
          <w:sz w:val="32"/>
          <w:szCs w:val="32"/>
          <w:lang w:eastAsia="zh-CN"/>
        </w:rPr>
        <w:t>五、关于一般公共预算财政拨款支出决算情况说明</w:t>
      </w:r>
    </w:p>
    <w:p>
      <w:pPr>
        <w:numPr>
          <w:ilvl w:val="0"/>
          <w:numId w:val="2"/>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hint="eastAsia" w:ascii="仿宋_GB2312" w:hAnsi="宋体" w:eastAsia="仿宋_GB2312" w:cs="Courier New"/>
          <w:sz w:val="32"/>
          <w:szCs w:val="32"/>
          <w:lang w:eastAsia="zh-CN"/>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年一般公共预算财政拨款支出</w:t>
      </w:r>
      <w:r>
        <w:rPr>
          <w:rFonts w:hint="eastAsia" w:ascii="仿宋_GB2312" w:hAnsi="宋体" w:eastAsia="仿宋_GB2312" w:cs="Courier New"/>
          <w:sz w:val="32"/>
          <w:szCs w:val="32"/>
          <w:lang w:val="en-US" w:eastAsia="zh-CN"/>
        </w:rPr>
        <w:t>4139.58</w:t>
      </w:r>
      <w:r>
        <w:rPr>
          <w:rFonts w:hint="eastAsia" w:ascii="仿宋_GB2312" w:hAnsi="宋体" w:eastAsia="仿宋_GB2312" w:cs="Courier New"/>
          <w:sz w:val="32"/>
          <w:szCs w:val="32"/>
        </w:rPr>
        <w:t>万元，占支出合计的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%。与</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年相比，一般公共预算财政拨款支出增加</w:t>
      </w:r>
      <w:r>
        <w:rPr>
          <w:rFonts w:hint="eastAsia" w:ascii="仿宋_GB2312" w:hAnsi="宋体" w:eastAsia="仿宋_GB2312" w:cs="Courier New"/>
          <w:sz w:val="32"/>
          <w:szCs w:val="32"/>
          <w:lang w:val="en-US" w:eastAsia="zh-CN"/>
        </w:rPr>
        <w:t>816.26</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增加了</w:t>
      </w:r>
      <w:r>
        <w:rPr>
          <w:rFonts w:hint="eastAsia" w:ascii="仿宋_GB2312" w:hAnsi="宋体" w:eastAsia="仿宋_GB2312" w:cs="Courier New"/>
          <w:sz w:val="32"/>
          <w:szCs w:val="32"/>
          <w:lang w:val="en-US" w:eastAsia="zh-CN"/>
        </w:rPr>
        <w:t>24.56</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增加的原因为上级指标提前下达。</w:t>
      </w:r>
    </w:p>
    <w:p>
      <w:pPr>
        <w:numPr>
          <w:ilvl w:val="0"/>
          <w:numId w:val="2"/>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年度一般公共预算财政拨款支出</w:t>
      </w:r>
      <w:r>
        <w:rPr>
          <w:rFonts w:hint="eastAsia" w:ascii="仿宋_GB2312" w:hAnsi="宋体" w:eastAsia="仿宋_GB2312" w:cs="Courier New"/>
          <w:sz w:val="32"/>
          <w:szCs w:val="32"/>
          <w:lang w:val="en-US" w:eastAsia="zh-CN"/>
        </w:rPr>
        <w:t>4139.58</w:t>
      </w:r>
      <w:r>
        <w:rPr>
          <w:rFonts w:hint="eastAsia" w:ascii="仿宋_GB2312" w:hAnsi="宋体" w:eastAsia="仿宋_GB2312" w:cs="Courier New"/>
          <w:sz w:val="32"/>
          <w:szCs w:val="32"/>
        </w:rPr>
        <w:t>万元，主要用于以下方面：</w:t>
      </w:r>
      <w:r>
        <w:rPr>
          <w:rFonts w:hint="eastAsia" w:ascii="仿宋_GB2312" w:hAnsi="宋体" w:eastAsia="仿宋_GB2312" w:cs="Courier New"/>
          <w:b/>
          <w:bCs/>
          <w:sz w:val="32"/>
          <w:szCs w:val="32"/>
          <w:lang w:eastAsia="zh-CN"/>
        </w:rPr>
        <w:t>基本支出</w:t>
      </w:r>
      <w:r>
        <w:rPr>
          <w:rFonts w:hint="eastAsia" w:ascii="仿宋_GB2312" w:hAnsi="宋体" w:eastAsia="仿宋_GB2312" w:cs="Courier New"/>
          <w:b/>
          <w:bCs/>
          <w:sz w:val="32"/>
          <w:szCs w:val="32"/>
          <w:lang w:val="en-US" w:eastAsia="zh-CN"/>
        </w:rPr>
        <w:t>1599.89</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38.65</w:t>
      </w:r>
      <w:r>
        <w:rPr>
          <w:rFonts w:hint="eastAsia" w:ascii="仿宋_GB2312" w:hAnsi="宋体" w:eastAsia="仿宋_GB2312" w:cs="Courier New"/>
          <w:sz w:val="32"/>
          <w:szCs w:val="32"/>
        </w:rPr>
        <w:t>%；项目支出</w:t>
      </w:r>
      <w:r>
        <w:rPr>
          <w:rFonts w:hint="eastAsia" w:ascii="仿宋_GB2312" w:hAnsi="宋体" w:eastAsia="仿宋_GB2312" w:cs="Courier New"/>
          <w:sz w:val="32"/>
          <w:szCs w:val="32"/>
          <w:lang w:val="en-US" w:eastAsia="zh-CN"/>
        </w:rPr>
        <w:t>2539.69</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占</w:t>
      </w:r>
      <w:r>
        <w:rPr>
          <w:rFonts w:hint="eastAsia" w:ascii="仿宋_GB2312" w:hAnsi="宋体" w:eastAsia="仿宋_GB2312" w:cs="Courier New"/>
          <w:sz w:val="32"/>
          <w:szCs w:val="32"/>
          <w:lang w:val="en-US" w:eastAsia="zh-CN"/>
        </w:rPr>
        <w:t>61.35</w:t>
      </w:r>
      <w:r>
        <w:rPr>
          <w:rFonts w:hint="eastAsia" w:ascii="仿宋_GB2312" w:hAnsi="宋体" w:eastAsia="仿宋_GB2312" w:cs="Courier New"/>
          <w:sz w:val="32"/>
          <w:szCs w:val="32"/>
        </w:rPr>
        <w:t>%。</w:t>
      </w:r>
    </w:p>
    <w:p>
      <w:pPr>
        <w:pStyle w:val="4"/>
        <w:widowControl/>
        <w:spacing w:line="315" w:lineRule="atLeast"/>
        <w:jc w:val="both"/>
        <w:rPr>
          <w:rFonts w:hint="eastAsia" w:ascii="仿宋_GB2312" w:hAnsi="仿宋_GB2312"/>
          <w:b/>
          <w:bCs/>
          <w:sz w:val="32"/>
          <w:szCs w:val="32"/>
          <w:lang w:eastAsia="zh-CN"/>
        </w:rPr>
      </w:pPr>
      <w:r>
        <w:rPr>
          <w:rFonts w:hint="eastAsia" w:ascii="仿宋_GB2312" w:hAnsi="仿宋_GB2312"/>
          <w:b/>
          <w:bCs/>
          <w:sz w:val="32"/>
          <w:szCs w:val="32"/>
          <w:lang w:eastAsia="zh-CN"/>
        </w:rPr>
        <w:t>六、关于一般公共预算财政拨款基本支出决算情况说明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7</w:t>
      </w:r>
      <w:r>
        <w:rPr>
          <w:rFonts w:hint="eastAsia" w:ascii="仿宋" w:hAnsi="仿宋" w:eastAsia="仿宋" w:cs="仿宋"/>
          <w:sz w:val="32"/>
          <w:szCs w:val="32"/>
        </w:rPr>
        <w:t>年一般公共预算财政拨款基本支出</w:t>
      </w:r>
      <w:r>
        <w:rPr>
          <w:rFonts w:hint="eastAsia" w:ascii="仿宋" w:hAnsi="仿宋" w:eastAsia="仿宋" w:cs="仿宋"/>
          <w:sz w:val="32"/>
          <w:szCs w:val="32"/>
          <w:lang w:val="en-US" w:eastAsia="zh-CN"/>
        </w:rPr>
        <w:t>1599.89</w:t>
      </w:r>
      <w:r>
        <w:rPr>
          <w:rFonts w:hint="eastAsia" w:ascii="仿宋" w:hAnsi="仿宋" w:eastAsia="仿宋" w:cs="仿宋"/>
          <w:sz w:val="32"/>
          <w:szCs w:val="32"/>
        </w:rPr>
        <w:t>万元，其中：</w:t>
      </w:r>
      <w:r>
        <w:rPr>
          <w:rFonts w:hint="eastAsia" w:ascii="仿宋" w:hAnsi="仿宋" w:eastAsia="仿宋" w:cs="仿宋"/>
          <w:b/>
          <w:bCs/>
          <w:sz w:val="32"/>
          <w:szCs w:val="32"/>
        </w:rPr>
        <w:t>人员经费</w:t>
      </w:r>
      <w:r>
        <w:rPr>
          <w:rFonts w:hint="eastAsia" w:ascii="仿宋" w:hAnsi="仿宋" w:eastAsia="仿宋" w:cs="仿宋"/>
          <w:sz w:val="32"/>
          <w:szCs w:val="32"/>
          <w:lang w:val="en-US" w:eastAsia="zh-CN"/>
        </w:rPr>
        <w:t>1435.65</w:t>
      </w:r>
      <w:r>
        <w:rPr>
          <w:rFonts w:hint="eastAsia" w:ascii="仿宋" w:hAnsi="仿宋" w:eastAsia="仿宋" w:cs="仿宋"/>
          <w:sz w:val="32"/>
          <w:szCs w:val="32"/>
        </w:rPr>
        <w:t>万元，主要包括：基本工资、津贴补贴、奖金、社会保障缴费、绩效工资、生活补助、抚恤金、医疗费、住房公积金、其他对个人和家庭的补助支出；</w:t>
      </w:r>
      <w:r>
        <w:rPr>
          <w:rFonts w:hint="eastAsia" w:ascii="仿宋" w:hAnsi="仿宋" w:eastAsia="仿宋" w:cs="仿宋"/>
          <w:b/>
          <w:bCs/>
          <w:sz w:val="32"/>
          <w:szCs w:val="32"/>
        </w:rPr>
        <w:t>公用经费</w:t>
      </w:r>
      <w:r>
        <w:rPr>
          <w:rFonts w:hint="eastAsia" w:ascii="仿宋" w:hAnsi="仿宋" w:eastAsia="仿宋" w:cs="仿宋"/>
          <w:b/>
          <w:bCs/>
          <w:sz w:val="32"/>
          <w:szCs w:val="32"/>
          <w:lang w:val="en-US" w:eastAsia="zh-CN"/>
        </w:rPr>
        <w:t>164.2393</w:t>
      </w:r>
      <w:r>
        <w:rPr>
          <w:rFonts w:hint="eastAsia" w:ascii="仿宋" w:hAnsi="仿宋" w:eastAsia="仿宋" w:cs="仿宋"/>
          <w:sz w:val="32"/>
          <w:szCs w:val="32"/>
        </w:rPr>
        <w:t>万元，主要包括：办公费、水费、电费、差旅费、维修（护）费、会议费、公务接待费、福利费、公务用车运行维护费、其他商品和服务支出、办公设备购置、其他资本性支出。</w:t>
      </w:r>
    </w:p>
    <w:p>
      <w:pPr>
        <w:pStyle w:val="4"/>
        <w:widowControl/>
        <w:spacing w:line="315" w:lineRule="atLeast"/>
        <w:ind w:left="643" w:hanging="643" w:hangingChars="200"/>
        <w:jc w:val="both"/>
        <w:rPr>
          <w:rFonts w:hint="eastAsia" w:ascii="仿宋_GB2312" w:hAnsi="仿宋_GB2312"/>
          <w:b/>
          <w:bCs/>
          <w:sz w:val="32"/>
          <w:szCs w:val="32"/>
          <w:lang w:eastAsia="zh-CN"/>
        </w:rPr>
      </w:pPr>
      <w:r>
        <w:rPr>
          <w:rFonts w:hint="eastAsia" w:ascii="仿宋_GB2312" w:hAnsi="仿宋_GB2312"/>
          <w:b/>
          <w:bCs/>
          <w:sz w:val="32"/>
          <w:szCs w:val="32"/>
          <w:lang w:eastAsia="zh-CN"/>
        </w:rPr>
        <w:t>七、关于一般公共预算财政拨款“三公”经费支出决算情况说明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0" w:firstLineChars="0"/>
        <w:jc w:val="left"/>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“三公”经费财政拨款支出决算总体情况说明。</w:t>
      </w:r>
    </w:p>
    <w:p>
      <w:pPr>
        <w:keepNext w:val="0"/>
        <w:keepLines w:val="0"/>
        <w:pageBreakBefore w:val="0"/>
        <w:kinsoku w:val="0"/>
        <w:wordWrap/>
        <w:overflowPunct w:val="0"/>
        <w:topLinePunct w:val="0"/>
        <w:autoSpaceDE w:val="0"/>
        <w:autoSpaceDN w:val="0"/>
        <w:bidi w:val="0"/>
        <w:adjustRightInd w:val="0"/>
        <w:snapToGrid w:val="0"/>
        <w:spacing w:line="360" w:lineRule="auto"/>
        <w:ind w:firstLine="640" w:firstLineChars="200"/>
        <w:jc w:val="left"/>
        <w:textAlignment w:val="auto"/>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年度“三公”经费财政拨款支出预算为</w:t>
      </w:r>
      <w:r>
        <w:rPr>
          <w:rFonts w:hint="eastAsia" w:ascii="仿宋_GB2312" w:hAnsi="宋体" w:eastAsia="仿宋_GB2312" w:cs="Courier New"/>
          <w:sz w:val="32"/>
          <w:szCs w:val="32"/>
          <w:lang w:val="en-US" w:eastAsia="zh-CN"/>
        </w:rPr>
        <w:t>38</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35.89</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94</w:t>
      </w:r>
      <w:r>
        <w:rPr>
          <w:rFonts w:hint="eastAsia" w:ascii="仿宋_GB2312" w:hAnsi="宋体" w:eastAsia="仿宋_GB2312" w:cs="Courier New"/>
          <w:sz w:val="32"/>
          <w:szCs w:val="32"/>
        </w:rPr>
        <w:t>%；公务接待费支出决算为</w:t>
      </w:r>
      <w:r>
        <w:rPr>
          <w:rFonts w:hint="eastAsia" w:ascii="仿宋_GB2312" w:hAnsi="宋体" w:eastAsia="仿宋_GB2312" w:cs="Courier New"/>
          <w:sz w:val="32"/>
          <w:szCs w:val="32"/>
          <w:lang w:val="en-US" w:eastAsia="zh-CN"/>
        </w:rPr>
        <w:t>7.47</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83</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年度“三公”经费支出决算数小于预算数的主要原因是</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我局把严格控制三公经费作为一项重要工作，采取有力措施，大力降低行政成本，主要原因是认真贯彻落实中央、省、市关于厉行节约的各项要求，严格执行中央八项规定，加强公务用车管理，规范公务接待活动的范围及标准，减少了相关支出。</w:t>
      </w:r>
    </w:p>
    <w:p>
      <w:pPr>
        <w:keepNext w:val="0"/>
        <w:keepLines w:val="0"/>
        <w:pageBreakBefore w:val="0"/>
        <w:kinsoku w:val="0"/>
        <w:wordWrap/>
        <w:overflowPunct w:val="0"/>
        <w:topLinePunct w:val="0"/>
        <w:autoSpaceDE w:val="0"/>
        <w:autoSpaceDN w:val="0"/>
        <w:bidi w:val="0"/>
        <w:adjustRightInd w:val="0"/>
        <w:snapToGrid w:val="0"/>
        <w:spacing w:line="360" w:lineRule="auto"/>
        <w:ind w:firstLine="640" w:firstLineChars="200"/>
        <w:jc w:val="left"/>
        <w:textAlignment w:val="auto"/>
        <w:rPr>
          <w:rFonts w:hint="eastAsia" w:ascii="楷体_GB2312" w:hAnsi="楷体_GB2312" w:eastAsia="楷体_GB2312" w:cs="楷体_GB2312"/>
          <w:sz w:val="32"/>
          <w:szCs w:val="32"/>
          <w:lang w:eastAsia="zh-CN"/>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年度“三公”经费财政拨款支出决算数比</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w:t>
      </w:r>
      <w:r>
        <w:rPr>
          <w:rFonts w:hint="eastAsia" w:ascii="仿宋_GB2312" w:hAnsi="宋体" w:eastAsia="仿宋_GB2312" w:cs="Courier New"/>
          <w:sz w:val="32"/>
          <w:szCs w:val="32"/>
          <w:lang w:eastAsia="zh-CN"/>
        </w:rPr>
        <w:t>决算数有所增加，增加的原因为报表统计口径发生了变化，</w:t>
      </w:r>
      <w:r>
        <w:rPr>
          <w:rFonts w:hint="eastAsia" w:ascii="仿宋_GB2312" w:hAnsi="宋体" w:eastAsia="仿宋_GB2312" w:cs="Courier New"/>
          <w:sz w:val="32"/>
          <w:szCs w:val="32"/>
          <w:lang w:val="en-US" w:eastAsia="zh-CN"/>
        </w:rPr>
        <w:t>2017年“三公”经费决算数包含局机关及各二级机构的“三公”经费数字。但</w:t>
      </w:r>
      <w:r>
        <w:rPr>
          <w:rFonts w:hint="eastAsia" w:ascii="仿宋_GB2312" w:hAnsi="宋体" w:eastAsia="仿宋_GB2312" w:cs="Courier New"/>
          <w:sz w:val="32"/>
          <w:szCs w:val="32"/>
        </w:rPr>
        <w:t>公务接待费支出决算减少</w:t>
      </w:r>
      <w:r>
        <w:rPr>
          <w:rFonts w:hint="eastAsia" w:ascii="仿宋_GB2312" w:hAnsi="宋体" w:eastAsia="仿宋_GB2312" w:cs="Courier New"/>
          <w:sz w:val="32"/>
          <w:szCs w:val="32"/>
          <w:lang w:val="en-US" w:eastAsia="zh-CN"/>
        </w:rPr>
        <w:t>3.3</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14</w:t>
      </w:r>
      <w:r>
        <w:rPr>
          <w:rFonts w:hint="eastAsia" w:ascii="仿宋_GB2312" w:hAnsi="宋体" w:eastAsia="仿宋_GB2312" w:cs="Courier New"/>
          <w:sz w:val="32"/>
          <w:szCs w:val="32"/>
        </w:rPr>
        <w:t>%。公务接待费支出减少的主要原因是</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认真贯彻落实中央、省、市关于厉行节约的各项要求，严格执行中央八项规定，加强公务用车管理，规范公务接待活动的范围及标准。</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“三公”经费财政拨款支出决算具体情况说明</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210" w:leftChars="100" w:firstLine="640" w:firstLineChars="200"/>
        <w:jc w:val="left"/>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1.因公出国（境）费为0万元。</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210" w:leftChars="10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公务接待费支出</w:t>
      </w:r>
      <w:r>
        <w:rPr>
          <w:rFonts w:hint="eastAsia" w:ascii="仿宋" w:hAnsi="仿宋" w:eastAsia="仿宋" w:cs="仿宋"/>
          <w:sz w:val="32"/>
          <w:szCs w:val="32"/>
          <w:lang w:val="en-US" w:eastAsia="zh-CN"/>
        </w:rPr>
        <w:t>7.47</w:t>
      </w:r>
      <w:r>
        <w:rPr>
          <w:rFonts w:hint="eastAsia" w:ascii="仿宋" w:hAnsi="仿宋" w:eastAsia="仿宋" w:cs="仿宋"/>
          <w:sz w:val="32"/>
          <w:szCs w:val="32"/>
        </w:rPr>
        <w:t>万元。</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210" w:leftChars="100" w:firstLine="640" w:firstLineChars="200"/>
        <w:jc w:val="left"/>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rPr>
        <w:t>主要用于</w:t>
      </w:r>
      <w:r>
        <w:rPr>
          <w:rFonts w:hint="eastAsia" w:ascii="仿宋" w:hAnsi="仿宋" w:eastAsia="仿宋" w:cs="仿宋"/>
          <w:sz w:val="32"/>
          <w:szCs w:val="32"/>
          <w:lang w:eastAsia="zh-CN"/>
        </w:rPr>
        <w:t>行政事务、业务往来等公务活动支出。公务接待次数</w:t>
      </w:r>
      <w:r>
        <w:rPr>
          <w:rFonts w:hint="eastAsia" w:ascii="仿宋" w:hAnsi="仿宋" w:eastAsia="仿宋" w:cs="仿宋"/>
          <w:sz w:val="32"/>
          <w:szCs w:val="32"/>
          <w:lang w:val="en-US" w:eastAsia="zh-CN"/>
        </w:rPr>
        <w:t>87次，公务接待人数约750人。</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210" w:leftChars="100" w:firstLine="640" w:firstLineChars="200"/>
        <w:jc w:val="left"/>
        <w:textAlignment w:val="auto"/>
        <w:outlineLvl w:val="1"/>
        <w:rPr>
          <w:rFonts w:hint="eastAsia" w:ascii="仿宋" w:hAnsi="仿宋" w:eastAsia="仿宋" w:cs="仿宋"/>
          <w:sz w:val="32"/>
          <w:szCs w:val="32"/>
          <w:lang w:eastAsia="zh-CN"/>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公务用车购置及运行费</w:t>
      </w:r>
      <w:r>
        <w:rPr>
          <w:rFonts w:hint="eastAsia" w:ascii="仿宋" w:hAnsi="仿宋" w:eastAsia="仿宋" w:cs="仿宋"/>
          <w:b w:val="0"/>
          <w:bCs w:val="0"/>
          <w:sz w:val="32"/>
          <w:szCs w:val="32"/>
          <w:lang w:val="en-US" w:eastAsia="zh-CN"/>
        </w:rPr>
        <w:t>28.4735</w:t>
      </w:r>
      <w:r>
        <w:rPr>
          <w:rFonts w:hint="eastAsia" w:ascii="仿宋" w:hAnsi="仿宋" w:eastAsia="仿宋" w:cs="仿宋"/>
          <w:b w:val="0"/>
          <w:bCs w:val="0"/>
          <w:sz w:val="32"/>
          <w:szCs w:val="32"/>
        </w:rPr>
        <w:t>元</w:t>
      </w:r>
      <w:r>
        <w:rPr>
          <w:rFonts w:hint="eastAsia" w:ascii="仿宋" w:hAnsi="仿宋" w:eastAsia="仿宋" w:cs="仿宋"/>
          <w:sz w:val="32"/>
          <w:szCs w:val="32"/>
        </w:rPr>
        <w:t>，其中，公务用车购置费0万元，公务用车运行维护费</w:t>
      </w:r>
      <w:r>
        <w:rPr>
          <w:rFonts w:hint="eastAsia" w:ascii="仿宋" w:hAnsi="仿宋" w:eastAsia="仿宋" w:cs="仿宋"/>
          <w:sz w:val="32"/>
          <w:szCs w:val="32"/>
          <w:lang w:val="en-US" w:eastAsia="zh-CN"/>
        </w:rPr>
        <w:t>28.4735</w:t>
      </w:r>
      <w:r>
        <w:rPr>
          <w:rFonts w:hint="eastAsia" w:ascii="仿宋" w:hAnsi="仿宋" w:eastAsia="仿宋" w:cs="仿宋"/>
          <w:sz w:val="32"/>
          <w:szCs w:val="32"/>
        </w:rPr>
        <w:t>万元，</w:t>
      </w:r>
      <w:r>
        <w:rPr>
          <w:rFonts w:hint="eastAsia" w:ascii="仿宋" w:hAnsi="仿宋" w:eastAsia="仿宋" w:cs="仿宋"/>
          <w:sz w:val="32"/>
          <w:szCs w:val="32"/>
          <w:lang w:eastAsia="zh-CN"/>
        </w:rPr>
        <w:t>公车保有量为</w:t>
      </w:r>
      <w:r>
        <w:rPr>
          <w:rFonts w:hint="eastAsia" w:ascii="仿宋" w:hAnsi="仿宋" w:eastAsia="仿宋" w:cs="仿宋"/>
          <w:sz w:val="32"/>
          <w:szCs w:val="32"/>
          <w:lang w:val="en-US" w:eastAsia="zh-CN"/>
        </w:rPr>
        <w:t>10辆，</w:t>
      </w:r>
      <w:r>
        <w:rPr>
          <w:rFonts w:hint="eastAsia" w:ascii="仿宋" w:hAnsi="仿宋" w:eastAsia="仿宋" w:cs="仿宋"/>
          <w:sz w:val="32"/>
          <w:szCs w:val="32"/>
        </w:rPr>
        <w:t>主要用于开展工作所需公务用车的燃料费、维修费、保险费等支出。</w:t>
      </w:r>
    </w:p>
    <w:p>
      <w:pPr>
        <w:pStyle w:val="4"/>
        <w:widowControl/>
        <w:spacing w:line="315" w:lineRule="atLeast"/>
        <w:ind w:left="643" w:hanging="643" w:hangingChars="200"/>
        <w:jc w:val="both"/>
        <w:rPr>
          <w:rFonts w:hint="eastAsia" w:ascii="仿宋_GB2312" w:hAnsi="仿宋_GB2312"/>
          <w:b/>
          <w:bCs/>
          <w:sz w:val="32"/>
          <w:szCs w:val="32"/>
          <w:lang w:eastAsia="zh-CN"/>
        </w:rPr>
      </w:pPr>
      <w:r>
        <w:rPr>
          <w:rFonts w:hint="eastAsia" w:ascii="仿宋_GB2312" w:hAnsi="仿宋_GB2312"/>
          <w:b/>
          <w:bCs/>
          <w:sz w:val="32"/>
          <w:szCs w:val="32"/>
          <w:lang w:eastAsia="zh-CN"/>
        </w:rPr>
        <w:t>八、关于政府性基金预算财政拨款支出决算情况说明</w:t>
      </w:r>
    </w:p>
    <w:p>
      <w:pPr>
        <w:kinsoku w:val="0"/>
        <w:overflowPunct w:val="0"/>
        <w:autoSpaceDE w:val="0"/>
        <w:autoSpaceDN w:val="0"/>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2017</w:t>
      </w:r>
      <w:r>
        <w:rPr>
          <w:rFonts w:hint="eastAsia" w:ascii="仿宋" w:hAnsi="仿宋" w:eastAsia="仿宋" w:cs="仿宋"/>
          <w:sz w:val="32"/>
          <w:szCs w:val="32"/>
        </w:rPr>
        <w:t>年度政府性基金预算财政拨款支出年初预算为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pStyle w:val="4"/>
        <w:widowControl/>
        <w:spacing w:line="315" w:lineRule="atLeast"/>
        <w:ind w:left="643" w:hanging="643" w:hangingChars="200"/>
        <w:jc w:val="both"/>
        <w:rPr>
          <w:rFonts w:hint="eastAsia" w:ascii="仿宋_GB2312" w:hAnsi="仿宋_GB2312"/>
          <w:b/>
          <w:bCs/>
          <w:sz w:val="32"/>
          <w:szCs w:val="32"/>
          <w:lang w:eastAsia="zh-CN"/>
        </w:rPr>
      </w:pPr>
      <w:r>
        <w:rPr>
          <w:rFonts w:hint="eastAsia" w:ascii="仿宋_GB2312" w:hAnsi="仿宋_GB2312"/>
          <w:b/>
          <w:bCs/>
          <w:sz w:val="32"/>
          <w:szCs w:val="32"/>
          <w:lang w:eastAsia="zh-CN"/>
        </w:rPr>
        <w:t>九、其他重要事项的情况说明</w:t>
      </w:r>
    </w:p>
    <w:p>
      <w:pPr>
        <w:keepNext w:val="0"/>
        <w:pageBreakBefore w:val="0"/>
        <w:widowControl w:val="0"/>
        <w:numPr>
          <w:ilvl w:val="0"/>
          <w:numId w:val="0"/>
        </w:numPr>
        <w:kinsoku w:val="0"/>
        <w:wordWrap/>
        <w:overflowPunct w:val="0"/>
        <w:topLinePunct w:val="0"/>
        <w:autoSpaceDE w:val="0"/>
        <w:autoSpaceDN w:val="0"/>
        <w:bidi w:val="0"/>
        <w:adjustRightInd w:val="0"/>
        <w:snapToGrid w:val="0"/>
        <w:spacing w:line="360" w:lineRule="auto"/>
        <w:ind w:leftChars="200" w:firstLine="0" w:firstLineChars="0"/>
        <w:jc w:val="left"/>
        <w:textAlignment w:val="auto"/>
        <w:rPr>
          <w:rFonts w:hint="eastAsia" w:ascii="仿宋" w:hAnsi="仿宋" w:eastAsia="仿宋" w:cs="仿宋"/>
          <w:bCs/>
          <w:kern w:val="0"/>
          <w:sz w:val="32"/>
          <w:szCs w:val="32"/>
        </w:rPr>
      </w:pPr>
      <w:r>
        <w:rPr>
          <w:rFonts w:hint="eastAsia" w:ascii="仿宋" w:hAnsi="仿宋" w:eastAsia="仿宋" w:cs="仿宋"/>
          <w:bCs/>
          <w:kern w:val="0"/>
          <w:sz w:val="32"/>
          <w:szCs w:val="32"/>
          <w:lang w:eastAsia="zh-CN"/>
        </w:rPr>
        <w:t>（一）</w:t>
      </w:r>
      <w:r>
        <w:rPr>
          <w:rFonts w:hint="eastAsia" w:ascii="仿宋" w:hAnsi="仿宋" w:eastAsia="仿宋" w:cs="仿宋"/>
          <w:bCs/>
          <w:kern w:val="0"/>
          <w:sz w:val="32"/>
          <w:szCs w:val="32"/>
        </w:rPr>
        <w:t>机关运行经费支出情况</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60" w:lineRule="auto"/>
        <w:ind w:leftChars="0" w:firstLine="640" w:firstLineChars="200"/>
        <w:jc w:val="left"/>
        <w:textAlignment w:val="auto"/>
        <w:outlineLvl w:val="9"/>
        <w:rPr>
          <w:rFonts w:hint="eastAsia" w:ascii="仿宋" w:hAnsi="仿宋" w:eastAsia="仿宋" w:cs="仿宋"/>
          <w:bCs/>
          <w:kern w:val="0"/>
          <w:sz w:val="32"/>
          <w:szCs w:val="32"/>
        </w:rPr>
      </w:pPr>
      <w:r>
        <w:rPr>
          <w:rFonts w:hint="eastAsia" w:ascii="仿宋" w:hAnsi="仿宋" w:eastAsia="仿宋" w:cs="仿宋"/>
          <w:b w:val="0"/>
          <w:bCs w:val="0"/>
          <w:sz w:val="32"/>
          <w:szCs w:val="32"/>
          <w:lang w:val="en-US" w:eastAsia="zh-CN"/>
        </w:rPr>
        <w:t>2017年浉河区林业局机关</w:t>
      </w:r>
      <w:r>
        <w:rPr>
          <w:rFonts w:hint="eastAsia" w:ascii="仿宋" w:hAnsi="仿宋" w:eastAsia="仿宋" w:cs="仿宋"/>
          <w:b w:val="0"/>
          <w:bCs w:val="0"/>
          <w:sz w:val="32"/>
          <w:szCs w:val="32"/>
          <w:lang w:eastAsia="zh-CN"/>
        </w:rPr>
        <w:t>运行经费为</w:t>
      </w:r>
      <w:r>
        <w:rPr>
          <w:rFonts w:hint="eastAsia" w:ascii="仿宋" w:hAnsi="仿宋" w:eastAsia="仿宋" w:cs="仿宋"/>
          <w:b w:val="0"/>
          <w:bCs w:val="0"/>
          <w:sz w:val="32"/>
          <w:szCs w:val="32"/>
          <w:lang w:val="en-US" w:eastAsia="zh-CN"/>
        </w:rPr>
        <w:t>66.28万元，比2016年减少了14.33万元，下降了17.77%。因报表统计口径发生变化，2017年决算报表中公用经费为164.2393万元包含浉河区林业局机关及各二级机构的公用经费。</w:t>
      </w:r>
    </w:p>
    <w:p>
      <w:pPr>
        <w:keepNext w:val="0"/>
        <w:pageBreakBefore w:val="0"/>
        <w:widowControl w:val="0"/>
        <w:numPr>
          <w:ilvl w:val="0"/>
          <w:numId w:val="0"/>
        </w:numPr>
        <w:kinsoku w:val="0"/>
        <w:wordWrap/>
        <w:overflowPunct w:val="0"/>
        <w:topLinePunct w:val="0"/>
        <w:autoSpaceDE w:val="0"/>
        <w:autoSpaceDN w:val="0"/>
        <w:bidi w:val="0"/>
        <w:adjustRightInd w:val="0"/>
        <w:snapToGrid w:val="0"/>
        <w:spacing w:line="360" w:lineRule="auto"/>
        <w:ind w:leftChars="200" w:firstLine="0" w:firstLineChars="0"/>
        <w:jc w:val="left"/>
        <w:textAlignment w:val="auto"/>
        <w:rPr>
          <w:rFonts w:hint="eastAsia" w:ascii="仿宋" w:hAnsi="仿宋" w:eastAsia="仿宋" w:cs="仿宋"/>
          <w:bCs/>
          <w:kern w:val="0"/>
          <w:sz w:val="32"/>
          <w:szCs w:val="32"/>
          <w:lang w:eastAsia="zh-CN"/>
        </w:rPr>
      </w:pPr>
      <w:r>
        <w:rPr>
          <w:rFonts w:hint="eastAsia" w:ascii="仿宋" w:hAnsi="仿宋" w:eastAsia="仿宋" w:cs="仿宋"/>
          <w:bCs/>
          <w:kern w:val="0"/>
          <w:sz w:val="32"/>
          <w:szCs w:val="32"/>
          <w:lang w:eastAsia="zh-CN"/>
        </w:rPr>
        <w:t>（二）政府采购支出情况。</w:t>
      </w:r>
    </w:p>
    <w:p>
      <w:pPr>
        <w:keepNext w:val="0"/>
        <w:pageBreakBefore w:val="0"/>
        <w:widowControl w:val="0"/>
        <w:kinsoku w:val="0"/>
        <w:wordWrap/>
        <w:overflowPunct w:val="0"/>
        <w:topLinePunct w:val="0"/>
        <w:autoSpaceDE w:val="0"/>
        <w:autoSpaceDN w:val="0"/>
        <w:bidi w:val="0"/>
        <w:adjustRightInd w:val="0"/>
        <w:snapToGrid w:val="0"/>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2017</w:t>
      </w:r>
      <w:r>
        <w:rPr>
          <w:rFonts w:hint="eastAsia" w:ascii="仿宋" w:hAnsi="仿宋" w:eastAsia="仿宋" w:cs="仿宋"/>
          <w:sz w:val="32"/>
          <w:szCs w:val="32"/>
        </w:rPr>
        <w:t>年度政府采购支出总额</w:t>
      </w:r>
      <w:r>
        <w:rPr>
          <w:rFonts w:hint="eastAsia" w:ascii="仿宋" w:hAnsi="仿宋" w:eastAsia="仿宋" w:cs="仿宋"/>
          <w:sz w:val="32"/>
          <w:szCs w:val="32"/>
          <w:lang w:val="en-US" w:eastAsia="zh-CN"/>
        </w:rPr>
        <w:t>3.8126</w:t>
      </w:r>
      <w:r>
        <w:rPr>
          <w:rFonts w:hint="eastAsia" w:ascii="仿宋" w:hAnsi="仿宋" w:eastAsia="仿宋" w:cs="仿宋"/>
          <w:sz w:val="32"/>
          <w:szCs w:val="32"/>
        </w:rPr>
        <w:t>万元，其中：政府采购货物支出</w:t>
      </w:r>
      <w:r>
        <w:rPr>
          <w:rFonts w:hint="eastAsia" w:ascii="仿宋" w:hAnsi="仿宋" w:eastAsia="仿宋" w:cs="仿宋"/>
          <w:sz w:val="32"/>
          <w:szCs w:val="32"/>
          <w:lang w:val="en-US" w:eastAsia="zh-CN"/>
        </w:rPr>
        <w:t>3.8126</w:t>
      </w:r>
      <w:r>
        <w:rPr>
          <w:rFonts w:hint="eastAsia" w:ascii="仿宋" w:hAnsi="仿宋" w:eastAsia="仿宋" w:cs="仿宋"/>
          <w:sz w:val="32"/>
          <w:szCs w:val="32"/>
        </w:rPr>
        <w:t>万元，</w:t>
      </w:r>
      <w:r>
        <w:rPr>
          <w:rFonts w:hint="eastAsia" w:ascii="仿宋" w:hAnsi="仿宋" w:eastAsia="仿宋" w:cs="仿宋"/>
          <w:sz w:val="32"/>
          <w:szCs w:val="32"/>
          <w:lang w:val="en-US" w:eastAsia="zh-CN"/>
        </w:rPr>
        <w:t>专业森林病虫害防治药物及设备24.6万元均通过政府采购办进行采购。</w:t>
      </w:r>
    </w:p>
    <w:p>
      <w:pPr>
        <w:keepNext w:val="0"/>
        <w:pageBreakBefore w:val="0"/>
        <w:widowControl w:val="0"/>
        <w:numPr>
          <w:ilvl w:val="0"/>
          <w:numId w:val="0"/>
        </w:numPr>
        <w:kinsoku w:val="0"/>
        <w:wordWrap/>
        <w:overflowPunct w:val="0"/>
        <w:topLinePunct w:val="0"/>
        <w:autoSpaceDE w:val="0"/>
        <w:autoSpaceDN w:val="0"/>
        <w:bidi w:val="0"/>
        <w:adjustRightInd w:val="0"/>
        <w:snapToGrid w:val="0"/>
        <w:spacing w:line="360" w:lineRule="auto"/>
        <w:ind w:leftChars="200" w:firstLine="0" w:firstLineChars="0"/>
        <w:jc w:val="left"/>
        <w:textAlignment w:val="auto"/>
        <w:rPr>
          <w:rFonts w:hint="eastAsia" w:ascii="仿宋" w:hAnsi="仿宋" w:eastAsia="仿宋" w:cs="仿宋"/>
          <w:bCs/>
          <w:kern w:val="0"/>
          <w:sz w:val="32"/>
          <w:szCs w:val="32"/>
          <w:lang w:eastAsia="zh-CN"/>
        </w:rPr>
      </w:pPr>
      <w:r>
        <w:rPr>
          <w:rFonts w:hint="eastAsia" w:ascii="仿宋" w:hAnsi="仿宋" w:eastAsia="仿宋" w:cs="仿宋"/>
          <w:bCs/>
          <w:kern w:val="0"/>
          <w:sz w:val="32"/>
          <w:szCs w:val="32"/>
          <w:lang w:eastAsia="zh-CN"/>
        </w:rPr>
        <w:t>（三）国有资产占用情况。</w:t>
      </w:r>
    </w:p>
    <w:p>
      <w:pPr>
        <w:keepNext w:val="0"/>
        <w:keepLines/>
        <w:pageBreakBefore w:val="0"/>
        <w:widowControl w:val="0"/>
        <w:kinsoku w:val="0"/>
        <w:wordWrap/>
        <w:overflowPunct w:val="0"/>
        <w:topLinePunct w:val="0"/>
        <w:autoSpaceDE w:val="0"/>
        <w:autoSpaceDN w:val="0"/>
        <w:bidi w:val="0"/>
        <w:adjustRightInd w:val="0"/>
        <w:snapToGrid w:val="0"/>
        <w:spacing w:line="360" w:lineRule="auto"/>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2017年期末</w:t>
      </w:r>
      <w:r>
        <w:rPr>
          <w:rFonts w:hint="eastAsia" w:ascii="仿宋" w:hAnsi="仿宋" w:eastAsia="仿宋" w:cs="仿宋"/>
          <w:sz w:val="32"/>
          <w:szCs w:val="32"/>
          <w:lang w:eastAsia="zh-CN"/>
        </w:rPr>
        <w:t>林业局系统现有执法执勤车辆</w:t>
      </w:r>
      <w:r>
        <w:rPr>
          <w:rFonts w:hint="eastAsia" w:ascii="仿宋" w:hAnsi="仿宋" w:eastAsia="仿宋" w:cs="仿宋"/>
          <w:sz w:val="32"/>
          <w:szCs w:val="32"/>
          <w:lang w:val="en-US" w:eastAsia="zh-CN"/>
        </w:rPr>
        <w:t>6辆，森林防火指挥车3辆，特种用途车1辆。单价50万元以上通用设备无。</w:t>
      </w:r>
    </w:p>
    <w:p>
      <w:pPr>
        <w:numPr>
          <w:ilvl w:val="0"/>
          <w:numId w:val="0"/>
        </w:numPr>
        <w:kinsoku w:val="0"/>
        <w:overflowPunct w:val="0"/>
        <w:autoSpaceDE w:val="0"/>
        <w:autoSpaceDN w:val="0"/>
        <w:adjustRightInd w:val="0"/>
        <w:snapToGrid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（四）固定资产收益情况。</w:t>
      </w:r>
    </w:p>
    <w:p>
      <w:pPr>
        <w:keepNext w:val="0"/>
        <w:keepLines/>
        <w:pageBreakBefore w:val="0"/>
        <w:widowControl w:val="0"/>
        <w:kinsoku w:val="0"/>
        <w:wordWrap/>
        <w:overflowPunct w:val="0"/>
        <w:topLinePunct w:val="0"/>
        <w:autoSpaceDE w:val="0"/>
        <w:autoSpaceDN w:val="0"/>
        <w:bidi w:val="0"/>
        <w:adjustRightInd w:val="0"/>
        <w:snapToGrid w:val="0"/>
        <w:spacing w:line="360" w:lineRule="auto"/>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2017年，本单位无固定资产收益。</w:t>
      </w:r>
    </w:p>
    <w:p>
      <w:pPr>
        <w:numPr>
          <w:ilvl w:val="0"/>
          <w:numId w:val="0"/>
        </w:numPr>
        <w:kinsoku w:val="0"/>
        <w:overflowPunct w:val="0"/>
        <w:autoSpaceDE w:val="0"/>
        <w:autoSpaceDN w:val="0"/>
        <w:adjustRightInd w:val="0"/>
        <w:snapToGrid w:val="0"/>
        <w:spacing w:line="360" w:lineRule="auto"/>
        <w:ind w:left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（五）重点项目预算的绩效目标等预算绩效情况说明。</w:t>
      </w:r>
    </w:p>
    <w:p>
      <w:pPr>
        <w:keepNext w:val="0"/>
        <w:keepLines/>
        <w:pageBreakBefore w:val="0"/>
        <w:widowControl w:val="0"/>
        <w:kinsoku w:val="0"/>
        <w:wordWrap/>
        <w:overflowPunct w:val="0"/>
        <w:topLinePunct w:val="0"/>
        <w:autoSpaceDE w:val="0"/>
        <w:autoSpaceDN w:val="0"/>
        <w:bidi w:val="0"/>
        <w:adjustRightInd w:val="0"/>
        <w:snapToGrid w:val="0"/>
        <w:spacing w:line="360" w:lineRule="auto"/>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2017年，本单位无重点项目，未做重点项目预算绩效目标。</w:t>
      </w:r>
    </w:p>
    <w:p>
      <w:pPr>
        <w:pStyle w:val="4"/>
        <w:widowControl/>
        <w:spacing w:line="315" w:lineRule="atLeast"/>
        <w:ind w:right="522" w:firstLine="2570" w:firstLineChars="800"/>
        <w:jc w:val="left"/>
        <w:rPr>
          <w:rFonts w:hint="eastAsia" w:ascii="仿宋_GB2312" w:hAnsi="仿宋_GB2312"/>
          <w:b/>
          <w:bCs/>
          <w:sz w:val="32"/>
          <w:szCs w:val="32"/>
          <w:lang w:eastAsia="zh-CN"/>
        </w:rPr>
      </w:pPr>
    </w:p>
    <w:p>
      <w:pPr>
        <w:pStyle w:val="4"/>
        <w:widowControl/>
        <w:spacing w:line="315" w:lineRule="atLeast"/>
        <w:ind w:right="522" w:firstLine="2570" w:firstLineChars="800"/>
        <w:jc w:val="left"/>
        <w:rPr>
          <w:rFonts w:hint="eastAsia" w:ascii="仿宋_GB2312" w:hAnsi="仿宋_GB2312"/>
          <w:b/>
          <w:bCs/>
          <w:sz w:val="32"/>
          <w:szCs w:val="32"/>
          <w:lang w:eastAsia="zh-CN"/>
        </w:rPr>
      </w:pPr>
    </w:p>
    <w:p>
      <w:pPr>
        <w:pStyle w:val="4"/>
        <w:widowControl/>
        <w:spacing w:line="315" w:lineRule="atLeast"/>
        <w:ind w:right="522" w:firstLine="2570" w:firstLineChars="800"/>
        <w:jc w:val="left"/>
        <w:rPr>
          <w:rFonts w:hint="eastAsia" w:ascii="仿宋_GB2312" w:hAnsi="仿宋_GB2312"/>
          <w:b/>
          <w:bCs/>
          <w:sz w:val="32"/>
          <w:szCs w:val="32"/>
          <w:lang w:eastAsia="zh-CN"/>
        </w:rPr>
      </w:pPr>
      <w:r>
        <w:rPr>
          <w:rFonts w:hint="eastAsia" w:ascii="仿宋_GB2312" w:hAnsi="仿宋_GB2312"/>
          <w:b/>
          <w:bCs/>
          <w:sz w:val="32"/>
          <w:szCs w:val="32"/>
          <w:lang w:eastAsia="zh-CN"/>
        </w:rPr>
        <w:t>第三部分：名词解释</w:t>
      </w:r>
    </w:p>
    <w:p>
      <w:pPr>
        <w:numPr>
          <w:ilvl w:val="0"/>
          <w:numId w:val="0"/>
        </w:numPr>
        <w:kinsoku w:val="0"/>
        <w:overflowPunct w:val="0"/>
        <w:autoSpaceDE w:val="0"/>
        <w:autoSpaceDN w:val="0"/>
        <w:adjustRightInd w:val="0"/>
        <w:snapToGrid w:val="0"/>
        <w:spacing w:line="360" w:lineRule="auto"/>
        <w:rPr>
          <w:rFonts w:hint="eastAsia" w:ascii="仿宋" w:hAnsi="仿宋" w:eastAsia="仿宋" w:cs="仿宋"/>
          <w:b/>
          <w:bCs/>
          <w:sz w:val="32"/>
          <w:szCs w:val="32"/>
        </w:rPr>
      </w:pPr>
    </w:p>
    <w:p>
      <w:pPr>
        <w:numPr>
          <w:ilvl w:val="0"/>
          <w:numId w:val="0"/>
        </w:numPr>
        <w:kinsoku w:val="0"/>
        <w:overflowPunct w:val="0"/>
        <w:autoSpaceDE w:val="0"/>
        <w:autoSpaceDN w:val="0"/>
        <w:adjustRightInd w:val="0"/>
        <w:snapToGrid w:val="0"/>
        <w:spacing w:line="360" w:lineRule="auto"/>
        <w:rPr>
          <w:rFonts w:hint="eastAsia" w:ascii="仿宋" w:hAnsi="仿宋" w:eastAsia="仿宋" w:cs="仿宋"/>
          <w:b/>
          <w:bCs/>
          <w:sz w:val="32"/>
          <w:szCs w:val="32"/>
        </w:rPr>
      </w:pPr>
      <w:r>
        <w:rPr>
          <w:rFonts w:hint="eastAsia" w:ascii="仿宋" w:hAnsi="仿宋" w:eastAsia="仿宋" w:cs="仿宋"/>
          <w:b/>
          <w:bCs/>
          <w:sz w:val="32"/>
          <w:szCs w:val="32"/>
        </w:rPr>
        <w:t>财政拨款收入：</w:t>
      </w:r>
      <w:r>
        <w:rPr>
          <w:rFonts w:hint="eastAsia" w:ascii="仿宋" w:hAnsi="仿宋" w:eastAsia="仿宋" w:cs="仿宋"/>
          <w:sz w:val="32"/>
          <w:szCs w:val="32"/>
        </w:rPr>
        <w:t>是指省级财政当年拨付的资金。</w:t>
      </w:r>
    </w:p>
    <w:p>
      <w:pPr>
        <w:numPr>
          <w:ilvl w:val="0"/>
          <w:numId w:val="3"/>
        </w:numPr>
        <w:kinsoku w:val="0"/>
        <w:overflowPunct w:val="0"/>
        <w:autoSpaceDE w:val="0"/>
        <w:autoSpaceDN w:val="0"/>
        <w:adjustRightInd w:val="0"/>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事业收入：</w:t>
      </w:r>
      <w:r>
        <w:rPr>
          <w:rFonts w:hint="eastAsia" w:ascii="仿宋" w:hAnsi="仿宋" w:eastAsia="仿宋" w:cs="仿宋"/>
          <w:sz w:val="32"/>
          <w:szCs w:val="32"/>
        </w:rPr>
        <w:t>是指事业单位开展专业业务活动及辅助活动所取得的收入。如：ＸＸ刊物发行收入，ＸＸ协会收取的会费收入等。</w:t>
      </w:r>
    </w:p>
    <w:p>
      <w:pPr>
        <w:numPr>
          <w:ilvl w:val="0"/>
          <w:numId w:val="3"/>
        </w:numPr>
        <w:kinsoku w:val="0"/>
        <w:overflowPunct w:val="0"/>
        <w:autoSpaceDE w:val="0"/>
        <w:autoSpaceDN w:val="0"/>
        <w:adjustRightInd w:val="0"/>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经营收入：</w:t>
      </w:r>
      <w:r>
        <w:rPr>
          <w:rFonts w:hint="eastAsia" w:ascii="仿宋" w:hAnsi="仿宋" w:eastAsia="仿宋" w:cs="仿宋"/>
          <w:sz w:val="32"/>
          <w:szCs w:val="32"/>
        </w:rPr>
        <w:t>指事业单位在专业业务活动及其辅助活动之外开展非独立核算经营活动取得的收入。如：ＸＸ杂志社广告收入等。</w:t>
      </w:r>
    </w:p>
    <w:p>
      <w:pPr>
        <w:numPr>
          <w:ilvl w:val="0"/>
          <w:numId w:val="3"/>
        </w:numPr>
        <w:kinsoku w:val="0"/>
        <w:overflowPunct w:val="0"/>
        <w:autoSpaceDE w:val="0"/>
        <w:autoSpaceDN w:val="0"/>
        <w:adjustRightInd w:val="0"/>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其他收入：</w:t>
      </w:r>
      <w:r>
        <w:rPr>
          <w:rFonts w:hint="eastAsia" w:ascii="仿宋" w:hAnsi="仿宋" w:eastAsia="仿宋" w:cs="仿宋"/>
          <w:sz w:val="32"/>
          <w:szCs w:val="32"/>
        </w:rPr>
        <w:t>指除上述“财政拨款收入”、“事业收入”、“事业单位经营收入”、“经营收入”等以外的收入。主要是按规定动用的售房收入、存款利息收入等。</w:t>
      </w:r>
    </w:p>
    <w:p>
      <w:pPr>
        <w:numPr>
          <w:ilvl w:val="0"/>
          <w:numId w:val="3"/>
        </w:numPr>
        <w:kinsoku w:val="0"/>
        <w:overflowPunct w:val="0"/>
        <w:autoSpaceDE w:val="0"/>
        <w:autoSpaceDN w:val="0"/>
        <w:adjustRightInd w:val="0"/>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用事业基金弥补收支差额：</w:t>
      </w:r>
      <w:r>
        <w:rPr>
          <w:rFonts w:hint="eastAsia" w:ascii="仿宋" w:hAnsi="仿宋" w:eastAsia="仿宋" w:cs="仿宋"/>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仿宋"/>
          <w:b/>
          <w:bCs/>
          <w:sz w:val="32"/>
          <w:szCs w:val="32"/>
        </w:rPr>
        <w:t>。</w:t>
      </w:r>
    </w:p>
    <w:p>
      <w:pPr>
        <w:numPr>
          <w:ilvl w:val="0"/>
          <w:numId w:val="3"/>
        </w:numPr>
        <w:kinsoku w:val="0"/>
        <w:overflowPunct w:val="0"/>
        <w:autoSpaceDE w:val="0"/>
        <w:autoSpaceDN w:val="0"/>
        <w:adjustRightInd w:val="0"/>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年初结转和结余：</w:t>
      </w:r>
      <w:r>
        <w:rPr>
          <w:rFonts w:hint="eastAsia" w:ascii="仿宋" w:hAnsi="仿宋" w:eastAsia="仿宋" w:cs="仿宋"/>
          <w:sz w:val="32"/>
          <w:szCs w:val="32"/>
        </w:rPr>
        <w:t>指以前年度尚未完成、结转到本年按有关规定继续使用的资金。</w:t>
      </w:r>
    </w:p>
    <w:p>
      <w:pPr>
        <w:numPr>
          <w:ilvl w:val="0"/>
          <w:numId w:val="3"/>
        </w:numPr>
        <w:kinsoku w:val="0"/>
        <w:overflowPunct w:val="0"/>
        <w:autoSpaceDE w:val="0"/>
        <w:autoSpaceDN w:val="0"/>
        <w:adjustRightInd w:val="0"/>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一般公共服务（类）财政事务（款）行政运行（项）</w:t>
      </w:r>
      <w:r>
        <w:rPr>
          <w:rFonts w:hint="eastAsia" w:ascii="仿宋" w:hAnsi="仿宋" w:eastAsia="仿宋" w:cs="仿宋"/>
          <w:b/>
          <w:bCs/>
          <w:color w:val="FF0000"/>
          <w:sz w:val="32"/>
          <w:szCs w:val="32"/>
        </w:rPr>
        <w:t>（请根据单位实际情况，参照《</w:t>
      </w:r>
      <w:r>
        <w:rPr>
          <w:rFonts w:hint="eastAsia" w:ascii="仿宋" w:hAnsi="仿宋" w:eastAsia="仿宋" w:cs="仿宋"/>
          <w:b/>
          <w:bCs/>
          <w:color w:val="FF0000"/>
          <w:sz w:val="32"/>
          <w:szCs w:val="32"/>
          <w:lang w:eastAsia="zh-CN"/>
        </w:rPr>
        <w:t>2017</w:t>
      </w:r>
      <w:r>
        <w:rPr>
          <w:rFonts w:hint="eastAsia" w:ascii="仿宋" w:hAnsi="仿宋" w:eastAsia="仿宋" w:cs="仿宋"/>
          <w:b/>
          <w:bCs/>
          <w:color w:val="FF0000"/>
          <w:sz w:val="32"/>
          <w:szCs w:val="32"/>
        </w:rPr>
        <w:t>年政府收支分类科目》和对口中央部门决算公开信息填写）</w:t>
      </w:r>
      <w:r>
        <w:rPr>
          <w:rFonts w:hint="eastAsia" w:ascii="仿宋" w:hAnsi="仿宋" w:eastAsia="仿宋" w:cs="仿宋"/>
          <w:b/>
          <w:bCs/>
          <w:sz w:val="32"/>
          <w:szCs w:val="32"/>
        </w:rPr>
        <w:t>：</w:t>
      </w:r>
      <w:r>
        <w:rPr>
          <w:rFonts w:hint="eastAsia" w:ascii="仿宋" w:hAnsi="仿宋" w:eastAsia="仿宋" w:cs="仿宋"/>
          <w:sz w:val="32"/>
          <w:szCs w:val="32"/>
        </w:rPr>
        <w:t>是指ＸＸ厅（局）用于保障机构正常运行、开展日常工作的基本支出。</w:t>
      </w:r>
    </w:p>
    <w:p>
      <w:pPr>
        <w:numPr>
          <w:ilvl w:val="0"/>
          <w:numId w:val="3"/>
        </w:numPr>
        <w:kinsoku w:val="0"/>
        <w:overflowPunct w:val="0"/>
        <w:autoSpaceDE w:val="0"/>
        <w:autoSpaceDN w:val="0"/>
        <w:adjustRightInd w:val="0"/>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一般公共服务（类）财政事务（款）一般行政管理事务（项）：</w:t>
      </w:r>
      <w:r>
        <w:rPr>
          <w:rFonts w:hint="eastAsia" w:ascii="仿宋" w:hAnsi="仿宋" w:eastAsia="仿宋" w:cs="仿宋"/>
          <w:sz w:val="32"/>
          <w:szCs w:val="32"/>
        </w:rPr>
        <w:t>指ＸＸ厅（局）行政单位及参照公务员法管理的事业单位开展财政立法、决算编审、资产产权管理等未单独设置项级科目的专门性财政管理工作的项目支出。</w:t>
      </w:r>
    </w:p>
    <w:p>
      <w:pPr>
        <w:numPr>
          <w:ilvl w:val="0"/>
          <w:numId w:val="3"/>
        </w:numPr>
        <w:kinsoku w:val="0"/>
        <w:overflowPunct w:val="0"/>
        <w:autoSpaceDE w:val="0"/>
        <w:autoSpaceDN w:val="0"/>
        <w:adjustRightInd w:val="0"/>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结余分配：</w:t>
      </w:r>
      <w:r>
        <w:rPr>
          <w:rFonts w:hint="eastAsia" w:ascii="仿宋" w:hAnsi="仿宋" w:eastAsia="仿宋" w:cs="仿宋"/>
          <w:sz w:val="32"/>
          <w:szCs w:val="32"/>
        </w:rPr>
        <w:t>指事业单位按规定提取的职工福利基金、事业基金和缴纳的所得税，以及建设单位按规定应交回的基本建设竣工项目结余资金。</w:t>
      </w:r>
    </w:p>
    <w:p>
      <w:pPr>
        <w:numPr>
          <w:ilvl w:val="0"/>
          <w:numId w:val="3"/>
        </w:numPr>
        <w:kinsoku w:val="0"/>
        <w:overflowPunct w:val="0"/>
        <w:autoSpaceDE w:val="0"/>
        <w:autoSpaceDN w:val="0"/>
        <w:adjustRightInd w:val="0"/>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年末结转和结余：</w:t>
      </w:r>
      <w:r>
        <w:rPr>
          <w:rFonts w:hint="eastAsia" w:ascii="仿宋" w:hAnsi="仿宋" w:eastAsia="仿宋" w:cs="仿宋"/>
          <w:sz w:val="32"/>
          <w:szCs w:val="32"/>
        </w:rPr>
        <w:t>指本年度或以前年度预算安排、因客观条件发生变化无法按原计划实施，需延迟到以后年度按有关规定继续使用的资金。</w:t>
      </w:r>
    </w:p>
    <w:p>
      <w:pPr>
        <w:numPr>
          <w:ilvl w:val="0"/>
          <w:numId w:val="3"/>
        </w:numPr>
        <w:kinsoku w:val="0"/>
        <w:overflowPunct w:val="0"/>
        <w:autoSpaceDE w:val="0"/>
        <w:autoSpaceDN w:val="0"/>
        <w:adjustRightInd w:val="0"/>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基本支出：</w:t>
      </w:r>
      <w:r>
        <w:rPr>
          <w:rFonts w:hint="eastAsia" w:ascii="仿宋" w:hAnsi="仿宋" w:eastAsia="仿宋" w:cs="仿宋"/>
          <w:sz w:val="32"/>
          <w:szCs w:val="32"/>
        </w:rPr>
        <w:t>指为保障机构正常运转、完成日常工作任务而发生的人员支出和公用支出。</w:t>
      </w:r>
    </w:p>
    <w:p>
      <w:pPr>
        <w:numPr>
          <w:ilvl w:val="0"/>
          <w:numId w:val="3"/>
        </w:numPr>
        <w:kinsoku w:val="0"/>
        <w:overflowPunct w:val="0"/>
        <w:autoSpaceDE w:val="0"/>
        <w:autoSpaceDN w:val="0"/>
        <w:adjustRightInd w:val="0"/>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项目支出：</w:t>
      </w:r>
      <w:r>
        <w:rPr>
          <w:rFonts w:hint="eastAsia" w:ascii="仿宋" w:hAnsi="仿宋" w:eastAsia="仿宋" w:cs="仿宋"/>
          <w:sz w:val="32"/>
          <w:szCs w:val="32"/>
        </w:rPr>
        <w:t>指在基本支出之外为完成特定行政任务和事业发展目标所发生的支出。</w:t>
      </w:r>
    </w:p>
    <w:p>
      <w:pPr>
        <w:numPr>
          <w:ilvl w:val="0"/>
          <w:numId w:val="3"/>
        </w:numPr>
        <w:kinsoku w:val="0"/>
        <w:overflowPunct w:val="0"/>
        <w:autoSpaceDE w:val="0"/>
        <w:autoSpaceDN w:val="0"/>
        <w:adjustRightInd w:val="0"/>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经营支出：</w:t>
      </w:r>
      <w:r>
        <w:rPr>
          <w:rFonts w:hint="eastAsia" w:ascii="仿宋" w:hAnsi="仿宋" w:eastAsia="仿宋" w:cs="仿宋"/>
          <w:sz w:val="32"/>
          <w:szCs w:val="32"/>
        </w:rPr>
        <w:t>指事业单位在专业业务活动及其辅助活动之外开展非独立核算经营活动发生的支出。</w:t>
      </w:r>
    </w:p>
    <w:p>
      <w:pPr>
        <w:numPr>
          <w:ilvl w:val="0"/>
          <w:numId w:val="3"/>
        </w:numPr>
        <w:kinsoku w:val="0"/>
        <w:overflowPunct w:val="0"/>
        <w:autoSpaceDE w:val="0"/>
        <w:autoSpaceDN w:val="0"/>
        <w:adjustRightInd w:val="0"/>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“三公”经费：</w:t>
      </w:r>
      <w:r>
        <w:rPr>
          <w:rFonts w:hint="eastAsia" w:ascii="仿宋" w:hAnsi="仿宋" w:eastAsia="仿宋" w:cs="仿宋"/>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3"/>
        </w:numPr>
        <w:kinsoku w:val="0"/>
        <w:overflowPunct w:val="0"/>
        <w:autoSpaceDE w:val="0"/>
        <w:autoSpaceDN w:val="0"/>
        <w:adjustRightInd w:val="0"/>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机关运行经费：</w:t>
      </w:r>
      <w:r>
        <w:rPr>
          <w:rFonts w:hint="eastAsia" w:ascii="仿宋" w:hAnsi="仿宋" w:eastAsia="仿宋" w:cs="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hint="eastAsia" w:ascii="仿宋" w:hAnsi="仿宋" w:eastAsia="仿宋" w:cs="仿宋"/>
          <w:sz w:val="30"/>
          <w:szCs w:val="30"/>
        </w:rPr>
      </w:pPr>
    </w:p>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2010601030101010101"/>
    <w:charset w:val="86"/>
    <w:family w:val="auto"/>
    <w:pitch w:val="default"/>
    <w:sig w:usb0="00000000" w:usb1="0000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2">
    <w:nsid w:val="5971F72C"/>
    <w:multiLevelType w:val="singleLevel"/>
    <w:tmpl w:val="5971F72C"/>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6149E"/>
    <w:rsid w:val="00630D31"/>
    <w:rsid w:val="00B539D0"/>
    <w:rsid w:val="00B54309"/>
    <w:rsid w:val="00B84FB0"/>
    <w:rsid w:val="01064770"/>
    <w:rsid w:val="04453648"/>
    <w:rsid w:val="05513695"/>
    <w:rsid w:val="09BB2134"/>
    <w:rsid w:val="0D9708B0"/>
    <w:rsid w:val="0E61169F"/>
    <w:rsid w:val="0F746AE5"/>
    <w:rsid w:val="104D70F8"/>
    <w:rsid w:val="13DA4090"/>
    <w:rsid w:val="14881297"/>
    <w:rsid w:val="14C50CD3"/>
    <w:rsid w:val="153740AB"/>
    <w:rsid w:val="15492582"/>
    <w:rsid w:val="15702E8F"/>
    <w:rsid w:val="1AA1547E"/>
    <w:rsid w:val="1BB26345"/>
    <w:rsid w:val="1CB723DD"/>
    <w:rsid w:val="1E7D3B34"/>
    <w:rsid w:val="1F6646F4"/>
    <w:rsid w:val="209C4FF0"/>
    <w:rsid w:val="220226D7"/>
    <w:rsid w:val="22421F9B"/>
    <w:rsid w:val="24EA41EA"/>
    <w:rsid w:val="258F34D6"/>
    <w:rsid w:val="26524155"/>
    <w:rsid w:val="28194D8A"/>
    <w:rsid w:val="2BA4769A"/>
    <w:rsid w:val="2BE2624C"/>
    <w:rsid w:val="2CD06EF4"/>
    <w:rsid w:val="2D2C7136"/>
    <w:rsid w:val="2DFA2CC2"/>
    <w:rsid w:val="301F3AFA"/>
    <w:rsid w:val="31565C5B"/>
    <w:rsid w:val="3283217E"/>
    <w:rsid w:val="32EF40CE"/>
    <w:rsid w:val="36073C56"/>
    <w:rsid w:val="372974AC"/>
    <w:rsid w:val="377D1121"/>
    <w:rsid w:val="39B921F7"/>
    <w:rsid w:val="39D21D26"/>
    <w:rsid w:val="3CE47224"/>
    <w:rsid w:val="3D2F2479"/>
    <w:rsid w:val="42271DDB"/>
    <w:rsid w:val="42F12C2E"/>
    <w:rsid w:val="43A213F8"/>
    <w:rsid w:val="449E32E1"/>
    <w:rsid w:val="46BB2A79"/>
    <w:rsid w:val="48036E61"/>
    <w:rsid w:val="48B52937"/>
    <w:rsid w:val="48EE3EF3"/>
    <w:rsid w:val="494C5A9E"/>
    <w:rsid w:val="4A33629C"/>
    <w:rsid w:val="4AF33FF4"/>
    <w:rsid w:val="4B9F43A9"/>
    <w:rsid w:val="4C1E2F28"/>
    <w:rsid w:val="4E14762A"/>
    <w:rsid w:val="4FA41FFA"/>
    <w:rsid w:val="512A09EE"/>
    <w:rsid w:val="512C533E"/>
    <w:rsid w:val="51AD42DE"/>
    <w:rsid w:val="53E9756D"/>
    <w:rsid w:val="548738EE"/>
    <w:rsid w:val="55AD6510"/>
    <w:rsid w:val="5651051D"/>
    <w:rsid w:val="57BB5F84"/>
    <w:rsid w:val="57E961A8"/>
    <w:rsid w:val="581E77CF"/>
    <w:rsid w:val="58415DE9"/>
    <w:rsid w:val="58B06254"/>
    <w:rsid w:val="59E3092F"/>
    <w:rsid w:val="5AF25131"/>
    <w:rsid w:val="5F175686"/>
    <w:rsid w:val="5F3A0145"/>
    <w:rsid w:val="600176AC"/>
    <w:rsid w:val="627358F6"/>
    <w:rsid w:val="6431638A"/>
    <w:rsid w:val="643A7477"/>
    <w:rsid w:val="664A46E0"/>
    <w:rsid w:val="674E08EC"/>
    <w:rsid w:val="678C7F48"/>
    <w:rsid w:val="68042BFC"/>
    <w:rsid w:val="6A2415C4"/>
    <w:rsid w:val="6C2F3976"/>
    <w:rsid w:val="6E2C0FDC"/>
    <w:rsid w:val="6FE943C3"/>
    <w:rsid w:val="72E47A1C"/>
    <w:rsid w:val="72EA54B0"/>
    <w:rsid w:val="73401744"/>
    <w:rsid w:val="737A5BE5"/>
    <w:rsid w:val="73F1196C"/>
    <w:rsid w:val="73F17B15"/>
    <w:rsid w:val="75531EF6"/>
    <w:rsid w:val="75D0003D"/>
    <w:rsid w:val="77900A3D"/>
    <w:rsid w:val="779E3F57"/>
    <w:rsid w:val="78A47212"/>
    <w:rsid w:val="78F566AD"/>
    <w:rsid w:val="79960645"/>
    <w:rsid w:val="7D055ACB"/>
    <w:rsid w:val="7D0D382E"/>
    <w:rsid w:val="7F392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Lines="0" w:beforeAutospacing="1" w:after="100" w:afterLines="0" w:afterAutospacing="1"/>
      <w:jc w:val="left"/>
    </w:pPr>
    <w:rPr>
      <w:rFonts w:ascii="Calibri" w:hAnsi="Calibri"/>
      <w:kern w:val="0"/>
      <w:sz w:val="24"/>
    </w:rPr>
  </w:style>
  <w:style w:type="character" w:customStyle="1" w:styleId="7">
    <w:name w:val="font31"/>
    <w:basedOn w:val="5"/>
    <w:qFormat/>
    <w:uiPriority w:val="0"/>
    <w:rPr>
      <w:rFonts w:ascii="Arial" w:hAnsi="Arial" w:cs="Arial"/>
      <w:color w:val="000000"/>
      <w:sz w:val="16"/>
      <w:szCs w:val="16"/>
      <w:u w:val="none"/>
    </w:rPr>
  </w:style>
  <w:style w:type="character" w:customStyle="1" w:styleId="8">
    <w:name w:val="font01"/>
    <w:basedOn w:val="5"/>
    <w:qFormat/>
    <w:uiPriority w:val="0"/>
    <w:rPr>
      <w:rFonts w:hint="default" w:ascii="Arial" w:hAnsi="Arial" w:cs="Arial"/>
      <w:color w:val="000000"/>
      <w:sz w:val="16"/>
      <w:szCs w:val="16"/>
      <w:u w:val="none"/>
    </w:rPr>
  </w:style>
  <w:style w:type="character" w:customStyle="1" w:styleId="9">
    <w:name w:val="font41"/>
    <w:basedOn w:val="5"/>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2395</Words>
  <Characters>13653</Characters>
  <Lines>113</Lines>
  <Paragraphs>32</Paragraphs>
  <TotalTime>0</TotalTime>
  <ScaleCrop>false</ScaleCrop>
  <LinksUpToDate>false</LinksUpToDate>
  <CharactersWithSpaces>16016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2019-02-14T01:11:48Z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