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浉河区农机局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浉河区农机局</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浉河区农机</w:t>
      </w:r>
      <w:r>
        <w:rPr>
          <w:rFonts w:hint="eastAsia" w:ascii="黑体" w:hAnsi="黑体" w:eastAsia="黑体" w:cs="黑体"/>
          <w:sz w:val="32"/>
          <w:szCs w:val="32"/>
        </w:rPr>
        <w:t>局</w:t>
      </w:r>
      <w:r>
        <w:rPr>
          <w:rFonts w:hint="eastAsia" w:ascii="黑体" w:hAnsi="黑体" w:eastAsia="黑体" w:cs="黑体"/>
          <w:sz w:val="32"/>
          <w:szCs w:val="32"/>
          <w:lang w:eastAsia="zh-CN"/>
        </w:rPr>
        <w:t>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浉河区农机</w:t>
      </w:r>
      <w:r>
        <w:rPr>
          <w:rFonts w:hint="eastAsia" w:ascii="隶书" w:hAnsi="隶书" w:eastAsia="隶书" w:cs="隶书"/>
          <w:sz w:val="48"/>
          <w:szCs w:val="48"/>
        </w:rPr>
        <w:t>局概况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1、负责贯彻落实党和国家有关发展农业机械化的方针、政策和法规，结合我区实际，研究拟定执行办法并组织实施、督促、检查、落实。</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2、负责全区农业机械化区划和设施农业工程的宏观管理。制定农业机械化发展战略和设施农业工程发展的规划、实施办法并监督执行，指导农业机械化结构调整，引导农业机械产品结构调整，并认真组织落实。</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3、负责农机新技术、新产品、新机具的引进、开发、推广和应用项目的论证、立项、申报、实施及监督管理。</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4、组织实施农机产品试验鉴定，质量检验，认证管理工作。</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5、负责拖拉机、联合收割机等农业机械的安全监督管理、安全技术检验、登记入户、核发牌证及农机驾驶操作人员考核发证、安全检查和教育；负责对农机事故进行调查处理，拟定农机安全监理办法和措施，并监督实施。</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6、指导基层农机服务体系建设，组织农业机械化生产、农机抗灾救灾工作，规范、规划、指导农机作业市场，运用政策引导、信息服务、经济调节等宏观手段，促使农业机械更好地服务于“三农”。</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7、指导农业机械使用和维修管理工作，制定管理规范和技术措施并监督实施。</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8、负责农民农机职业技术教育、技术等级资格评定，指导区农机化学校的业务工作；负责农机系统科技成果的评定及管理工作；负责农民农机绿色证书的考核发证工作。</w:t>
      </w:r>
    </w:p>
    <w:p>
      <w:pPr>
        <w:pStyle w:val="9"/>
        <w:spacing w:after="0" w:line="600" w:lineRule="atLeast"/>
        <w:ind w:right="-55" w:rightChars="-26" w:firstLine="640"/>
        <w:rPr>
          <w:rFonts w:ascii="仿宋" w:hAnsi="仿宋" w:eastAsia="仿宋"/>
          <w:sz w:val="32"/>
          <w:szCs w:val="32"/>
        </w:rPr>
      </w:pPr>
      <w:r>
        <w:rPr>
          <w:rFonts w:hint="eastAsia" w:ascii="仿宋" w:hAnsi="仿宋" w:eastAsia="仿宋"/>
          <w:sz w:val="32"/>
          <w:szCs w:val="32"/>
        </w:rPr>
        <w:t>9、负责全区农机事业专项经费的管理；负责农业机械、农业柴油等补贴资金计划、分配与管理；指导农机管理系统的财务工作；负责全区农机化统计工作，指导农机管理系统信息网络建设；组织有关农机行业的国际、国内经济技术合作与交流，承办有关农机涉外事务。</w:t>
      </w:r>
    </w:p>
    <w:p>
      <w:pPr>
        <w:pStyle w:val="9"/>
        <w:spacing w:after="0" w:line="600" w:lineRule="exact"/>
        <w:ind w:right="-55" w:rightChars="-26" w:firstLine="640"/>
        <w:rPr>
          <w:rFonts w:ascii="楷体_GB2312" w:hAnsi="楷体_GB2312" w:eastAsia="楷体_GB2312" w:cs="楷体_GB2312"/>
          <w:sz w:val="32"/>
          <w:szCs w:val="32"/>
        </w:rPr>
      </w:pPr>
      <w:r>
        <w:rPr>
          <w:rFonts w:hint="eastAsia" w:ascii="仿宋" w:hAnsi="仿宋" w:eastAsia="仿宋"/>
          <w:sz w:val="32"/>
          <w:szCs w:val="32"/>
        </w:rPr>
        <w:t>10、承办区委、区政府和上级主管部门交办的其他事项。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widowControl w:val="0"/>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 w:hAnsi="仿宋" w:eastAsia="仿宋"/>
          <w:sz w:val="32"/>
          <w:szCs w:val="32"/>
        </w:rPr>
        <w:t>浉河区农业机械管理局内设办公室、机务股（农机购置补贴办公室）；下属农机监理站、农机推广站</w:t>
      </w:r>
      <w:r>
        <w:rPr>
          <w:rFonts w:ascii="仿宋" w:hAnsi="仿宋" w:eastAsia="仿宋"/>
          <w:sz w:val="32"/>
          <w:szCs w:val="32"/>
        </w:rPr>
        <w:t>2</w:t>
      </w:r>
      <w:r>
        <w:rPr>
          <w:rFonts w:hint="eastAsia" w:ascii="仿宋" w:hAnsi="仿宋" w:eastAsia="仿宋"/>
          <w:sz w:val="32"/>
          <w:szCs w:val="32"/>
        </w:rPr>
        <w:t>个二级机构。</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年度部门决算编制范围的单位包括</w:t>
      </w:r>
      <w:r>
        <w:rPr>
          <w:rFonts w:hint="eastAsia" w:eastAsia="仿宋_GB2312"/>
          <w:color w:val="000000"/>
          <w:sz w:val="32"/>
          <w:szCs w:val="32"/>
        </w:rPr>
        <w:t>本级决算和所属单位决算在内的汇总决算</w:t>
      </w:r>
      <w:r>
        <w:rPr>
          <w:rFonts w:hint="eastAsia" w:eastAsia="仿宋_GB2312"/>
          <w:color w:val="000000"/>
          <w:sz w:val="32"/>
          <w:szCs w:val="32"/>
          <w:lang w:eastAsia="zh-CN"/>
        </w:rPr>
        <w:t>。</w:t>
      </w:r>
    </w:p>
    <w:p>
      <w:pPr>
        <w:jc w:val="left"/>
        <w:rPr>
          <w:rFonts w:ascii="黑体" w:hAnsi="黑体" w:eastAsia="黑体" w:cs="黑体"/>
          <w:sz w:val="32"/>
          <w:szCs w:val="32"/>
        </w:rPr>
      </w:pPr>
      <w:bookmarkStart w:id="0" w:name="_GoBack"/>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lang w:eastAsia="zh-CN"/>
        </w:rPr>
        <w:t>浉河区农机</w:t>
      </w:r>
      <w:r>
        <w:rPr>
          <w:rFonts w:hint="eastAsia" w:ascii="隶书" w:hAnsi="隶书" w:eastAsia="隶书" w:cs="隶书"/>
          <w:sz w:val="48"/>
          <w:szCs w:val="48"/>
        </w:rPr>
        <w:t>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269</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269</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年相比，一般公共预算财政拨款支出增加（减少）</w:t>
      </w:r>
      <w:r>
        <w:rPr>
          <w:rFonts w:hint="eastAsia" w:ascii="仿宋_GB2312" w:hAnsi="宋体" w:eastAsia="仿宋_GB2312" w:cs="Courier New"/>
          <w:sz w:val="32"/>
          <w:szCs w:val="32"/>
          <w:lang w:val="en-US" w:eastAsia="zh-CN"/>
        </w:rPr>
        <w:t>77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260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工资和经费的增加</w:t>
      </w:r>
      <w:r>
        <w:rPr>
          <w:rFonts w:hint="eastAsia" w:ascii="仿宋_GB2312" w:hAnsi="宋体" w:eastAsia="仿宋_GB2312" w:cs="Courier New"/>
          <w:sz w:val="32"/>
          <w:szCs w:val="32"/>
        </w:rPr>
        <w:t>。其中：</w:t>
      </w:r>
    </w:p>
    <w:p>
      <w:pPr>
        <w:numPr>
          <w:ilvl w:val="0"/>
          <w:numId w:val="0"/>
        </w:numPr>
        <w:adjustRightInd w:val="0"/>
        <w:snapToGrid w:val="0"/>
        <w:spacing w:line="360" w:lineRule="auto"/>
        <w:ind w:left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260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3.5</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人员工资等的增加</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269</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235</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spacing w:val="-1"/>
          <w:kern w:val="0"/>
          <w:sz w:val="32"/>
          <w:szCs w:val="32"/>
          <w:lang w:val="en-US" w:eastAsia="zh-CN"/>
        </w:rPr>
        <w:t>34</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、水电费、邮电费等</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4.4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没有因公出国（出境）费支出和</w:t>
      </w:r>
      <w:r>
        <w:rPr>
          <w:rFonts w:hint="eastAsia" w:ascii="仿宋_GB2312" w:hAnsi="宋体" w:eastAsia="仿宋_GB2312" w:cs="Courier New"/>
          <w:sz w:val="32"/>
          <w:szCs w:val="32"/>
          <w:lang w:val="en-US" w:eastAsia="zh-CN"/>
        </w:rPr>
        <w:t>公务用车购置及运行费；</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严格公务接待要求三单一票一函进行报销</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没有公出国（境）费支出和</w:t>
      </w:r>
      <w:r>
        <w:rPr>
          <w:rFonts w:hint="eastAsia" w:ascii="仿宋_GB2312" w:hAnsi="宋体" w:eastAsia="仿宋_GB2312" w:cs="Courier New"/>
          <w:sz w:val="32"/>
          <w:szCs w:val="32"/>
          <w:lang w:val="en-US" w:eastAsia="zh-CN"/>
        </w:rPr>
        <w:t>公用用车购置及运行费；</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严格公务接待要求三单一票一函进行报销</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年度“三公”经费财政拨款支出决算中，公务接待费支出决算</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val="0"/>
          <w:bCs w:val="0"/>
          <w:sz w:val="32"/>
          <w:szCs w:val="32"/>
          <w:lang w:val="en-US" w:eastAsia="zh-CN"/>
        </w:rPr>
      </w:pPr>
      <w:r>
        <w:rPr>
          <w:rFonts w:hint="eastAsia" w:ascii="仿宋_GB2312" w:hAnsi="宋体" w:eastAsia="仿宋_GB2312" w:cs="Courier New"/>
          <w:b/>
          <w:bCs/>
          <w:sz w:val="32"/>
          <w:szCs w:val="32"/>
          <w:lang w:val="en-US" w:eastAsia="zh-CN"/>
        </w:rPr>
        <w:t>因公出国（境）费支出0万元。</w:t>
      </w:r>
      <w:r>
        <w:rPr>
          <w:rFonts w:hint="eastAsia" w:ascii="仿宋_GB2312" w:hAnsi="宋体" w:eastAsia="仿宋_GB2312" w:cs="Courier New"/>
          <w:b w:val="0"/>
          <w:bCs w:val="0"/>
          <w:sz w:val="32"/>
          <w:szCs w:val="32"/>
          <w:lang w:val="en-US" w:eastAsia="zh-CN"/>
        </w:rPr>
        <w:t>全年没有因公出国（境）费用。</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公务用车购置及运行费支出0万元。</w:t>
      </w:r>
      <w:r>
        <w:rPr>
          <w:rFonts w:hint="eastAsia" w:ascii="仿宋_GB2312" w:hAnsi="宋体" w:eastAsia="仿宋_GB2312" w:cs="Courier New"/>
          <w:b w:val="0"/>
          <w:bCs w:val="0"/>
          <w:sz w:val="32"/>
          <w:szCs w:val="32"/>
          <w:lang w:val="en-US" w:eastAsia="zh-CN"/>
        </w:rPr>
        <w:t>单位公务用车保有量为0，无购置公务用车。</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4.1</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上级单位检查、督导，本级单位工作交流，全年国内公务接待共</w:t>
      </w:r>
      <w:r>
        <w:rPr>
          <w:rFonts w:hint="eastAsia" w:ascii="仿宋_GB2312" w:hAnsi="宋体" w:eastAsia="仿宋_GB2312" w:cs="Courier New"/>
          <w:sz w:val="32"/>
          <w:szCs w:val="32"/>
          <w:lang w:val="en-US" w:eastAsia="zh-CN"/>
        </w:rPr>
        <w:t>58次，514人</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0"/>
        </w:numPr>
        <w:adjustRightInd w:val="0"/>
        <w:snapToGrid w:val="0"/>
        <w:spacing w:line="360" w:lineRule="auto"/>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_GB2312" w:hAnsi="宋体" w:eastAsia="仿宋_GB2312" w:cs="Courier New"/>
          <w:sz w:val="32"/>
          <w:szCs w:val="32"/>
          <w:lang w:val="en-US" w:eastAsia="zh-CN"/>
        </w:rPr>
        <w:t>浉河区农机局无项目绩效。</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浉河区农机局没有政府性基金收入，也没有使用政府性基金安排的支出，故表格内无数据</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34</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lang w:val="en-US"/>
        </w:rPr>
      </w:pPr>
      <w:r>
        <w:rPr>
          <w:rFonts w:hint="eastAsia" w:ascii="仿宋_GB2312" w:hAnsi="宋体" w:eastAsia="仿宋_GB2312" w:cs="Courier New"/>
          <w:sz w:val="32"/>
          <w:szCs w:val="32"/>
          <w:lang w:eastAsia="zh-CN"/>
        </w:rPr>
        <w:t>严格按照政府采购的要求执行。本级预算单位和所属的二机机构全年所需办公设备及专用设备购置均是通过政府采购。</w:t>
      </w:r>
      <w:r>
        <w:rPr>
          <w:rFonts w:hint="eastAsia" w:ascii="仿宋_GB2312" w:hAnsi="宋体" w:eastAsia="仿宋_GB2312" w:cs="Courier New"/>
          <w:sz w:val="32"/>
          <w:szCs w:val="32"/>
          <w:lang w:val="en-US" w:eastAsia="zh-CN"/>
        </w:rPr>
        <w:t>2017年没有政府采购固定资产。</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办公设备共计</w:t>
      </w:r>
      <w:r>
        <w:rPr>
          <w:rFonts w:hint="eastAsia" w:ascii="仿宋_GB2312" w:hAnsi="宋体" w:eastAsia="仿宋_GB2312" w:cs="Courier New"/>
          <w:sz w:val="32"/>
          <w:szCs w:val="32"/>
          <w:lang w:val="en-US" w:eastAsia="zh-CN"/>
        </w:rPr>
        <w:t>21万元。</w:t>
      </w:r>
    </w:p>
    <w:p>
      <w:pPr>
        <w:numPr>
          <w:ilvl w:val="0"/>
          <w:numId w:val="8"/>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8"/>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2017年，本单位无重点项目，未做重点项目预算绩效目标。</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浉河区农机局</w:t>
      </w:r>
      <w:r>
        <w:rPr>
          <w:rFonts w:hint="eastAsia" w:ascii="仿宋_GB2312" w:hAnsi="宋体" w:eastAsia="仿宋_GB2312" w:cs="Courier New"/>
          <w:sz w:val="32"/>
          <w:szCs w:val="32"/>
        </w:rPr>
        <w:t>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after="0" w:line="600" w:lineRule="exact"/>
        <w:ind w:firstLine="643" w:firstLineChars="200"/>
        <w:rPr>
          <w:rFonts w:ascii="仿宋" w:hAnsi="仿宋" w:eastAsia="仿宋"/>
          <w:sz w:val="32"/>
          <w:szCs w:val="32"/>
        </w:rPr>
      </w:pPr>
      <w:r>
        <w:rPr>
          <w:rFonts w:hint="eastAsia" w:ascii="仿宋" w:hAnsi="仿宋" w:eastAsia="仿宋"/>
          <w:b/>
          <w:sz w:val="32"/>
          <w:szCs w:val="32"/>
          <w:lang w:eastAsia="zh-CN"/>
        </w:rPr>
        <w:t>十一、</w:t>
      </w:r>
      <w:r>
        <w:rPr>
          <w:rFonts w:hint="eastAsia" w:ascii="仿宋" w:hAnsi="仿宋" w:eastAsia="仿宋"/>
          <w:b/>
          <w:sz w:val="32"/>
          <w:szCs w:val="32"/>
        </w:rPr>
        <w:t>农机监理：</w:t>
      </w:r>
      <w:r>
        <w:rPr>
          <w:rFonts w:ascii="仿宋" w:hAnsi="仿宋" w:eastAsia="仿宋"/>
          <w:sz w:val="32"/>
          <w:szCs w:val="32"/>
        </w:rPr>
        <w:t>贯彻执行国家农机化和安全生产的方针政策</w:t>
      </w:r>
      <w:r>
        <w:rPr>
          <w:rFonts w:hint="eastAsia" w:ascii="仿宋" w:hAnsi="仿宋" w:eastAsia="仿宋"/>
          <w:sz w:val="32"/>
          <w:szCs w:val="32"/>
        </w:rPr>
        <w:t>；</w:t>
      </w:r>
      <w:r>
        <w:rPr>
          <w:rFonts w:ascii="仿宋" w:hAnsi="仿宋" w:eastAsia="仿宋"/>
          <w:sz w:val="32"/>
          <w:szCs w:val="32"/>
        </w:rPr>
        <w:t>负责农业机械的安全技术检验，驾驶操作人员考核、核发牌证</w:t>
      </w:r>
      <w:r>
        <w:rPr>
          <w:rFonts w:hint="eastAsia" w:ascii="仿宋" w:hAnsi="仿宋" w:eastAsia="仿宋"/>
          <w:sz w:val="32"/>
          <w:szCs w:val="32"/>
        </w:rPr>
        <w:t>；</w:t>
      </w:r>
      <w:r>
        <w:rPr>
          <w:rFonts w:ascii="仿宋" w:hAnsi="仿宋" w:eastAsia="仿宋"/>
          <w:sz w:val="32"/>
          <w:szCs w:val="32"/>
        </w:rPr>
        <w:t>对农业机械进行年度安全检验</w:t>
      </w:r>
      <w:r>
        <w:rPr>
          <w:rFonts w:hint="eastAsia" w:ascii="仿宋" w:hAnsi="仿宋" w:eastAsia="仿宋"/>
          <w:sz w:val="32"/>
          <w:szCs w:val="32"/>
        </w:rPr>
        <w:t>；</w:t>
      </w:r>
      <w:r>
        <w:rPr>
          <w:rFonts w:ascii="仿宋" w:hAnsi="仿宋" w:eastAsia="仿宋"/>
          <w:sz w:val="32"/>
          <w:szCs w:val="32"/>
        </w:rPr>
        <w:t>负责处理农业机械事故</w:t>
      </w:r>
      <w:r>
        <w:rPr>
          <w:rFonts w:hint="eastAsia" w:ascii="仿宋" w:hAnsi="仿宋" w:eastAsia="仿宋"/>
          <w:sz w:val="32"/>
          <w:szCs w:val="32"/>
        </w:rPr>
        <w:t>；</w:t>
      </w:r>
      <w:r>
        <w:rPr>
          <w:rFonts w:ascii="仿宋" w:hAnsi="仿宋" w:eastAsia="仿宋"/>
          <w:sz w:val="32"/>
          <w:szCs w:val="32"/>
        </w:rPr>
        <w:t>开展农机安全宣传教育</w:t>
      </w:r>
      <w:r>
        <w:rPr>
          <w:rFonts w:hint="eastAsia" w:ascii="仿宋" w:hAnsi="仿宋" w:eastAsia="仿宋"/>
          <w:sz w:val="32"/>
          <w:szCs w:val="32"/>
        </w:rPr>
        <w:t>；</w:t>
      </w:r>
      <w:r>
        <w:rPr>
          <w:rFonts w:ascii="仿宋" w:hAnsi="仿宋" w:eastAsia="仿宋"/>
          <w:sz w:val="32"/>
          <w:szCs w:val="32"/>
        </w:rPr>
        <w:t>对农业机械及驾驶人员实施安全检查，处罚违章行为。</w:t>
      </w:r>
    </w:p>
    <w:p>
      <w:pPr>
        <w:shd w:val="clear" w:color="auto" w:fill="FFFFFF"/>
        <w:adjustRightInd/>
        <w:snapToGrid/>
        <w:spacing w:after="0" w:line="600" w:lineRule="exact"/>
        <w:ind w:firstLine="643" w:firstLineChars="200"/>
        <w:rPr>
          <w:rFonts w:ascii="仿宋" w:hAnsi="仿宋" w:eastAsia="仿宋"/>
          <w:sz w:val="32"/>
          <w:szCs w:val="32"/>
        </w:rPr>
      </w:pPr>
      <w:r>
        <w:rPr>
          <w:rFonts w:hint="eastAsia" w:ascii="仿宋" w:hAnsi="仿宋" w:eastAsia="仿宋"/>
          <w:b/>
          <w:sz w:val="32"/>
          <w:szCs w:val="32"/>
          <w:lang w:eastAsia="zh-CN"/>
        </w:rPr>
        <w:t>十二、</w:t>
      </w:r>
      <w:r>
        <w:rPr>
          <w:rFonts w:hint="eastAsia" w:ascii="仿宋" w:hAnsi="仿宋" w:eastAsia="仿宋"/>
          <w:b/>
          <w:sz w:val="32"/>
          <w:szCs w:val="32"/>
        </w:rPr>
        <w:t>农机购置补贴：</w:t>
      </w:r>
      <w:r>
        <w:rPr>
          <w:rFonts w:ascii="仿宋" w:hAnsi="仿宋" w:eastAsia="仿宋"/>
          <w:sz w:val="32"/>
          <w:szCs w:val="32"/>
        </w:rPr>
        <w:t>农机购置补贴是</w:t>
      </w:r>
      <w:r>
        <w:fldChar w:fldCharType="begin"/>
      </w:r>
      <w:r>
        <w:instrText xml:space="preserve"> HYPERLINK "https://baike.baidu.com/item/%E5%86%9C%E4%B8%9A%E6%9C%BA%E6%A2%B0" \t "_blank" </w:instrText>
      </w:r>
      <w:r>
        <w:fldChar w:fldCharType="separate"/>
      </w:r>
      <w:r>
        <w:rPr>
          <w:rFonts w:ascii="仿宋" w:hAnsi="仿宋" w:eastAsia="仿宋"/>
          <w:sz w:val="32"/>
          <w:szCs w:val="32"/>
        </w:rPr>
        <w:t>农业机械</w:t>
      </w:r>
      <w:r>
        <w:rPr>
          <w:rFonts w:ascii="仿宋" w:hAnsi="仿宋" w:eastAsia="仿宋"/>
          <w:sz w:val="32"/>
          <w:szCs w:val="32"/>
        </w:rPr>
        <w:fldChar w:fldCharType="end"/>
      </w:r>
      <w:r>
        <w:rPr>
          <w:rFonts w:ascii="仿宋" w:hAnsi="仿宋" w:eastAsia="仿宋"/>
          <w:sz w:val="32"/>
          <w:szCs w:val="32"/>
        </w:rPr>
        <w:t>购置补贴资金的简称。农业机械购置补贴资金是指中央财政和</w:t>
      </w:r>
      <w:r>
        <w:fldChar w:fldCharType="begin"/>
      </w:r>
      <w:r>
        <w:instrText xml:space="preserve"> HYPERLINK "https://baike.baidu.com/item/%E5%9C%B0%E6%96%B9%E8%B4%A2%E6%94%BF" \t "_blank" </w:instrText>
      </w:r>
      <w:r>
        <w:fldChar w:fldCharType="separate"/>
      </w:r>
      <w:r>
        <w:rPr>
          <w:rFonts w:ascii="仿宋" w:hAnsi="仿宋" w:eastAsia="仿宋"/>
          <w:sz w:val="32"/>
          <w:szCs w:val="32"/>
        </w:rPr>
        <w:t>地方财政</w:t>
      </w:r>
      <w:r>
        <w:rPr>
          <w:rFonts w:ascii="仿宋" w:hAnsi="仿宋" w:eastAsia="仿宋"/>
          <w:sz w:val="32"/>
          <w:szCs w:val="32"/>
        </w:rPr>
        <w:fldChar w:fldCharType="end"/>
      </w:r>
      <w:r>
        <w:rPr>
          <w:rFonts w:ascii="仿宋" w:hAnsi="仿宋" w:eastAsia="仿宋"/>
          <w:sz w:val="32"/>
          <w:szCs w:val="32"/>
        </w:rPr>
        <w:t>为农民和农业生产经营组织购买国家支持推广的先进适用的农业机械给予的补贴</w:t>
      </w:r>
      <w:r>
        <w:rPr>
          <w:rFonts w:hint="eastAsia" w:ascii="仿宋" w:hAnsi="仿宋" w:eastAsia="仿宋"/>
          <w:sz w:val="32"/>
          <w:szCs w:val="32"/>
        </w:rPr>
        <w:t>，</w:t>
      </w:r>
      <w:r>
        <w:rPr>
          <w:rFonts w:ascii="仿宋" w:hAnsi="仿宋" w:eastAsia="仿宋"/>
          <w:sz w:val="32"/>
          <w:szCs w:val="32"/>
        </w:rPr>
        <w:t>是党中央、国务院为加强农业和粮食生产采取的重大措施，对调动农民种粮积极性、保护和提高粮食生产能力意义重大。</w:t>
      </w:r>
    </w:p>
    <w:p>
      <w:pPr>
        <w:shd w:val="clear" w:color="auto" w:fill="FFFFFF"/>
        <w:adjustRightInd/>
        <w:snapToGrid/>
        <w:spacing w:after="0" w:line="600" w:lineRule="exact"/>
        <w:ind w:firstLine="643" w:firstLineChars="200"/>
        <w:rPr>
          <w:rFonts w:ascii="仿宋_GB2312" w:hAnsi="宋体" w:eastAsia="仿宋_GB2312" w:cs="Courier New"/>
          <w:b/>
          <w:bCs/>
          <w:sz w:val="32"/>
          <w:szCs w:val="32"/>
        </w:rPr>
      </w:pPr>
      <w:r>
        <w:rPr>
          <w:rFonts w:hint="eastAsia" w:ascii="仿宋" w:hAnsi="仿宋" w:eastAsia="仿宋"/>
          <w:b/>
          <w:bCs/>
          <w:sz w:val="32"/>
          <w:szCs w:val="32"/>
          <w:lang w:eastAsia="zh-CN"/>
        </w:rPr>
        <w:t>十三、</w:t>
      </w:r>
      <w:r>
        <w:rPr>
          <w:rFonts w:ascii="仿宋" w:hAnsi="仿宋" w:eastAsia="仿宋"/>
          <w:b/>
          <w:bCs/>
          <w:sz w:val="32"/>
          <w:szCs w:val="32"/>
        </w:rPr>
        <w:t>农机推广</w:t>
      </w:r>
      <w:r>
        <w:rPr>
          <w:rFonts w:hint="eastAsia" w:ascii="仿宋" w:hAnsi="仿宋" w:eastAsia="仿宋"/>
          <w:b/>
          <w:bCs/>
          <w:sz w:val="32"/>
          <w:szCs w:val="32"/>
        </w:rPr>
        <w:t>：</w:t>
      </w:r>
      <w:r>
        <w:rPr>
          <w:rFonts w:ascii="仿宋" w:hAnsi="仿宋" w:eastAsia="仿宋"/>
          <w:sz w:val="32"/>
          <w:szCs w:val="32"/>
        </w:rPr>
        <w:t>是指通过试验、鉴定、示范、培训、指导以及咨询服务等，把农业机械和农业机械化技术普及应用于农业生产产前、产中、产后全过程的活动。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C88C4"/>
    <w:multiLevelType w:val="singleLevel"/>
    <w:tmpl w:val="BFBC88C4"/>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453648"/>
    <w:rsid w:val="07E32190"/>
    <w:rsid w:val="09BB2134"/>
    <w:rsid w:val="13DA4090"/>
    <w:rsid w:val="15492582"/>
    <w:rsid w:val="1BB26345"/>
    <w:rsid w:val="1E7D3B34"/>
    <w:rsid w:val="1F62215F"/>
    <w:rsid w:val="1F8833F5"/>
    <w:rsid w:val="209C4FF0"/>
    <w:rsid w:val="210B136D"/>
    <w:rsid w:val="258F34D6"/>
    <w:rsid w:val="28255A36"/>
    <w:rsid w:val="2BA4769A"/>
    <w:rsid w:val="2CD06EF4"/>
    <w:rsid w:val="2E4905C0"/>
    <w:rsid w:val="2EFF3D2D"/>
    <w:rsid w:val="32EF40CE"/>
    <w:rsid w:val="330633BF"/>
    <w:rsid w:val="338E6D58"/>
    <w:rsid w:val="372974AC"/>
    <w:rsid w:val="3CE47224"/>
    <w:rsid w:val="414928BB"/>
    <w:rsid w:val="42271DDB"/>
    <w:rsid w:val="48036E61"/>
    <w:rsid w:val="48B52937"/>
    <w:rsid w:val="48EE3EF3"/>
    <w:rsid w:val="4C1E2F28"/>
    <w:rsid w:val="51AD42DE"/>
    <w:rsid w:val="53E9756D"/>
    <w:rsid w:val="54075573"/>
    <w:rsid w:val="5651051D"/>
    <w:rsid w:val="57BB5F84"/>
    <w:rsid w:val="57E961A8"/>
    <w:rsid w:val="581E77CF"/>
    <w:rsid w:val="58B06254"/>
    <w:rsid w:val="59E3092F"/>
    <w:rsid w:val="5AF25131"/>
    <w:rsid w:val="5D5C1234"/>
    <w:rsid w:val="5F3A0145"/>
    <w:rsid w:val="600176AC"/>
    <w:rsid w:val="627358F6"/>
    <w:rsid w:val="6431638A"/>
    <w:rsid w:val="652D48E5"/>
    <w:rsid w:val="664A46E0"/>
    <w:rsid w:val="66C87ABA"/>
    <w:rsid w:val="674E08EC"/>
    <w:rsid w:val="6A2415C4"/>
    <w:rsid w:val="6C2F3976"/>
    <w:rsid w:val="737A5BE5"/>
    <w:rsid w:val="73F1196C"/>
    <w:rsid w:val="75531EF6"/>
    <w:rsid w:val="75D0003D"/>
    <w:rsid w:val="779E3F57"/>
    <w:rsid w:val="79960645"/>
    <w:rsid w:val="7B7A29C2"/>
    <w:rsid w:val="7CE97FC0"/>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2019-02-12T08:05:21Z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