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农业</w:t>
      </w:r>
      <w:r>
        <w:rPr>
          <w:rFonts w:hint="eastAsia" w:ascii="隶书" w:hAnsi="隶书" w:eastAsia="隶书" w:cs="隶书"/>
          <w:sz w:val="52"/>
          <w:szCs w:val="52"/>
        </w:rPr>
        <w:t>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720"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农业</w:t>
      </w:r>
      <w:r>
        <w:rPr>
          <w:rFonts w:hint="eastAsia" w:ascii="黑体" w:hAnsi="黑体" w:eastAsia="黑体" w:cs="黑体"/>
          <w:sz w:val="32"/>
          <w:szCs w:val="32"/>
        </w:rPr>
        <w:t>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r>
        <w:rPr>
          <w:rFonts w:hint="eastAsia" w:ascii="宋体" w:hAnsi="宋体" w:cs="宋体"/>
          <w:sz w:val="32"/>
          <w:szCs w:val="32"/>
          <w:lang w:val="en-US" w:eastAsia="zh-CN"/>
        </w:rPr>
        <w:t xml:space="preserve"> </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农业</w:t>
      </w:r>
      <w:r>
        <w:rPr>
          <w:rFonts w:hint="eastAsia" w:ascii="黑体" w:hAnsi="黑体" w:eastAsia="黑体" w:cs="黑体"/>
          <w:sz w:val="32"/>
          <w:szCs w:val="32"/>
        </w:rPr>
        <w:t>局</w:t>
      </w:r>
      <w:r>
        <w:rPr>
          <w:rFonts w:hint="eastAsia" w:ascii="黑体" w:hAnsi="黑体" w:eastAsia="黑体" w:cs="黑体"/>
          <w:sz w:val="32"/>
          <w:szCs w:val="32"/>
          <w:lang w:eastAsia="zh-CN"/>
        </w:rPr>
        <w:t>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农业</w:t>
      </w:r>
      <w:r>
        <w:rPr>
          <w:rFonts w:hint="eastAsia" w:ascii="隶书" w:hAnsi="隶书" w:eastAsia="隶书" w:cs="隶书"/>
          <w:sz w:val="48"/>
          <w:szCs w:val="48"/>
        </w:rPr>
        <w:t>局概况</w:t>
      </w:r>
    </w:p>
    <w:p>
      <w:pPr>
        <w:jc w:val="both"/>
        <w:outlineLvl w:val="0"/>
        <w:rPr>
          <w:rFonts w:hint="eastAsia" w:ascii="黑体" w:hAnsi="黑体" w:eastAsia="黑体" w:cs="黑体"/>
          <w:sz w:val="32"/>
          <w:szCs w:val="32"/>
          <w:lang w:eastAsia="zh-CN"/>
        </w:rPr>
      </w:pPr>
    </w:p>
    <w:p>
      <w:pPr>
        <w:jc w:val="both"/>
        <w:outlineLvl w:val="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（一）制定我区农业和农村经济发展战略，中长期发展规划，经批准后组织实施。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深化全区农村经济改革的政策意见；稳定和完善农村基本经营制度；指导农村土地承包、耕地使用权流转和承包纠纷仲栽管理。指导、监督减轻农民负担和村民筹资管理工作，指导农村集体资产和财务管理。指导、扶持农业社会化服务体系、农村合作经济组织、农民专业合作社和农产品行业协会的建设与发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（三）拟定全区农业的产业政策，引导农业结构的合理调整、农业资源的合理配置和产品品质的改善；搞好农业法制体系建设。</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提出全区农业经济结构高速的意见，规划农业产业经营政策和大宗农产品市场体系建设，及发展规划，经批准后实施，预测并发布主要农产品及农业生产资料情况，搞好全区农业部门信息系统建设；组织农业生产资料市场体系建设。依法开展对农作物种子（种苗）、农药的许可及监督管理。负责对有关肥料的监督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（五）负责全区农产品质量安全监测和监督管理，发布有关农产品质量安全状况信息。依法实施符合安全标准的农产品认证和监督管理。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（六）负责全区农作物重大病害的监测防治。组织、监督对区内植物的检疫工作，发布疫情并组织扑灭。承担全区农业防灾救灾工作，监测、发布农业灾情，组织救灾和灾后生产恢复。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（七）制定全区农业科技教育、技术推广及其队伍建设的发展规划和有关政策，负责农业植物新品种保护，负责农业转基因生物安全监督管理。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（八）负责全区农民科技教育培训工作；参与实施农村实用人才培训工程。承担农村劳动力转移就业培训工作，会同有关部门依法依法实施农业农村人才专业技术资格和从业资格管理。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全区农业资源区划，生态农业和农业可持续发展工作；指导宜农用地，宜家滩涂，宜农湿地、农村可持续再生资源的开发利用以及农业生物物种资源的保护和管理。拟定耕地及基本农田质量保护与改良政策并指导实施，依法管理耕地质量。</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（十）负责局机关和直属单位并按照有关规定管理所领导的股级单位的人事、劳动工资、机构编制工作；指导有关社会团体为农业经济发展服务。</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jc w:val="left"/>
        <w:rPr>
          <w:rFonts w:ascii="黑体" w:hAnsi="黑体" w:eastAsia="黑体" w:cs="黑体"/>
          <w:sz w:val="32"/>
          <w:szCs w:val="32"/>
        </w:rPr>
      </w:pPr>
      <w:r>
        <w:rPr>
          <w:rFonts w:hint="eastAsia" w:ascii="宋体" w:hAnsi="宋体" w:cs="宋体"/>
          <w:sz w:val="32"/>
          <w:szCs w:val="32"/>
        </w:rPr>
        <w:t xml:space="preserve">    浉</w:t>
      </w:r>
      <w:r>
        <w:rPr>
          <w:rFonts w:hint="eastAsia" w:ascii="仿宋_GB2312" w:eastAsia="仿宋_GB2312"/>
          <w:sz w:val="32"/>
          <w:szCs w:val="32"/>
        </w:rPr>
        <w:t>河区农业局机关内设6个职能科室</w:t>
      </w:r>
      <w:r>
        <w:rPr>
          <w:rFonts w:hint="eastAsia" w:ascii="仿宋_GB2312" w:eastAsia="仿宋_GB2312"/>
          <w:sz w:val="32"/>
          <w:szCs w:val="32"/>
          <w:lang w:eastAsia="zh-CN"/>
        </w:rPr>
        <w:t>（办公室、政工人事股、计划财务股、农民负担监督管理与政策法规股、农产品质量安全与市场信息股、种植业管理股）</w:t>
      </w:r>
      <w:r>
        <w:rPr>
          <w:rFonts w:hint="eastAsia" w:ascii="仿宋_GB2312" w:eastAsia="仿宋_GB2312"/>
          <w:sz w:val="32"/>
          <w:szCs w:val="32"/>
        </w:rPr>
        <w:t>和6个二级归口预算单位</w:t>
      </w:r>
      <w:r>
        <w:rPr>
          <w:rFonts w:hint="eastAsia" w:ascii="仿宋_GB2312" w:eastAsia="仿宋_GB2312"/>
          <w:sz w:val="32"/>
          <w:szCs w:val="32"/>
          <w:lang w:eastAsia="zh-CN"/>
        </w:rPr>
        <w:t>（浉河区种子管理站、浉河区植物保护植物检疫站、浉河区农业经济管理站、浉河区农技推广站、浉河区农业行政执法大队、浉河区农产品质量安全检测站）</w:t>
      </w:r>
      <w:r>
        <w:rPr>
          <w:rFonts w:hint="eastAsia" w:ascii="仿宋_GB2312" w:eastAsia="仿宋_GB2312"/>
          <w:sz w:val="32"/>
          <w:szCs w:val="32"/>
        </w:rPr>
        <w:t>。</w:t>
      </w:r>
      <w:r>
        <w:rPr>
          <w:rFonts w:hint="eastAsia" w:ascii="宋体" w:hAnsi="宋体" w:cs="宋体"/>
          <w:sz w:val="32"/>
          <w:szCs w:val="32"/>
        </w:rPr>
        <w:t>浉</w:t>
      </w:r>
      <w:r>
        <w:rPr>
          <w:rFonts w:hint="eastAsia" w:ascii="仿宋_GB2312" w:eastAsia="仿宋_GB2312"/>
          <w:sz w:val="32"/>
          <w:szCs w:val="32"/>
        </w:rPr>
        <w:t>河区农业局机关及归口预算管理单位共有编制59人，其中：行政编制10人，驾驶员编制1人，事业编制48人；实有人数76人，其中在职职工49人,离退休人员27人。</w:t>
      </w:r>
    </w:p>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纳入浉河区农业局201</w:t>
      </w:r>
      <w:r>
        <w:rPr>
          <w:rFonts w:hint="eastAsia" w:ascii="仿宋_GB2312" w:eastAsia="仿宋_GB2312"/>
          <w:sz w:val="32"/>
          <w:szCs w:val="32"/>
          <w:lang w:val="en-US" w:eastAsia="zh-CN"/>
        </w:rPr>
        <w:t>7</w:t>
      </w:r>
      <w:r>
        <w:rPr>
          <w:rFonts w:hint="eastAsia" w:ascii="仿宋_GB2312" w:eastAsia="仿宋_GB2312"/>
          <w:sz w:val="32"/>
          <w:szCs w:val="32"/>
          <w:lang w:eastAsia="zh-CN"/>
        </w:rPr>
        <w:t>年度部门决算编制范围包括本级决算和所属单位决算在内的汇总决算。</w:t>
      </w:r>
    </w:p>
    <w:p>
      <w:pPr>
        <w:jc w:val="left"/>
        <w:rPr>
          <w:rFonts w:hint="eastAsia" w:ascii="黑体" w:hAnsi="黑体" w:eastAsia="黑体" w:cs="黑体"/>
          <w:sz w:val="32"/>
          <w:szCs w:val="32"/>
          <w:lang w:val="en-US" w:eastAsia="zh-CN"/>
        </w:rPr>
      </w:pPr>
    </w:p>
    <w:p>
      <w:pPr>
        <w:jc w:val="center"/>
        <w:outlineLvl w:val="0"/>
        <w:rPr>
          <w:rFonts w:ascii="隶书" w:hAnsi="隶书" w:eastAsia="隶书" w:cs="隶书"/>
          <w:sz w:val="48"/>
          <w:szCs w:val="48"/>
        </w:rPr>
      </w:pPr>
      <w:r>
        <w:rPr>
          <w:rFonts w:hint="eastAsia" w:ascii="隶书" w:hAnsi="隶书" w:eastAsia="隶书" w:cs="隶书"/>
          <w:sz w:val="48"/>
          <w:szCs w:val="48"/>
        </w:rPr>
        <w:br w:type="page"/>
      </w: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p>
    <w:p>
      <w:pPr>
        <w:jc w:val="center"/>
        <w:rPr>
          <w:rFonts w:ascii="隶书" w:hAnsi="隶书" w:eastAsia="隶书" w:cs="隶书"/>
          <w:sz w:val="48"/>
          <w:szCs w:val="48"/>
        </w:rPr>
      </w:pPr>
      <w:r>
        <w:rPr>
          <w:rFonts w:hint="eastAsia" w:ascii="隶书" w:hAnsi="隶书" w:eastAsia="隶书" w:cs="隶书"/>
          <w:sz w:val="48"/>
          <w:szCs w:val="48"/>
          <w:lang w:eastAsia="zh-CN"/>
        </w:rPr>
        <w:t>农业</w:t>
      </w:r>
      <w:r>
        <w:rPr>
          <w:rFonts w:hint="eastAsia" w:ascii="隶书" w:hAnsi="隶书" w:eastAsia="隶书" w:cs="隶书"/>
          <w:sz w:val="48"/>
          <w:szCs w:val="48"/>
        </w:rPr>
        <w:t>局</w:t>
      </w:r>
    </w:p>
    <w:p>
      <w:pPr>
        <w:jc w:val="center"/>
        <w:rPr>
          <w:rFonts w:hint="eastAsia" w:ascii="隶书" w:hAnsi="隶书" w:eastAsia="隶书" w:cs="隶书"/>
          <w:sz w:val="48"/>
          <w:szCs w:val="48"/>
        </w:r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jc w:val="center"/>
        <w:rPr>
          <w:rFonts w:hint="eastAsia" w:ascii="隶书" w:hAnsi="隶书" w:eastAsia="隶书" w:cs="隶书"/>
          <w:sz w:val="48"/>
          <w:szCs w:val="48"/>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年相比，收入减少</w:t>
      </w:r>
      <w:r>
        <w:rPr>
          <w:rFonts w:hint="eastAsia" w:ascii="仿宋_GB2312" w:hAnsi="宋体" w:eastAsia="仿宋_GB2312" w:cs="Courier New"/>
          <w:sz w:val="32"/>
          <w:szCs w:val="32"/>
          <w:lang w:val="en-US" w:eastAsia="zh-CN"/>
        </w:rPr>
        <w:t>199.54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3562.35</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3562.35</w:t>
      </w:r>
      <w:r>
        <w:rPr>
          <w:rFonts w:hint="eastAsia" w:ascii="仿宋_GB2312" w:hAnsi="Times New Roman" w:eastAsia="仿宋_GB2312"/>
          <w:sz w:val="32"/>
          <w:szCs w:val="32"/>
        </w:rPr>
        <w:t>万元。</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533.55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15</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3028.8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85</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199.54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264.26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3562.35</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基本支出</w:t>
      </w:r>
      <w:r>
        <w:rPr>
          <w:rFonts w:hint="eastAsia" w:ascii="仿宋_GB2312" w:hAnsi="宋体" w:eastAsia="仿宋_GB2312" w:cs="Courier New"/>
          <w:b/>
          <w:bCs/>
          <w:sz w:val="32"/>
          <w:szCs w:val="32"/>
          <w:lang w:val="en-US" w:eastAsia="zh-CN"/>
        </w:rPr>
        <w:t>533.55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3028.8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85</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533.55</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438.61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宋体" w:eastAsia="仿宋_GB2312" w:cs="Courier New"/>
          <w:sz w:val="32"/>
          <w:szCs w:val="32"/>
          <w:lang w:eastAsia="zh-CN"/>
        </w:rPr>
        <w:t>对</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94.94</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等</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4.2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4.03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96</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4.03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我局把严格控制三公经费作为一项重要工作，采取有力措施，大力降低行政成本，主要原因是认真贯彻落实中央、省、市关于厉行节约的各项要求，严格执行中央八项规定，加强公务用车管理，规范公务接待活动的范围及标准，减少了相关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%，其中：公务接待费支出决算减少</w:t>
      </w:r>
      <w:r>
        <w:rPr>
          <w:rFonts w:hint="eastAsia" w:ascii="仿宋_GB2312" w:hAnsi="宋体" w:eastAsia="仿宋_GB2312" w:cs="Courier New"/>
          <w:sz w:val="32"/>
          <w:szCs w:val="32"/>
          <w:lang w:val="en-US" w:eastAsia="zh-CN"/>
        </w:rPr>
        <w:t>0.34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认真贯彻落实中央、省、市关于厉行节约的各项要求，严格执行中央八项规定，加强公务用车管理，规范公务接待活动的范围及标准。</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numPr>
          <w:ilvl w:val="0"/>
          <w:numId w:val="6"/>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bCs/>
          <w:sz w:val="32"/>
          <w:szCs w:val="32"/>
          <w:lang w:val="en-US" w:eastAsia="zh-CN"/>
        </w:rPr>
        <w:t>因公出国（境）费支出0万元。</w:t>
      </w:r>
      <w:r>
        <w:rPr>
          <w:rFonts w:hint="eastAsia" w:ascii="仿宋_GB2312" w:hAnsi="宋体" w:eastAsia="仿宋_GB2312" w:cs="Courier New"/>
          <w:b w:val="0"/>
          <w:bCs w:val="0"/>
          <w:sz w:val="32"/>
          <w:szCs w:val="32"/>
          <w:lang w:val="en-US" w:eastAsia="zh-CN"/>
        </w:rPr>
        <w:t>全年没有因公出国（境）费用。</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公务用车购置及运行费支出0万元。</w:t>
      </w:r>
      <w:r>
        <w:rPr>
          <w:rFonts w:hint="eastAsia" w:ascii="仿宋_GB2312" w:hAnsi="宋体" w:eastAsia="仿宋_GB2312" w:cs="Courier New"/>
          <w:b w:val="0"/>
          <w:bCs w:val="0"/>
          <w:sz w:val="32"/>
          <w:szCs w:val="32"/>
          <w:lang w:val="en-US" w:eastAsia="zh-CN"/>
        </w:rPr>
        <w:t>单位公务用车保有量为2，</w:t>
      </w:r>
      <w:r>
        <w:rPr>
          <w:rFonts w:hint="eastAsia" w:ascii="仿宋_GB2312" w:hAnsi="宋体" w:eastAsia="仿宋_GB2312" w:cs="Courier New"/>
          <w:b/>
          <w:bCs/>
          <w:sz w:val="32"/>
          <w:szCs w:val="32"/>
          <w:lang w:val="en-US" w:eastAsia="zh-CN"/>
        </w:rPr>
        <w:t>公务用车购置支出为0，公务用车运行费为0</w:t>
      </w:r>
      <w:r>
        <w:rPr>
          <w:rFonts w:hint="eastAsia" w:ascii="仿宋_GB2312" w:hAnsi="宋体" w:eastAsia="仿宋_GB2312" w:cs="Courier New"/>
          <w:b w:val="0"/>
          <w:bCs w:val="0"/>
          <w:sz w:val="32"/>
          <w:szCs w:val="32"/>
          <w:lang w:val="en-US" w:eastAsia="zh-CN"/>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4.03</w:t>
      </w:r>
      <w:r>
        <w:rPr>
          <w:rFonts w:hint="eastAsia" w:ascii="仿宋_GB2312" w:hAnsi="宋体" w:eastAsia="仿宋_GB2312" w:cs="Courier New"/>
          <w:sz w:val="32"/>
          <w:szCs w:val="32"/>
        </w:rPr>
        <w:t>万元。</w:t>
      </w:r>
      <w:bookmarkStart w:id="0" w:name="_GoBack"/>
      <w:bookmarkEnd w:id="0"/>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eastAsia="zh-CN"/>
        </w:rPr>
        <w:t>行政事务、业务往来等公务活动支出，全年国内公务接待</w:t>
      </w:r>
      <w:r>
        <w:rPr>
          <w:rFonts w:hint="eastAsia" w:ascii="仿宋_GB2312" w:hAnsi="宋体" w:eastAsia="仿宋_GB2312" w:cs="Courier New"/>
          <w:sz w:val="32"/>
          <w:szCs w:val="32"/>
          <w:lang w:val="en-US" w:eastAsia="zh-CN"/>
        </w:rPr>
        <w:t>41批次，325人次</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 xml:space="preserve">  </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443</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46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4.98</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4.98</w:t>
      </w:r>
      <w:r>
        <w:rPr>
          <w:rFonts w:hint="eastAsia" w:ascii="仿宋_GB2312" w:hAnsi="宋体" w:eastAsia="仿宋_GB2312" w:cs="Courier New"/>
          <w:sz w:val="32"/>
          <w:szCs w:val="32"/>
        </w:rPr>
        <w:t>万元，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固定资产</w:t>
      </w:r>
      <w:r>
        <w:rPr>
          <w:rFonts w:hint="eastAsia" w:ascii="仿宋_GB2312" w:hAnsi="宋体" w:eastAsia="仿宋_GB2312" w:cs="Courier New"/>
          <w:sz w:val="32"/>
          <w:szCs w:val="32"/>
          <w:lang w:val="en-US" w:eastAsia="zh-CN"/>
        </w:rPr>
        <w:t>28.67万元。</w:t>
      </w:r>
    </w:p>
    <w:p>
      <w:pPr>
        <w:numPr>
          <w:ilvl w:val="0"/>
          <w:numId w:val="7"/>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7"/>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sectPr>
          <w:footerReference r:id="rId4" w:type="default"/>
          <w:pgSz w:w="11905" w:h="16840"/>
          <w:pgMar w:top="1580" w:right="1240" w:bottom="1180" w:left="1400" w:header="0" w:footer="982" w:gutter="0"/>
          <w:pgNumType w:fmt="numberInDash"/>
          <w:cols w:space="720" w:num="1"/>
        </w:sectPr>
      </w:pPr>
      <w:r>
        <w:rPr>
          <w:rFonts w:hint="eastAsia" w:ascii="仿宋" w:hAnsi="仿宋" w:eastAsia="仿宋" w:cs="仿宋"/>
          <w:sz w:val="32"/>
          <w:szCs w:val="32"/>
          <w:lang w:val="en-US" w:eastAsia="zh-CN"/>
        </w:rPr>
        <w:t>2017年，本单位无重点项目，未做重点项目预算绩效目标。</w:t>
      </w:r>
    </w:p>
    <w:p>
      <w:pPr>
        <w:jc w:val="center"/>
        <w:outlineLvl w:val="0"/>
        <w:rPr>
          <w:rFonts w:hint="eastAsia"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jc w:val="center"/>
        <w:outlineLvl w:val="0"/>
        <w:rPr>
          <w:rFonts w:hint="eastAsia" w:ascii="隶书" w:hAnsi="隶书" w:eastAsia="隶书" w:cs="隶书"/>
          <w:sz w:val="48"/>
          <w:szCs w:val="48"/>
        </w:rPr>
      </w:pP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w:t>
      </w:r>
      <w:r>
        <w:rPr>
          <w:rFonts w:hint="eastAsia" w:ascii="仿宋_GB2312" w:hAnsi="宋体" w:eastAsia="仿宋_GB2312" w:cs="Courier New"/>
          <w:b/>
          <w:bCs/>
          <w:color w:val="FF0000"/>
          <w:sz w:val="32"/>
          <w:szCs w:val="32"/>
          <w:lang w:eastAsia="zh-CN"/>
        </w:rPr>
        <w:t>2017</w:t>
      </w:r>
      <w:r>
        <w:rPr>
          <w:rFonts w:hint="eastAsia" w:ascii="仿宋_GB2312" w:hAnsi="宋体" w:eastAsia="仿宋_GB2312" w:cs="Courier New"/>
          <w:b/>
          <w:bCs/>
          <w:color w:val="FF0000"/>
          <w:sz w:val="32"/>
          <w:szCs w:val="32"/>
        </w:rPr>
        <w:t>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C88C4"/>
    <w:multiLevelType w:val="singleLevel"/>
    <w:tmpl w:val="BFBC88C4"/>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7">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2E2331"/>
    <w:rsid w:val="08C93CEA"/>
    <w:rsid w:val="10862501"/>
    <w:rsid w:val="225F0291"/>
    <w:rsid w:val="2FE660C2"/>
    <w:rsid w:val="363D7C7E"/>
    <w:rsid w:val="42AB290B"/>
    <w:rsid w:val="4DB319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2019-02-14T01:26:51Z</dcterms:modified>
  <dc:title>农业局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