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0" w:beforeAutospacing="0" w:after="0" w:afterAutospacing="0"/>
        <w:ind w:left="0" w:right="0"/>
        <w:jc w:val="both"/>
        <w:rPr>
          <w:rStyle w:val="7"/>
          <w:rFonts w:hint="eastAsia" w:asciiTheme="majorEastAsia" w:hAnsiTheme="majorEastAsia" w:eastAsiaTheme="majorEastAsia" w:cstheme="majorEastAsia"/>
          <w:sz w:val="44"/>
          <w:szCs w:val="44"/>
          <w:lang w:val="en-US" w:eastAsia="zh-CN"/>
        </w:rPr>
      </w:pPr>
    </w:p>
    <w:p>
      <w:pPr>
        <w:pStyle w:val="4"/>
        <w:keepNext w:val="0"/>
        <w:keepLines w:val="0"/>
        <w:widowControl/>
        <w:suppressLineNumbers w:val="0"/>
        <w:spacing w:before="0" w:beforeAutospacing="0" w:after="0" w:afterAutospacing="0"/>
        <w:ind w:left="0" w:right="0"/>
        <w:jc w:val="center"/>
        <w:rPr>
          <w:rStyle w:val="7"/>
          <w:rFonts w:hint="eastAsia" w:asciiTheme="majorEastAsia" w:hAnsiTheme="majorEastAsia" w:eastAsiaTheme="majorEastAsia" w:cstheme="majorEastAsia"/>
          <w:sz w:val="44"/>
          <w:szCs w:val="44"/>
          <w:lang w:val="en-US" w:eastAsia="zh-CN"/>
        </w:rPr>
      </w:pPr>
    </w:p>
    <w:p>
      <w:pPr>
        <w:pStyle w:val="4"/>
        <w:keepNext w:val="0"/>
        <w:keepLines w:val="0"/>
        <w:widowControl/>
        <w:suppressLineNumbers w:val="0"/>
        <w:spacing w:before="0" w:beforeAutospacing="0" w:after="0" w:afterAutospacing="0"/>
        <w:ind w:left="0" w:right="0"/>
        <w:jc w:val="center"/>
        <w:rPr>
          <w:rStyle w:val="7"/>
          <w:rFonts w:hint="eastAsia" w:asciiTheme="majorEastAsia" w:hAnsiTheme="majorEastAsia" w:eastAsiaTheme="majorEastAsia" w:cstheme="majorEastAsia"/>
          <w:sz w:val="44"/>
          <w:szCs w:val="44"/>
          <w:lang w:val="en-US" w:eastAsia="zh-CN"/>
        </w:rPr>
      </w:pPr>
    </w:p>
    <w:p>
      <w:pPr>
        <w:pStyle w:val="4"/>
        <w:keepNext w:val="0"/>
        <w:keepLines w:val="0"/>
        <w:widowControl/>
        <w:suppressLineNumbers w:val="0"/>
        <w:spacing w:before="0" w:beforeAutospacing="0" w:after="0" w:afterAutospacing="0"/>
        <w:ind w:left="0" w:right="0"/>
        <w:jc w:val="center"/>
        <w:rPr>
          <w:rStyle w:val="7"/>
          <w:rFonts w:hint="eastAsia" w:asciiTheme="majorEastAsia" w:hAnsiTheme="majorEastAsia" w:eastAsiaTheme="majorEastAsia" w:cstheme="majorEastAsia"/>
          <w:sz w:val="44"/>
          <w:szCs w:val="44"/>
          <w:lang w:val="en-US" w:eastAsia="zh-CN"/>
        </w:rPr>
      </w:pPr>
    </w:p>
    <w:p>
      <w:pPr>
        <w:pStyle w:val="4"/>
        <w:keepNext w:val="0"/>
        <w:keepLines w:val="0"/>
        <w:widowControl/>
        <w:suppressLineNumbers w:val="0"/>
        <w:spacing w:before="0" w:beforeAutospacing="0" w:after="0" w:afterAutospacing="0"/>
        <w:ind w:left="0" w:right="0"/>
        <w:jc w:val="center"/>
        <w:rPr>
          <w:rStyle w:val="7"/>
          <w:rFonts w:hint="eastAsia" w:ascii="仿宋" w:hAnsi="仿宋" w:eastAsia="仿宋" w:cs="仿宋"/>
          <w:b w:val="0"/>
          <w:bCs/>
          <w:sz w:val="44"/>
          <w:szCs w:val="44"/>
          <w:lang w:val="en-US" w:eastAsia="zh-CN"/>
        </w:rPr>
      </w:pPr>
    </w:p>
    <w:p>
      <w:pPr>
        <w:pStyle w:val="4"/>
        <w:keepNext w:val="0"/>
        <w:keepLines w:val="0"/>
        <w:widowControl/>
        <w:suppressLineNumbers w:val="0"/>
        <w:spacing w:before="0" w:beforeAutospacing="0" w:after="0" w:afterAutospacing="0"/>
        <w:ind w:left="0" w:right="0"/>
        <w:jc w:val="center"/>
        <w:rPr>
          <w:rStyle w:val="7"/>
          <w:rFonts w:hint="eastAsia" w:ascii="仿宋" w:hAnsi="仿宋" w:eastAsia="仿宋" w:cs="仿宋"/>
          <w:b w:val="0"/>
          <w:bCs/>
          <w:sz w:val="32"/>
          <w:szCs w:val="32"/>
          <w:lang w:val="en-US" w:eastAsia="zh-CN"/>
        </w:rPr>
      </w:pPr>
      <w:r>
        <w:rPr>
          <w:rStyle w:val="7"/>
          <w:rFonts w:hint="eastAsia" w:ascii="仿宋" w:hAnsi="仿宋" w:eastAsia="仿宋" w:cs="仿宋"/>
          <w:b w:val="0"/>
          <w:bCs/>
          <w:sz w:val="32"/>
          <w:szCs w:val="32"/>
          <w:lang w:val="en-US" w:eastAsia="zh-CN"/>
        </w:rPr>
        <w:t>信环直一[2020]4号</w:t>
      </w:r>
    </w:p>
    <w:p>
      <w:pPr>
        <w:pStyle w:val="4"/>
        <w:keepNext w:val="0"/>
        <w:keepLines w:val="0"/>
        <w:widowControl/>
        <w:suppressLineNumbers w:val="0"/>
        <w:spacing w:before="0" w:beforeAutospacing="0" w:after="0" w:afterAutospacing="0"/>
        <w:ind w:left="0" w:right="0"/>
        <w:jc w:val="center"/>
        <w:rPr>
          <w:rStyle w:val="7"/>
          <w:rFonts w:hint="eastAsia" w:asciiTheme="majorEastAsia" w:hAnsiTheme="majorEastAsia" w:eastAsiaTheme="majorEastAsia" w:cstheme="majorEastAsia"/>
          <w:sz w:val="44"/>
          <w:szCs w:val="44"/>
          <w:lang w:val="en-US" w:eastAsia="zh-CN"/>
        </w:rPr>
      </w:pPr>
    </w:p>
    <w:p>
      <w:pPr>
        <w:pStyle w:val="4"/>
        <w:keepNext w:val="0"/>
        <w:keepLines w:val="0"/>
        <w:widowControl/>
        <w:suppressLineNumbers w:val="0"/>
        <w:spacing w:before="0" w:beforeAutospacing="0" w:after="0" w:afterAutospacing="0"/>
        <w:ind w:left="0" w:right="0"/>
        <w:jc w:val="center"/>
        <w:rPr>
          <w:rStyle w:val="7"/>
          <w:rFonts w:hint="eastAsia" w:asciiTheme="majorEastAsia" w:hAnsiTheme="majorEastAsia" w:eastAsiaTheme="majorEastAsia" w:cstheme="majorEastAsia"/>
          <w:sz w:val="44"/>
          <w:szCs w:val="44"/>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Style w:val="7"/>
          <w:rFonts w:hint="eastAsia" w:asciiTheme="majorEastAsia" w:hAnsiTheme="majorEastAsia" w:eastAsiaTheme="majorEastAsia" w:cstheme="majorEastAsia"/>
          <w:sz w:val="44"/>
          <w:szCs w:val="44"/>
        </w:rPr>
      </w:pPr>
      <w:r>
        <w:rPr>
          <w:rStyle w:val="7"/>
          <w:rFonts w:hint="eastAsia" w:asciiTheme="majorEastAsia" w:hAnsiTheme="majorEastAsia" w:eastAsiaTheme="majorEastAsia" w:cstheme="majorEastAsia"/>
          <w:sz w:val="44"/>
          <w:szCs w:val="44"/>
          <w:lang w:val="en-US" w:eastAsia="zh-CN"/>
        </w:rPr>
        <w:t>信阳市浉河区</w:t>
      </w:r>
      <w:r>
        <w:rPr>
          <w:rStyle w:val="7"/>
          <w:rFonts w:hint="eastAsia" w:asciiTheme="majorEastAsia" w:hAnsiTheme="majorEastAsia" w:eastAsiaTheme="majorEastAsia" w:cstheme="majorEastAsia"/>
          <w:sz w:val="44"/>
          <w:szCs w:val="44"/>
        </w:rPr>
        <w:t>生态环境领域基层政务公开标准指引</w:t>
      </w:r>
    </w:p>
    <w:p>
      <w:pPr>
        <w:pStyle w:val="4"/>
        <w:keepNext w:val="0"/>
        <w:keepLines w:val="0"/>
        <w:widowControl/>
        <w:suppressLineNumbers w:val="0"/>
        <w:spacing w:before="0" w:beforeAutospacing="0" w:after="0" w:afterAutospacing="0"/>
        <w:ind w:left="0" w:right="0"/>
        <w:jc w:val="center"/>
        <w:rPr>
          <w:rStyle w:val="7"/>
          <w:rFonts w:hint="eastAsia" w:asciiTheme="majorEastAsia" w:hAnsiTheme="majorEastAsia" w:eastAsiaTheme="majorEastAsia" w:cstheme="majorEastAsia"/>
          <w:sz w:val="44"/>
          <w:szCs w:val="44"/>
        </w:rPr>
      </w:pPr>
    </w:p>
    <w:p>
      <w:pPr>
        <w:pStyle w:val="4"/>
        <w:keepNext w:val="0"/>
        <w:keepLines w:val="0"/>
        <w:pageBreakBefore w:val="0"/>
        <w:widowControl/>
        <w:suppressLineNumbers w:val="0"/>
        <w:kinsoku/>
        <w:wordWrap/>
        <w:overflowPunct/>
        <w:topLinePunct w:val="0"/>
        <w:autoSpaceDE/>
        <w:autoSpaceDN/>
        <w:bidi w:val="0"/>
        <w:adjustRightInd/>
        <w:snapToGrid/>
        <w:spacing w:before="76" w:beforeAutospacing="0" w:after="76" w:afterAutospacing="0"/>
        <w:ind w:right="74"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按照《信阳市生态环境局办公室关于印发信阳市生态环境领域基层政务公开标准指引的通知》(信环办〔2020〕8号)要求，结合我</w:t>
      </w:r>
      <w:r>
        <w:rPr>
          <w:rFonts w:hint="eastAsia" w:ascii="仿宋" w:hAnsi="仿宋" w:eastAsia="仿宋" w:cs="仿宋"/>
          <w:sz w:val="32"/>
          <w:szCs w:val="32"/>
          <w:lang w:val="en-US" w:eastAsia="zh-CN"/>
        </w:rPr>
        <w:t>区</w:t>
      </w:r>
      <w:r>
        <w:rPr>
          <w:rFonts w:hint="eastAsia" w:ascii="仿宋" w:hAnsi="仿宋" w:eastAsia="仿宋" w:cs="仿宋"/>
          <w:sz w:val="32"/>
          <w:szCs w:val="32"/>
        </w:rPr>
        <w:t>工作实际，制定本指引。</w:t>
      </w:r>
    </w:p>
    <w:p>
      <w:pPr>
        <w:pStyle w:val="4"/>
        <w:keepNext w:val="0"/>
        <w:keepLines w:val="0"/>
        <w:widowControl/>
        <w:suppressLineNumbers w:val="0"/>
        <w:spacing w:before="76" w:beforeAutospacing="0" w:after="76" w:afterAutospacing="0"/>
        <w:ind w:left="76" w:right="76"/>
        <w:rPr>
          <w:rFonts w:hint="eastAsia" w:ascii="黑体" w:hAnsi="黑体" w:eastAsia="黑体" w:cs="黑体"/>
          <w:sz w:val="32"/>
          <w:szCs w:val="32"/>
        </w:rPr>
      </w:pPr>
      <w:r>
        <w:rPr>
          <w:rStyle w:val="7"/>
          <w:rFonts w:hint="eastAsia" w:ascii="黑体" w:hAnsi="黑体" w:eastAsia="黑体" w:cs="黑体"/>
          <w:sz w:val="32"/>
          <w:szCs w:val="32"/>
        </w:rPr>
        <w:t>一、总体要求</w:t>
      </w:r>
    </w:p>
    <w:p>
      <w:pPr>
        <w:pStyle w:val="4"/>
        <w:keepNext w:val="0"/>
        <w:keepLines w:val="0"/>
        <w:widowControl/>
        <w:suppressLineNumbers w:val="0"/>
        <w:spacing w:before="76" w:beforeAutospacing="0" w:after="76" w:afterAutospacing="0"/>
        <w:ind w:left="76" w:right="76"/>
        <w:rPr>
          <w:rFonts w:hint="eastAsia" w:ascii="仿宋" w:hAnsi="仿宋" w:eastAsia="仿宋" w:cs="仿宋"/>
          <w:sz w:val="32"/>
          <w:szCs w:val="32"/>
        </w:rPr>
      </w:pPr>
      <w:r>
        <w:rPr>
          <w:rFonts w:hint="eastAsia" w:ascii="仿宋" w:hAnsi="仿宋" w:eastAsia="仿宋" w:cs="仿宋"/>
          <w:sz w:val="32"/>
          <w:szCs w:val="32"/>
        </w:rPr>
        <w:t>　　深入贯彻习近平生态文明思想，全面落实党中央、国务院关于全面推进政务公开系列部署，不断提升生态环境领域基层政务公开工作，标准化规范化水平。力争到2023年，生态环境领域基层政务公开工作体制机制进一步健全完善，及时、全面、准确公开信息，不断满足公众日益增长的生态环境知情权需要，助力打好污染防治攻坚战和生态文明建设。</w:t>
      </w:r>
    </w:p>
    <w:p>
      <w:pPr>
        <w:pStyle w:val="4"/>
        <w:keepNext w:val="0"/>
        <w:keepLines w:val="0"/>
        <w:widowControl/>
        <w:suppressLineNumbers w:val="0"/>
        <w:spacing w:before="76" w:beforeAutospacing="0" w:after="76" w:afterAutospacing="0"/>
        <w:ind w:left="76" w:right="76"/>
        <w:rPr>
          <w:rFonts w:hint="eastAsia" w:ascii="黑体" w:hAnsi="黑体" w:eastAsia="黑体" w:cs="黑体"/>
          <w:sz w:val="32"/>
          <w:szCs w:val="32"/>
        </w:rPr>
      </w:pPr>
      <w:r>
        <w:rPr>
          <w:rStyle w:val="7"/>
          <w:rFonts w:hint="eastAsia" w:ascii="黑体" w:hAnsi="黑体" w:eastAsia="黑体" w:cs="黑体"/>
          <w:sz w:val="32"/>
          <w:szCs w:val="32"/>
        </w:rPr>
        <w:t>二、工作目标</w:t>
      </w:r>
    </w:p>
    <w:p>
      <w:pPr>
        <w:pStyle w:val="4"/>
        <w:keepNext w:val="0"/>
        <w:keepLines w:val="0"/>
        <w:widowControl/>
        <w:suppressLineNumbers w:val="0"/>
        <w:spacing w:before="76" w:beforeAutospacing="0" w:after="76" w:afterAutospacing="0"/>
        <w:ind w:left="76" w:right="76"/>
        <w:rPr>
          <w:rFonts w:hint="eastAsia" w:ascii="仿宋" w:hAnsi="仿宋" w:eastAsia="仿宋" w:cs="仿宋"/>
          <w:sz w:val="32"/>
          <w:szCs w:val="32"/>
        </w:rPr>
      </w:pPr>
      <w:r>
        <w:rPr>
          <w:rFonts w:hint="eastAsia" w:ascii="仿宋" w:hAnsi="仿宋" w:eastAsia="仿宋" w:cs="仿宋"/>
          <w:sz w:val="32"/>
          <w:szCs w:val="32"/>
        </w:rPr>
        <w:t>　　在政务公开工作的基础上，按照标准化、规范化要求，进一步加强基层生态环境领域政务公开事项、内容、流程、时限、方式等，全面提高生态环境领域政务公开水平，持续推进生态环境领域信息公开平台建设，实现信息全覆盖，高效便捷获取信息，切实维护人民群众的参与权、表达权和监督权。</w:t>
      </w:r>
    </w:p>
    <w:p>
      <w:pPr>
        <w:pStyle w:val="4"/>
        <w:keepNext w:val="0"/>
        <w:keepLines w:val="0"/>
        <w:widowControl/>
        <w:suppressLineNumbers w:val="0"/>
        <w:spacing w:before="76" w:beforeAutospacing="0" w:after="76" w:afterAutospacing="0"/>
        <w:ind w:left="76" w:right="76"/>
        <w:rPr>
          <w:rFonts w:hint="eastAsia" w:ascii="仿宋" w:hAnsi="仿宋" w:eastAsia="仿宋" w:cs="仿宋"/>
          <w:sz w:val="32"/>
          <w:szCs w:val="32"/>
        </w:rPr>
      </w:pPr>
      <w:r>
        <w:rPr>
          <w:rStyle w:val="7"/>
          <w:rFonts w:hint="eastAsia" w:ascii="黑体" w:hAnsi="黑体" w:eastAsia="黑体" w:cs="黑体"/>
          <w:sz w:val="32"/>
          <w:szCs w:val="32"/>
        </w:rPr>
        <w:t>三、适用范围</w:t>
      </w:r>
    </w:p>
    <w:p>
      <w:pPr>
        <w:pStyle w:val="4"/>
        <w:keepNext w:val="0"/>
        <w:keepLines w:val="0"/>
        <w:widowControl/>
        <w:suppressLineNumbers w:val="0"/>
        <w:spacing w:before="76" w:beforeAutospacing="0" w:after="76" w:afterAutospacing="0"/>
        <w:ind w:left="76" w:right="76"/>
        <w:rPr>
          <w:rFonts w:hint="eastAsia" w:ascii="仿宋" w:hAnsi="仿宋" w:eastAsia="仿宋" w:cs="仿宋"/>
          <w:sz w:val="32"/>
          <w:szCs w:val="32"/>
        </w:rPr>
      </w:pPr>
      <w:r>
        <w:rPr>
          <w:rFonts w:hint="eastAsia" w:ascii="仿宋" w:hAnsi="仿宋" w:eastAsia="仿宋" w:cs="仿宋"/>
          <w:sz w:val="32"/>
          <w:szCs w:val="32"/>
        </w:rPr>
        <w:t>　　本指引适用于</w:t>
      </w:r>
      <w:r>
        <w:rPr>
          <w:rFonts w:hint="eastAsia" w:ascii="仿宋" w:hAnsi="仿宋" w:eastAsia="仿宋" w:cs="仿宋"/>
          <w:sz w:val="32"/>
          <w:szCs w:val="32"/>
          <w:lang w:val="en-US" w:eastAsia="zh-CN"/>
        </w:rPr>
        <w:t>信阳市生态环境局直属一分局</w:t>
      </w:r>
      <w:r>
        <w:rPr>
          <w:rFonts w:hint="eastAsia" w:ascii="仿宋" w:hAnsi="仿宋" w:eastAsia="仿宋" w:cs="仿宋"/>
          <w:sz w:val="32"/>
          <w:szCs w:val="32"/>
        </w:rPr>
        <w:t>。</w:t>
      </w:r>
    </w:p>
    <w:p>
      <w:pPr>
        <w:pStyle w:val="4"/>
        <w:keepNext w:val="0"/>
        <w:keepLines w:val="0"/>
        <w:widowControl/>
        <w:suppressLineNumbers w:val="0"/>
        <w:spacing w:before="76" w:beforeAutospacing="0" w:after="76" w:afterAutospacing="0"/>
        <w:ind w:left="76" w:right="76"/>
        <w:rPr>
          <w:rFonts w:hint="eastAsia" w:ascii="仿宋" w:hAnsi="仿宋" w:eastAsia="仿宋" w:cs="仿宋"/>
          <w:sz w:val="32"/>
          <w:szCs w:val="32"/>
        </w:rPr>
      </w:pPr>
      <w:r>
        <w:rPr>
          <w:rStyle w:val="7"/>
          <w:rFonts w:hint="eastAsia" w:ascii="仿宋" w:hAnsi="仿宋" w:eastAsia="仿宋" w:cs="仿宋"/>
          <w:sz w:val="32"/>
          <w:szCs w:val="32"/>
          <w:lang w:val="en-US" w:eastAsia="zh-CN"/>
        </w:rPr>
        <w:t>四</w:t>
      </w:r>
      <w:r>
        <w:rPr>
          <w:rStyle w:val="7"/>
          <w:rFonts w:hint="eastAsia" w:ascii="仿宋" w:hAnsi="仿宋" w:eastAsia="仿宋" w:cs="仿宋"/>
          <w:sz w:val="32"/>
          <w:szCs w:val="32"/>
        </w:rPr>
        <w:t>、有关要求</w:t>
      </w:r>
    </w:p>
    <w:p>
      <w:pPr>
        <w:pStyle w:val="4"/>
        <w:keepNext w:val="0"/>
        <w:keepLines w:val="0"/>
        <w:widowControl/>
        <w:suppressLineNumbers w:val="0"/>
        <w:spacing w:before="76" w:beforeAutospacing="0" w:after="76" w:afterAutospacing="0"/>
        <w:ind w:left="76" w:right="76"/>
        <w:rPr>
          <w:rFonts w:hint="eastAsia" w:ascii="仿宋" w:hAnsi="仿宋" w:eastAsia="仿宋" w:cs="仿宋"/>
          <w:sz w:val="32"/>
          <w:szCs w:val="32"/>
        </w:rPr>
      </w:pPr>
      <w:r>
        <w:rPr>
          <w:rFonts w:hint="eastAsia" w:ascii="仿宋" w:hAnsi="仿宋" w:eastAsia="仿宋" w:cs="仿宋"/>
          <w:sz w:val="32"/>
          <w:szCs w:val="32"/>
        </w:rPr>
        <w:t>　　(一)加强组织领导。要高度重视基层政务公开工作，健全完善政务公开工作制度、协调机制，推动标准化规范化工作落实。要定期或者不定期组织培训和业务交流，提升基层政务公开队伍能力水平。明确人员岗位和职责，确保该项工作有机构承担、有专人负责。要加大培训力度，把政务公开特别是政府信息公开条例、生态环境领域基层政务公开标准指引和本地标准目录纳入领导干部和机关人员的培训内容，切实增强依法依规公开意识，不断提高基层生态环境政务公开能力水平。</w:t>
      </w:r>
    </w:p>
    <w:p>
      <w:pPr>
        <w:pStyle w:val="4"/>
        <w:keepNext w:val="0"/>
        <w:keepLines w:val="0"/>
        <w:widowControl/>
        <w:suppressLineNumbers w:val="0"/>
        <w:spacing w:before="76" w:beforeAutospacing="0" w:after="76" w:afterAutospacing="0"/>
        <w:ind w:left="76" w:right="76"/>
        <w:rPr>
          <w:rFonts w:hint="eastAsia" w:ascii="仿宋" w:hAnsi="仿宋" w:eastAsia="仿宋" w:cs="仿宋"/>
          <w:sz w:val="32"/>
          <w:szCs w:val="32"/>
        </w:rPr>
      </w:pPr>
      <w:r>
        <w:rPr>
          <w:rFonts w:hint="eastAsia" w:ascii="仿宋" w:hAnsi="仿宋" w:eastAsia="仿宋" w:cs="仿宋"/>
          <w:sz w:val="32"/>
          <w:szCs w:val="32"/>
        </w:rPr>
        <w:t>　　(二)强化工作评估。建立健全政务公开工作内部考核制度，主动接受上级部门评议。完善公众参与机制，通过政府网站互动平台、微信等途径，加强与公众交流沟通。积极借助第三方开展评估，不断改进完善政务公开工作。</w:t>
      </w:r>
    </w:p>
    <w:p>
      <w:pPr>
        <w:pStyle w:val="4"/>
        <w:keepNext w:val="0"/>
        <w:keepLines w:val="0"/>
        <w:widowControl/>
        <w:suppressLineNumbers w:val="0"/>
        <w:spacing w:before="76" w:beforeAutospacing="0" w:after="76" w:afterAutospacing="0"/>
        <w:ind w:left="76" w:right="76" w:firstLine="640"/>
        <w:rPr>
          <w:rFonts w:hint="eastAsia" w:ascii="仿宋" w:hAnsi="仿宋" w:eastAsia="仿宋" w:cs="仿宋"/>
          <w:sz w:val="32"/>
          <w:szCs w:val="32"/>
        </w:rPr>
      </w:pPr>
      <w:r>
        <w:rPr>
          <w:rFonts w:hint="eastAsia" w:ascii="仿宋" w:hAnsi="仿宋" w:eastAsia="仿宋" w:cs="仿宋"/>
          <w:sz w:val="32"/>
          <w:szCs w:val="32"/>
        </w:rPr>
        <w:t>(三)及时回应关切。及时解读重要政策，做到政策发布和解读同步组织、同步审签、同步部署，把信息发布、政策解读、回应关切有机衔接起来，通过及时回应关切、释疑解惑，增进共识。</w:t>
      </w:r>
    </w:p>
    <w:p>
      <w:pPr>
        <w:pStyle w:val="4"/>
        <w:keepNext w:val="0"/>
        <w:keepLines w:val="0"/>
        <w:widowControl/>
        <w:suppressLineNumbers w:val="0"/>
        <w:spacing w:before="76" w:beforeAutospacing="0" w:after="76" w:afterAutospacing="0"/>
        <w:ind w:left="76" w:right="76" w:firstLine="640"/>
        <w:rPr>
          <w:rFonts w:hint="eastAsia" w:ascii="仿宋" w:hAnsi="仿宋" w:eastAsia="仿宋" w:cs="仿宋"/>
          <w:sz w:val="32"/>
          <w:szCs w:val="32"/>
        </w:rPr>
      </w:pPr>
    </w:p>
    <w:p>
      <w:pPr>
        <w:pStyle w:val="4"/>
        <w:keepNext w:val="0"/>
        <w:keepLines w:val="0"/>
        <w:widowControl/>
        <w:suppressLineNumbers w:val="0"/>
        <w:spacing w:before="76" w:beforeAutospacing="0" w:after="76" w:afterAutospacing="0"/>
        <w:ind w:right="76"/>
        <w:jc w:val="right"/>
        <w:rPr>
          <w:rFonts w:hint="eastAsia" w:ascii="仿宋" w:hAnsi="仿宋" w:eastAsia="仿宋" w:cs="仿宋"/>
          <w:sz w:val="32"/>
          <w:szCs w:val="32"/>
          <w:lang w:val="en-US" w:eastAsia="zh-CN"/>
        </w:rPr>
      </w:pPr>
    </w:p>
    <w:p>
      <w:pPr>
        <w:pStyle w:val="4"/>
        <w:keepNext w:val="0"/>
        <w:keepLines w:val="0"/>
        <w:widowControl/>
        <w:suppressLineNumbers w:val="0"/>
        <w:spacing w:before="76" w:beforeAutospacing="0" w:after="76" w:afterAutospacing="0"/>
        <w:ind w:right="76"/>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信阳市生态环境局直属一分局</w:t>
      </w:r>
    </w:p>
    <w:p>
      <w:pPr>
        <w:pStyle w:val="4"/>
        <w:keepNext w:val="0"/>
        <w:keepLines w:val="0"/>
        <w:widowControl/>
        <w:suppressLineNumbers w:val="0"/>
        <w:spacing w:before="76" w:beforeAutospacing="0" w:after="76" w:afterAutospacing="0"/>
        <w:ind w:right="76"/>
        <w:jc w:val="both"/>
        <w:rPr>
          <w:rFonts w:hint="eastAsia" w:ascii="仿宋" w:hAnsi="仿宋" w:eastAsia="仿宋" w:cs="仿宋"/>
          <w:sz w:val="32"/>
          <w:szCs w:val="32"/>
          <w:lang w:val="en-US" w:eastAsia="zh-CN"/>
        </w:rPr>
      </w:pPr>
    </w:p>
    <w:p>
      <w:pPr>
        <w:pStyle w:val="4"/>
        <w:keepNext w:val="0"/>
        <w:keepLines w:val="0"/>
        <w:widowControl/>
        <w:suppressLineNumbers w:val="0"/>
        <w:spacing w:before="76" w:beforeAutospacing="0" w:after="76" w:afterAutospacing="0"/>
        <w:ind w:right="76"/>
        <w:jc w:val="both"/>
        <w:rPr>
          <w:rFonts w:hint="default" w:ascii="仿宋" w:hAnsi="仿宋" w:eastAsia="仿宋" w:cs="仿宋"/>
          <w:sz w:val="32"/>
          <w:szCs w:val="32"/>
          <w:lang w:val="en-US" w:eastAsia="zh-CN"/>
        </w:rPr>
      </w:pPr>
    </w:p>
    <w:p>
      <w:pPr>
        <w:pStyle w:val="4"/>
        <w:keepNext w:val="0"/>
        <w:keepLines w:val="0"/>
        <w:widowControl/>
        <w:suppressLineNumbers w:val="0"/>
        <w:spacing w:before="76" w:beforeAutospacing="0" w:after="76" w:afterAutospacing="0"/>
        <w:ind w:right="76" w:firstLine="640" w:firstLineChars="20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附件：</w:t>
      </w:r>
      <w:r>
        <w:rPr>
          <w:rFonts w:hint="eastAsia" w:ascii="仿宋" w:hAnsi="仿宋" w:eastAsia="仿宋" w:cs="仿宋"/>
          <w:color w:val="000000"/>
          <w:sz w:val="32"/>
          <w:szCs w:val="32"/>
          <w:shd w:val="clear" w:color="auto" w:fill="FFFFFF"/>
          <w:lang w:eastAsia="zh-CN"/>
        </w:rPr>
        <w:t>信阳市</w:t>
      </w:r>
      <w:r>
        <w:rPr>
          <w:rFonts w:hint="eastAsia" w:ascii="仿宋" w:hAnsi="仿宋" w:eastAsia="仿宋" w:cs="仿宋"/>
          <w:color w:val="000000"/>
          <w:sz w:val="32"/>
          <w:szCs w:val="32"/>
          <w:shd w:val="clear" w:color="auto" w:fill="FFFFFF"/>
        </w:rPr>
        <w:fldChar w:fldCharType="begin"/>
      </w:r>
      <w:r>
        <w:rPr>
          <w:rFonts w:hint="eastAsia" w:ascii="仿宋" w:hAnsi="仿宋" w:eastAsia="仿宋" w:cs="仿宋"/>
          <w:color w:val="000000"/>
          <w:sz w:val="32"/>
          <w:szCs w:val="32"/>
          <w:shd w:val="clear" w:color="auto" w:fill="FFFFFF"/>
        </w:rPr>
        <w:instrText xml:space="preserve"> HYPERLINK "http://www.mee.gov.cn/xxgk2018/xxgk/xxgk06/201908/W020190823344265781650.pdf" </w:instrText>
      </w:r>
      <w:r>
        <w:rPr>
          <w:rFonts w:hint="eastAsia" w:ascii="仿宋" w:hAnsi="仿宋" w:eastAsia="仿宋" w:cs="仿宋"/>
          <w:color w:val="000000"/>
          <w:sz w:val="32"/>
          <w:szCs w:val="32"/>
          <w:shd w:val="clear" w:color="auto" w:fill="FFFFFF"/>
        </w:rPr>
        <w:fldChar w:fldCharType="separate"/>
      </w:r>
      <w:r>
        <w:rPr>
          <w:rFonts w:hint="eastAsia" w:ascii="仿宋" w:hAnsi="仿宋" w:eastAsia="仿宋" w:cs="仿宋"/>
          <w:color w:val="000000"/>
          <w:sz w:val="32"/>
          <w:szCs w:val="32"/>
          <w:shd w:val="clear" w:color="auto" w:fill="FFFFFF"/>
          <w:lang w:val="en-US" w:eastAsia="zh-CN"/>
        </w:rPr>
        <w:t>浉河区生态环境领域</w:t>
      </w:r>
      <w:r>
        <w:rPr>
          <w:rFonts w:hint="eastAsia" w:ascii="仿宋" w:hAnsi="仿宋" w:eastAsia="仿宋" w:cs="仿宋"/>
          <w:sz w:val="32"/>
          <w:szCs w:val="32"/>
        </w:rPr>
        <w:t>基层政务公开标准</w:t>
      </w:r>
      <w:r>
        <w:rPr>
          <w:rFonts w:hint="eastAsia" w:ascii="仿宋" w:hAnsi="仿宋" w:eastAsia="仿宋" w:cs="仿宋"/>
          <w:sz w:val="32"/>
          <w:szCs w:val="32"/>
          <w:lang w:val="en-US" w:eastAsia="zh-CN"/>
        </w:rPr>
        <w:t>目</w:t>
      </w:r>
      <w:r>
        <w:rPr>
          <w:rFonts w:hint="eastAsia" w:ascii="仿宋" w:hAnsi="仿宋" w:eastAsia="仿宋" w:cs="仿宋"/>
          <w:sz w:val="32"/>
          <w:szCs w:val="32"/>
        </w:rPr>
        <w:t>录</w:t>
      </w:r>
      <w:r>
        <w:rPr>
          <w:rFonts w:hint="eastAsia" w:ascii="仿宋" w:hAnsi="仿宋" w:eastAsia="仿宋" w:cs="仿宋"/>
          <w:color w:val="000000"/>
          <w:sz w:val="32"/>
          <w:szCs w:val="32"/>
          <w:shd w:val="clear" w:color="auto" w:fill="FFFFFF"/>
        </w:rPr>
        <w:fldChar w:fldCharType="end"/>
      </w:r>
    </w:p>
    <w:p>
      <w:pPr>
        <w:pStyle w:val="4"/>
        <w:keepNext w:val="0"/>
        <w:keepLines w:val="0"/>
        <w:widowControl/>
        <w:suppressLineNumbers w:val="0"/>
        <w:spacing w:before="76" w:beforeAutospacing="0" w:after="76" w:afterAutospacing="0"/>
        <w:ind w:right="76" w:firstLine="640" w:firstLineChars="200"/>
        <w:rPr>
          <w:rFonts w:hint="eastAsia" w:ascii="仿宋" w:hAnsi="仿宋" w:eastAsia="仿宋" w:cs="仿宋"/>
          <w:color w:val="000000"/>
          <w:sz w:val="32"/>
          <w:szCs w:val="32"/>
          <w:shd w:val="clear" w:color="auto" w:fill="FFFFFF"/>
        </w:rPr>
      </w:pPr>
    </w:p>
    <w:p>
      <w:pPr>
        <w:pStyle w:val="4"/>
        <w:keepNext w:val="0"/>
        <w:keepLines w:val="0"/>
        <w:widowControl/>
        <w:suppressLineNumbers w:val="0"/>
        <w:spacing w:before="76" w:beforeAutospacing="0" w:after="76" w:afterAutospacing="0"/>
        <w:ind w:right="76" w:firstLine="640" w:firstLineChars="200"/>
        <w:rPr>
          <w:rFonts w:hint="eastAsia" w:ascii="仿宋" w:hAnsi="仿宋" w:eastAsia="仿宋" w:cs="仿宋"/>
          <w:color w:val="000000"/>
          <w:sz w:val="32"/>
          <w:szCs w:val="32"/>
          <w:shd w:val="clear" w:color="auto" w:fill="FFFFFF"/>
        </w:rPr>
      </w:pPr>
    </w:p>
    <w:p>
      <w:pPr>
        <w:pStyle w:val="4"/>
        <w:keepNext w:val="0"/>
        <w:keepLines w:val="0"/>
        <w:widowControl/>
        <w:suppressLineNumbers w:val="0"/>
        <w:spacing w:before="76" w:beforeAutospacing="0" w:after="76" w:afterAutospacing="0"/>
        <w:ind w:right="76"/>
        <w:rPr>
          <w:rFonts w:hint="eastAsia" w:ascii="仿宋" w:hAnsi="仿宋" w:eastAsia="仿宋" w:cs="仿宋"/>
          <w:color w:val="000000"/>
          <w:sz w:val="32"/>
          <w:szCs w:val="32"/>
          <w:shd w:val="clear" w:color="auto" w:fill="FFFFFF"/>
        </w:rPr>
        <w:sectPr>
          <w:pgSz w:w="11906" w:h="16838"/>
          <w:pgMar w:top="1440" w:right="1800" w:bottom="1440" w:left="1800" w:header="851" w:footer="992" w:gutter="0"/>
          <w:cols w:space="425" w:num="1"/>
          <w:docGrid w:type="lines" w:linePitch="312" w:charSpace="0"/>
        </w:sectPr>
      </w:pPr>
    </w:p>
    <w:p>
      <w:pPr>
        <w:pStyle w:val="4"/>
        <w:keepNext w:val="0"/>
        <w:keepLines w:val="0"/>
        <w:widowControl/>
        <w:suppressLineNumbers w:val="0"/>
        <w:spacing w:before="76" w:beforeAutospacing="0" w:after="76" w:afterAutospacing="0"/>
        <w:ind w:right="76" w:firstLine="640" w:firstLineChars="200"/>
        <w:rPr>
          <w:rFonts w:hint="eastAsia" w:ascii="仿宋" w:hAnsi="仿宋" w:eastAsia="仿宋" w:cs="仿宋"/>
          <w:color w:val="000000"/>
          <w:sz w:val="32"/>
          <w:szCs w:val="32"/>
          <w:shd w:val="clear" w:color="auto" w:fill="FFFFFF"/>
        </w:rPr>
      </w:pPr>
    </w:p>
    <w:p>
      <w:pPr>
        <w:pStyle w:val="4"/>
        <w:keepNext w:val="0"/>
        <w:keepLines w:val="0"/>
        <w:widowControl/>
        <w:suppressLineNumbers w:val="0"/>
        <w:spacing w:before="76" w:beforeAutospacing="0" w:after="76" w:afterAutospacing="0"/>
        <w:ind w:right="76" w:firstLine="640" w:firstLineChars="200"/>
        <w:rPr>
          <w:rFonts w:hint="eastAsia" w:ascii="仿宋" w:hAnsi="仿宋" w:eastAsia="仿宋" w:cs="仿宋"/>
          <w:color w:val="000000"/>
          <w:sz w:val="32"/>
          <w:szCs w:val="32"/>
          <w:shd w:val="clear" w:color="auto" w:fill="FFFFFF"/>
        </w:rPr>
      </w:pPr>
    </w:p>
    <w:p>
      <w:pPr>
        <w:spacing w:after="157" w:afterLines="50" w:line="700" w:lineRule="exact"/>
        <w:jc w:val="center"/>
        <w:rPr>
          <w:rFonts w:eastAsia="方正小标宋_GBK"/>
          <w:sz w:val="44"/>
          <w:szCs w:val="44"/>
        </w:rPr>
      </w:pPr>
      <w:r>
        <w:rPr>
          <w:rFonts w:hint="eastAsia" w:asciiTheme="majorEastAsia" w:hAnsiTheme="majorEastAsia" w:eastAsiaTheme="majorEastAsia" w:cstheme="majorEastAsia"/>
          <w:b/>
          <w:bCs/>
          <w:color w:val="000000"/>
          <w:sz w:val="44"/>
          <w:szCs w:val="44"/>
          <w:shd w:val="clear" w:color="auto" w:fill="FFFFFF"/>
          <w:lang w:eastAsia="zh-CN"/>
        </w:rPr>
        <w:t>信阳市</w:t>
      </w:r>
      <w:r>
        <w:rPr>
          <w:rFonts w:hint="eastAsia" w:asciiTheme="majorEastAsia" w:hAnsiTheme="majorEastAsia" w:eastAsiaTheme="majorEastAsia" w:cstheme="majorEastAsia"/>
          <w:b/>
          <w:bCs/>
          <w:color w:val="000000"/>
          <w:sz w:val="44"/>
          <w:szCs w:val="44"/>
          <w:shd w:val="clear" w:color="auto" w:fill="FFFFFF"/>
          <w:lang w:val="en-US" w:eastAsia="zh-CN"/>
        </w:rPr>
        <w:t>浉河</w:t>
      </w:r>
      <w:r>
        <w:rPr>
          <w:rFonts w:hint="eastAsia" w:asciiTheme="majorEastAsia" w:hAnsiTheme="majorEastAsia" w:eastAsiaTheme="majorEastAsia" w:cstheme="majorEastAsia"/>
          <w:b/>
          <w:bCs/>
          <w:color w:val="000000"/>
          <w:sz w:val="44"/>
          <w:szCs w:val="44"/>
          <w:shd w:val="clear" w:color="auto" w:fill="FFFFFF"/>
          <w:lang w:eastAsia="zh-CN"/>
        </w:rPr>
        <w:t>区生态环境领域</w:t>
      </w:r>
      <w:r>
        <w:rPr>
          <w:rFonts w:hint="eastAsia" w:asciiTheme="majorEastAsia" w:hAnsiTheme="majorEastAsia" w:eastAsiaTheme="majorEastAsia" w:cstheme="majorEastAsia"/>
          <w:b/>
          <w:bCs/>
          <w:sz w:val="44"/>
          <w:szCs w:val="44"/>
        </w:rPr>
        <w:t>基层政务公开标准目录</w:t>
      </w:r>
    </w:p>
    <w:tbl>
      <w:tblPr>
        <w:tblStyle w:val="5"/>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37"/>
        <w:gridCol w:w="1348"/>
        <w:gridCol w:w="1499"/>
        <w:gridCol w:w="2086"/>
        <w:gridCol w:w="945"/>
        <w:gridCol w:w="1612"/>
        <w:gridCol w:w="1763"/>
        <w:gridCol w:w="930"/>
        <w:gridCol w:w="840"/>
        <w:gridCol w:w="720"/>
        <w:gridCol w:w="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trPr>
        <w:tc>
          <w:tcPr>
            <w:tcW w:w="720" w:type="dxa"/>
            <w:vMerge w:val="restart"/>
            <w:noWrap w:val="0"/>
            <w:vAlign w:val="center"/>
          </w:tcPr>
          <w:p>
            <w:pPr>
              <w:spacing w:line="340" w:lineRule="exact"/>
              <w:jc w:val="center"/>
              <w:rPr>
                <w:b/>
                <w:bCs/>
                <w:color w:val="000000"/>
                <w:szCs w:val="21"/>
              </w:rPr>
            </w:pPr>
            <w:r>
              <w:rPr>
                <w:b/>
                <w:bCs/>
                <w:color w:val="000000"/>
                <w:szCs w:val="21"/>
              </w:rPr>
              <w:t>序号</w:t>
            </w:r>
          </w:p>
        </w:tc>
        <w:tc>
          <w:tcPr>
            <w:tcW w:w="2085" w:type="dxa"/>
            <w:gridSpan w:val="2"/>
            <w:noWrap w:val="0"/>
            <w:vAlign w:val="center"/>
          </w:tcPr>
          <w:p>
            <w:pPr>
              <w:spacing w:line="340" w:lineRule="exact"/>
              <w:jc w:val="center"/>
              <w:rPr>
                <w:b/>
                <w:bCs/>
                <w:color w:val="000000"/>
                <w:szCs w:val="21"/>
              </w:rPr>
            </w:pPr>
            <w:r>
              <w:rPr>
                <w:b/>
                <w:bCs/>
                <w:color w:val="000000"/>
                <w:szCs w:val="21"/>
              </w:rPr>
              <w:t>公开事项</w:t>
            </w:r>
          </w:p>
        </w:tc>
        <w:tc>
          <w:tcPr>
            <w:tcW w:w="1499" w:type="dxa"/>
            <w:vMerge w:val="restart"/>
            <w:noWrap w:val="0"/>
            <w:vAlign w:val="center"/>
          </w:tcPr>
          <w:p>
            <w:pPr>
              <w:spacing w:line="340" w:lineRule="exact"/>
              <w:jc w:val="center"/>
              <w:rPr>
                <w:b/>
                <w:bCs/>
                <w:color w:val="000000"/>
                <w:szCs w:val="21"/>
              </w:rPr>
            </w:pPr>
            <w:r>
              <w:rPr>
                <w:b/>
                <w:bCs/>
                <w:color w:val="000000"/>
                <w:szCs w:val="21"/>
              </w:rPr>
              <w:t>公开内容</w:t>
            </w:r>
          </w:p>
          <w:p>
            <w:pPr>
              <w:spacing w:line="340" w:lineRule="exact"/>
              <w:jc w:val="center"/>
              <w:rPr>
                <w:b/>
                <w:bCs/>
                <w:color w:val="000000"/>
                <w:szCs w:val="21"/>
              </w:rPr>
            </w:pPr>
            <w:r>
              <w:rPr>
                <w:b/>
                <w:bCs/>
                <w:color w:val="000000"/>
                <w:szCs w:val="21"/>
              </w:rPr>
              <w:t>（要素）</w:t>
            </w:r>
          </w:p>
        </w:tc>
        <w:tc>
          <w:tcPr>
            <w:tcW w:w="2086" w:type="dxa"/>
            <w:vMerge w:val="restart"/>
            <w:noWrap w:val="0"/>
            <w:vAlign w:val="center"/>
          </w:tcPr>
          <w:p>
            <w:pPr>
              <w:spacing w:line="340" w:lineRule="exact"/>
              <w:jc w:val="center"/>
              <w:rPr>
                <w:b/>
                <w:bCs/>
                <w:color w:val="000000"/>
                <w:szCs w:val="21"/>
              </w:rPr>
            </w:pPr>
            <w:r>
              <w:rPr>
                <w:b/>
                <w:bCs/>
                <w:color w:val="000000"/>
                <w:szCs w:val="21"/>
              </w:rPr>
              <w:t>公开依据</w:t>
            </w:r>
          </w:p>
        </w:tc>
        <w:tc>
          <w:tcPr>
            <w:tcW w:w="945" w:type="dxa"/>
            <w:vMerge w:val="restart"/>
            <w:noWrap w:val="0"/>
            <w:vAlign w:val="center"/>
          </w:tcPr>
          <w:p>
            <w:pPr>
              <w:spacing w:line="340" w:lineRule="exact"/>
              <w:jc w:val="center"/>
              <w:rPr>
                <w:b/>
                <w:bCs/>
                <w:color w:val="000000"/>
                <w:szCs w:val="21"/>
              </w:rPr>
            </w:pPr>
            <w:r>
              <w:rPr>
                <w:b/>
                <w:bCs/>
                <w:color w:val="000000"/>
                <w:szCs w:val="21"/>
              </w:rPr>
              <w:t>公开</w:t>
            </w:r>
          </w:p>
          <w:p>
            <w:pPr>
              <w:spacing w:line="340" w:lineRule="exact"/>
              <w:jc w:val="center"/>
              <w:rPr>
                <w:b/>
                <w:bCs/>
                <w:color w:val="000000"/>
                <w:szCs w:val="21"/>
              </w:rPr>
            </w:pPr>
            <w:r>
              <w:rPr>
                <w:b/>
                <w:bCs/>
                <w:color w:val="000000"/>
                <w:szCs w:val="21"/>
              </w:rPr>
              <w:t>时限</w:t>
            </w:r>
          </w:p>
        </w:tc>
        <w:tc>
          <w:tcPr>
            <w:tcW w:w="1612" w:type="dxa"/>
            <w:vMerge w:val="restart"/>
            <w:noWrap w:val="0"/>
            <w:vAlign w:val="center"/>
          </w:tcPr>
          <w:p>
            <w:pPr>
              <w:spacing w:line="340" w:lineRule="exact"/>
              <w:jc w:val="center"/>
              <w:rPr>
                <w:b/>
                <w:bCs/>
                <w:color w:val="000000"/>
                <w:szCs w:val="21"/>
              </w:rPr>
            </w:pPr>
            <w:r>
              <w:rPr>
                <w:b/>
                <w:bCs/>
                <w:color w:val="000000"/>
                <w:szCs w:val="21"/>
              </w:rPr>
              <w:t>公开主体</w:t>
            </w:r>
          </w:p>
        </w:tc>
        <w:tc>
          <w:tcPr>
            <w:tcW w:w="1763" w:type="dxa"/>
            <w:vMerge w:val="restart"/>
            <w:noWrap w:val="0"/>
            <w:vAlign w:val="center"/>
          </w:tcPr>
          <w:p>
            <w:pPr>
              <w:spacing w:line="340" w:lineRule="exact"/>
              <w:jc w:val="center"/>
              <w:rPr>
                <w:b/>
                <w:bCs/>
                <w:color w:val="000000"/>
                <w:szCs w:val="21"/>
              </w:rPr>
            </w:pPr>
            <w:r>
              <w:rPr>
                <w:b/>
                <w:bCs/>
                <w:color w:val="000000"/>
                <w:szCs w:val="21"/>
              </w:rPr>
              <w:t>公开渠道和载体</w:t>
            </w:r>
          </w:p>
        </w:tc>
        <w:tc>
          <w:tcPr>
            <w:tcW w:w="1770" w:type="dxa"/>
            <w:gridSpan w:val="2"/>
            <w:noWrap w:val="0"/>
            <w:vAlign w:val="center"/>
          </w:tcPr>
          <w:p>
            <w:pPr>
              <w:spacing w:line="340" w:lineRule="exact"/>
              <w:jc w:val="center"/>
              <w:rPr>
                <w:b/>
                <w:bCs/>
                <w:color w:val="000000"/>
                <w:szCs w:val="21"/>
              </w:rPr>
            </w:pPr>
            <w:r>
              <w:rPr>
                <w:b/>
                <w:bCs/>
                <w:color w:val="000000"/>
                <w:szCs w:val="21"/>
              </w:rPr>
              <w:t>公开对象</w:t>
            </w:r>
          </w:p>
        </w:tc>
        <w:tc>
          <w:tcPr>
            <w:tcW w:w="1649" w:type="dxa"/>
            <w:gridSpan w:val="2"/>
            <w:noWrap w:val="0"/>
            <w:vAlign w:val="center"/>
          </w:tcPr>
          <w:p>
            <w:pPr>
              <w:spacing w:line="340" w:lineRule="exact"/>
              <w:jc w:val="center"/>
              <w:rPr>
                <w:b/>
                <w:bCs/>
                <w:color w:val="000000"/>
                <w:szCs w:val="21"/>
              </w:rPr>
            </w:pPr>
            <w:r>
              <w:rPr>
                <w:b/>
                <w:bCs/>
                <w:color w:val="000000"/>
                <w:szCs w:val="21"/>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trPr>
        <w:tc>
          <w:tcPr>
            <w:tcW w:w="720" w:type="dxa"/>
            <w:vMerge w:val="continue"/>
            <w:noWrap w:val="0"/>
            <w:vAlign w:val="center"/>
          </w:tcPr>
          <w:p>
            <w:pPr>
              <w:spacing w:line="340" w:lineRule="exact"/>
              <w:jc w:val="center"/>
              <w:rPr>
                <w:color w:val="000000"/>
                <w:szCs w:val="21"/>
              </w:rPr>
            </w:pPr>
          </w:p>
        </w:tc>
        <w:tc>
          <w:tcPr>
            <w:tcW w:w="737" w:type="dxa"/>
            <w:noWrap w:val="0"/>
            <w:vAlign w:val="center"/>
          </w:tcPr>
          <w:p>
            <w:pPr>
              <w:spacing w:line="340" w:lineRule="exact"/>
              <w:jc w:val="center"/>
              <w:rPr>
                <w:b/>
                <w:bCs/>
                <w:color w:val="000000"/>
                <w:szCs w:val="21"/>
              </w:rPr>
            </w:pPr>
            <w:r>
              <w:rPr>
                <w:b/>
                <w:bCs/>
                <w:color w:val="000000"/>
                <w:szCs w:val="21"/>
              </w:rPr>
              <w:t>一级</w:t>
            </w:r>
          </w:p>
        </w:tc>
        <w:tc>
          <w:tcPr>
            <w:tcW w:w="1348" w:type="dxa"/>
            <w:noWrap w:val="0"/>
            <w:vAlign w:val="center"/>
          </w:tcPr>
          <w:p>
            <w:pPr>
              <w:spacing w:line="340" w:lineRule="exact"/>
              <w:jc w:val="center"/>
              <w:rPr>
                <w:b/>
                <w:bCs/>
                <w:color w:val="000000"/>
                <w:szCs w:val="21"/>
              </w:rPr>
            </w:pPr>
            <w:r>
              <w:rPr>
                <w:b/>
                <w:bCs/>
                <w:color w:val="000000"/>
                <w:szCs w:val="21"/>
              </w:rPr>
              <w:t>二级</w:t>
            </w:r>
          </w:p>
        </w:tc>
        <w:tc>
          <w:tcPr>
            <w:tcW w:w="1499" w:type="dxa"/>
            <w:vMerge w:val="continue"/>
            <w:noWrap w:val="0"/>
            <w:vAlign w:val="center"/>
          </w:tcPr>
          <w:p>
            <w:pPr>
              <w:spacing w:line="340" w:lineRule="exact"/>
              <w:jc w:val="center"/>
              <w:rPr>
                <w:color w:val="000000"/>
                <w:szCs w:val="21"/>
              </w:rPr>
            </w:pPr>
          </w:p>
        </w:tc>
        <w:tc>
          <w:tcPr>
            <w:tcW w:w="2086" w:type="dxa"/>
            <w:vMerge w:val="continue"/>
            <w:noWrap w:val="0"/>
            <w:vAlign w:val="center"/>
          </w:tcPr>
          <w:p>
            <w:pPr>
              <w:spacing w:line="340" w:lineRule="exact"/>
              <w:jc w:val="center"/>
              <w:rPr>
                <w:color w:val="000000"/>
                <w:szCs w:val="21"/>
              </w:rPr>
            </w:pPr>
          </w:p>
        </w:tc>
        <w:tc>
          <w:tcPr>
            <w:tcW w:w="945" w:type="dxa"/>
            <w:vMerge w:val="continue"/>
            <w:noWrap w:val="0"/>
            <w:vAlign w:val="center"/>
          </w:tcPr>
          <w:p>
            <w:pPr>
              <w:spacing w:line="340" w:lineRule="exact"/>
              <w:jc w:val="center"/>
              <w:rPr>
                <w:color w:val="000000"/>
                <w:szCs w:val="21"/>
              </w:rPr>
            </w:pPr>
          </w:p>
        </w:tc>
        <w:tc>
          <w:tcPr>
            <w:tcW w:w="1612" w:type="dxa"/>
            <w:vMerge w:val="continue"/>
            <w:noWrap w:val="0"/>
            <w:vAlign w:val="center"/>
          </w:tcPr>
          <w:p>
            <w:pPr>
              <w:spacing w:line="340" w:lineRule="exact"/>
              <w:jc w:val="center"/>
              <w:rPr>
                <w:color w:val="000000"/>
                <w:szCs w:val="21"/>
              </w:rPr>
            </w:pPr>
          </w:p>
        </w:tc>
        <w:tc>
          <w:tcPr>
            <w:tcW w:w="1763" w:type="dxa"/>
            <w:vMerge w:val="continue"/>
            <w:noWrap w:val="0"/>
            <w:vAlign w:val="center"/>
          </w:tcPr>
          <w:p>
            <w:pPr>
              <w:spacing w:line="340" w:lineRule="exact"/>
              <w:jc w:val="center"/>
              <w:rPr>
                <w:color w:val="000000"/>
                <w:szCs w:val="21"/>
              </w:rPr>
            </w:pPr>
          </w:p>
        </w:tc>
        <w:tc>
          <w:tcPr>
            <w:tcW w:w="930" w:type="dxa"/>
            <w:noWrap w:val="0"/>
            <w:vAlign w:val="center"/>
          </w:tcPr>
          <w:p>
            <w:pPr>
              <w:spacing w:line="340" w:lineRule="exact"/>
              <w:jc w:val="center"/>
              <w:rPr>
                <w:b/>
                <w:bCs/>
                <w:color w:val="000000"/>
                <w:szCs w:val="21"/>
              </w:rPr>
            </w:pPr>
            <w:r>
              <w:rPr>
                <w:b/>
                <w:bCs/>
                <w:color w:val="000000"/>
                <w:szCs w:val="21"/>
              </w:rPr>
              <w:t>全社会</w:t>
            </w:r>
          </w:p>
        </w:tc>
        <w:tc>
          <w:tcPr>
            <w:tcW w:w="840" w:type="dxa"/>
            <w:noWrap w:val="0"/>
            <w:vAlign w:val="center"/>
          </w:tcPr>
          <w:p>
            <w:pPr>
              <w:spacing w:line="340" w:lineRule="exact"/>
              <w:jc w:val="center"/>
              <w:rPr>
                <w:b/>
                <w:bCs/>
                <w:color w:val="000000"/>
                <w:szCs w:val="21"/>
              </w:rPr>
            </w:pPr>
            <w:r>
              <w:rPr>
                <w:b/>
                <w:bCs/>
                <w:color w:val="000000"/>
                <w:szCs w:val="21"/>
              </w:rPr>
              <w:t>特定</w:t>
            </w:r>
          </w:p>
          <w:p>
            <w:pPr>
              <w:spacing w:line="340" w:lineRule="exact"/>
              <w:jc w:val="center"/>
              <w:rPr>
                <w:b/>
                <w:bCs/>
                <w:color w:val="000000"/>
                <w:szCs w:val="21"/>
              </w:rPr>
            </w:pPr>
            <w:r>
              <w:rPr>
                <w:b/>
                <w:bCs/>
                <w:color w:val="000000"/>
                <w:szCs w:val="21"/>
              </w:rPr>
              <w:t>群体</w:t>
            </w:r>
          </w:p>
        </w:tc>
        <w:tc>
          <w:tcPr>
            <w:tcW w:w="720" w:type="dxa"/>
            <w:noWrap w:val="0"/>
            <w:vAlign w:val="center"/>
          </w:tcPr>
          <w:p>
            <w:pPr>
              <w:spacing w:line="340" w:lineRule="exact"/>
              <w:jc w:val="center"/>
              <w:rPr>
                <w:b/>
                <w:bCs/>
                <w:color w:val="000000"/>
                <w:szCs w:val="21"/>
              </w:rPr>
            </w:pPr>
            <w:r>
              <w:rPr>
                <w:b/>
                <w:bCs/>
                <w:color w:val="000000"/>
                <w:szCs w:val="21"/>
              </w:rPr>
              <w:t>主动</w:t>
            </w:r>
          </w:p>
        </w:tc>
        <w:tc>
          <w:tcPr>
            <w:tcW w:w="929" w:type="dxa"/>
            <w:noWrap w:val="0"/>
            <w:vAlign w:val="center"/>
          </w:tcPr>
          <w:p>
            <w:pPr>
              <w:spacing w:line="340" w:lineRule="exact"/>
              <w:jc w:val="center"/>
              <w:rPr>
                <w:b/>
                <w:bCs/>
                <w:color w:val="000000"/>
                <w:szCs w:val="21"/>
              </w:rPr>
            </w:pPr>
            <w:r>
              <w:rPr>
                <w:b/>
                <w:bCs/>
                <w:color w:val="000000"/>
                <w:szCs w:val="21"/>
              </w:rPr>
              <w:t>依申请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20" w:type="dxa"/>
            <w:noWrap w:val="0"/>
            <w:vAlign w:val="center"/>
          </w:tcPr>
          <w:p>
            <w:pPr>
              <w:spacing w:line="360" w:lineRule="exact"/>
              <w:jc w:val="center"/>
              <w:rPr>
                <w:color w:val="000000"/>
                <w:szCs w:val="21"/>
              </w:rPr>
            </w:pPr>
            <w:r>
              <w:rPr>
                <w:color w:val="000000"/>
                <w:szCs w:val="21"/>
              </w:rPr>
              <w:t>1</w:t>
            </w:r>
          </w:p>
        </w:tc>
        <w:tc>
          <w:tcPr>
            <w:tcW w:w="737" w:type="dxa"/>
            <w:noWrap w:val="0"/>
            <w:vAlign w:val="center"/>
          </w:tcPr>
          <w:p>
            <w:pPr>
              <w:spacing w:line="360" w:lineRule="exact"/>
              <w:jc w:val="center"/>
              <w:rPr>
                <w:color w:val="000000"/>
                <w:szCs w:val="21"/>
              </w:rPr>
            </w:pPr>
            <w:r>
              <w:rPr>
                <w:color w:val="000000"/>
                <w:szCs w:val="21"/>
              </w:rPr>
              <w:t>行政</w:t>
            </w:r>
          </w:p>
          <w:p>
            <w:pPr>
              <w:spacing w:line="360" w:lineRule="exact"/>
              <w:jc w:val="center"/>
              <w:rPr>
                <w:color w:val="000000"/>
                <w:szCs w:val="21"/>
              </w:rPr>
            </w:pPr>
            <w:r>
              <w:rPr>
                <w:color w:val="000000"/>
                <w:szCs w:val="21"/>
              </w:rPr>
              <w:t>许可</w:t>
            </w:r>
          </w:p>
        </w:tc>
        <w:tc>
          <w:tcPr>
            <w:tcW w:w="1348" w:type="dxa"/>
            <w:noWrap w:val="0"/>
            <w:vAlign w:val="center"/>
          </w:tcPr>
          <w:p>
            <w:pPr>
              <w:spacing w:line="360" w:lineRule="exact"/>
              <w:rPr>
                <w:color w:val="000000"/>
                <w:szCs w:val="21"/>
              </w:rPr>
            </w:pPr>
            <w:r>
              <w:rPr>
                <w:color w:val="000000"/>
                <w:szCs w:val="21"/>
              </w:rPr>
              <w:t>建设项目环境影响评价文件审批</w:t>
            </w:r>
          </w:p>
        </w:tc>
        <w:tc>
          <w:tcPr>
            <w:tcW w:w="1499" w:type="dxa"/>
            <w:noWrap w:val="0"/>
            <w:vAlign w:val="center"/>
          </w:tcPr>
          <w:p>
            <w:pPr>
              <w:spacing w:line="360" w:lineRule="exact"/>
              <w:rPr>
                <w:color w:val="000000"/>
                <w:szCs w:val="21"/>
              </w:rPr>
            </w:pPr>
            <w:r>
              <w:rPr>
                <w:color w:val="000000"/>
                <w:szCs w:val="21"/>
              </w:rPr>
              <w:t>1.受理环节：受理情况公示、报告书（表）全本</w:t>
            </w:r>
          </w:p>
          <w:p>
            <w:pPr>
              <w:spacing w:line="360" w:lineRule="exact"/>
              <w:rPr>
                <w:color w:val="000000"/>
                <w:szCs w:val="21"/>
              </w:rPr>
            </w:pPr>
            <w:r>
              <w:rPr>
                <w:color w:val="000000"/>
                <w:szCs w:val="21"/>
              </w:rPr>
              <w:t>2.拟决定环节：拟审查环评文件基本情况公示</w:t>
            </w:r>
          </w:p>
          <w:p>
            <w:pPr>
              <w:spacing w:line="360" w:lineRule="exact"/>
              <w:rPr>
                <w:color w:val="000000"/>
                <w:szCs w:val="21"/>
              </w:rPr>
            </w:pPr>
            <w:r>
              <w:rPr>
                <w:color w:val="000000"/>
                <w:szCs w:val="21"/>
              </w:rPr>
              <w:t>3.决定环节：环评批复</w:t>
            </w:r>
          </w:p>
        </w:tc>
        <w:tc>
          <w:tcPr>
            <w:tcW w:w="2086" w:type="dxa"/>
            <w:noWrap w:val="0"/>
            <w:vAlign w:val="center"/>
          </w:tcPr>
          <w:p>
            <w:pPr>
              <w:spacing w:line="360" w:lineRule="exact"/>
              <w:rPr>
                <w:color w:val="000000"/>
                <w:szCs w:val="21"/>
              </w:rPr>
            </w:pPr>
            <w:r>
              <w:rPr>
                <w:color w:val="000000"/>
                <w:szCs w:val="21"/>
              </w:rPr>
              <w:t>《中华人民共和国环境影响评价法》《中华人民共和国放射性污染防治法》《中华人民共和国政府信息公开条例》</w:t>
            </w:r>
          </w:p>
        </w:tc>
        <w:tc>
          <w:tcPr>
            <w:tcW w:w="945" w:type="dxa"/>
            <w:noWrap w:val="0"/>
            <w:vAlign w:val="center"/>
          </w:tcPr>
          <w:p>
            <w:pPr>
              <w:spacing w:line="360" w:lineRule="exact"/>
              <w:rPr>
                <w:color w:val="000000"/>
                <w:szCs w:val="21"/>
              </w:rPr>
            </w:pPr>
            <w:r>
              <w:rPr>
                <w:color w:val="000000"/>
                <w:szCs w:val="21"/>
              </w:rPr>
              <w:t>自该信息形 成或者变更 之日起7个工作日内</w:t>
            </w:r>
          </w:p>
        </w:tc>
        <w:tc>
          <w:tcPr>
            <w:tcW w:w="1612" w:type="dxa"/>
            <w:noWrap w:val="0"/>
            <w:vAlign w:val="center"/>
          </w:tcPr>
          <w:p>
            <w:pPr>
              <w:spacing w:line="360" w:lineRule="exact"/>
              <w:rPr>
                <w:color w:val="000000"/>
                <w:szCs w:val="21"/>
              </w:rPr>
            </w:pPr>
            <w:r>
              <w:rPr>
                <w:color w:val="000000"/>
                <w:szCs w:val="21"/>
              </w:rPr>
              <w:t>生态环境部门</w:t>
            </w:r>
          </w:p>
        </w:tc>
        <w:tc>
          <w:tcPr>
            <w:tcW w:w="1763" w:type="dxa"/>
            <w:noWrap w:val="0"/>
            <w:vAlign w:val="center"/>
          </w:tcPr>
          <w:p>
            <w:pPr>
              <w:spacing w:line="360" w:lineRule="exact"/>
              <w:rPr>
                <w:color w:val="000000"/>
                <w:szCs w:val="21"/>
              </w:rPr>
            </w:pPr>
            <w:r>
              <w:rPr>
                <w:color w:val="000000"/>
                <w:szCs w:val="21"/>
              </w:rPr>
              <w:t>政府网站</w:t>
            </w:r>
          </w:p>
          <w:p>
            <w:pPr>
              <w:spacing w:line="360" w:lineRule="exact"/>
              <w:rPr>
                <w:color w:val="000000"/>
                <w:szCs w:val="21"/>
              </w:rPr>
            </w:pPr>
          </w:p>
        </w:tc>
        <w:tc>
          <w:tcPr>
            <w:tcW w:w="930" w:type="dxa"/>
            <w:noWrap w:val="0"/>
            <w:vAlign w:val="center"/>
          </w:tcPr>
          <w:p>
            <w:pPr>
              <w:spacing w:line="360" w:lineRule="exact"/>
              <w:jc w:val="center"/>
              <w:rPr>
                <w:color w:val="000000"/>
                <w:szCs w:val="21"/>
              </w:rPr>
            </w:pPr>
            <w:r>
              <w:rPr>
                <w:color w:val="000000"/>
                <w:szCs w:val="21"/>
              </w:rPr>
              <w:t>√</w:t>
            </w:r>
          </w:p>
        </w:tc>
        <w:tc>
          <w:tcPr>
            <w:tcW w:w="840" w:type="dxa"/>
            <w:noWrap w:val="0"/>
            <w:vAlign w:val="center"/>
          </w:tcPr>
          <w:p>
            <w:pPr>
              <w:spacing w:line="360" w:lineRule="exact"/>
              <w:jc w:val="center"/>
              <w:rPr>
                <w:color w:val="000000"/>
                <w:szCs w:val="21"/>
              </w:rPr>
            </w:pPr>
          </w:p>
        </w:tc>
        <w:tc>
          <w:tcPr>
            <w:tcW w:w="720" w:type="dxa"/>
            <w:noWrap w:val="0"/>
            <w:vAlign w:val="center"/>
          </w:tcPr>
          <w:p>
            <w:pPr>
              <w:spacing w:line="360" w:lineRule="exact"/>
              <w:jc w:val="center"/>
              <w:rPr>
                <w:color w:val="000000"/>
                <w:szCs w:val="21"/>
              </w:rPr>
            </w:pPr>
            <w:r>
              <w:rPr>
                <w:color w:val="000000"/>
                <w:szCs w:val="21"/>
              </w:rPr>
              <w:t>√</w:t>
            </w:r>
          </w:p>
        </w:tc>
        <w:tc>
          <w:tcPr>
            <w:tcW w:w="929" w:type="dxa"/>
            <w:noWrap w:val="0"/>
            <w:vAlign w:val="center"/>
          </w:tcPr>
          <w:p>
            <w:pPr>
              <w:spacing w:line="360" w:lineRule="exact"/>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20" w:type="dxa"/>
            <w:noWrap w:val="0"/>
            <w:vAlign w:val="center"/>
          </w:tcPr>
          <w:p>
            <w:pPr>
              <w:spacing w:line="500" w:lineRule="exact"/>
              <w:jc w:val="center"/>
              <w:rPr>
                <w:rFonts w:hint="eastAsia" w:eastAsia="宋体"/>
                <w:color w:val="000000"/>
                <w:szCs w:val="21"/>
                <w:lang w:val="en-US" w:eastAsia="zh-CN"/>
              </w:rPr>
            </w:pPr>
            <w:r>
              <w:rPr>
                <w:rFonts w:hint="eastAsia"/>
                <w:color w:val="000000"/>
                <w:szCs w:val="21"/>
                <w:lang w:val="en-US" w:eastAsia="zh-CN"/>
              </w:rPr>
              <w:t>2</w:t>
            </w:r>
          </w:p>
        </w:tc>
        <w:tc>
          <w:tcPr>
            <w:tcW w:w="737" w:type="dxa"/>
            <w:noWrap w:val="0"/>
            <w:vAlign w:val="center"/>
          </w:tcPr>
          <w:p>
            <w:pPr>
              <w:spacing w:line="500" w:lineRule="exact"/>
              <w:jc w:val="center"/>
              <w:rPr>
                <w:color w:val="000000"/>
                <w:szCs w:val="21"/>
              </w:rPr>
            </w:pPr>
          </w:p>
        </w:tc>
        <w:tc>
          <w:tcPr>
            <w:tcW w:w="1348" w:type="dxa"/>
            <w:noWrap w:val="0"/>
            <w:vAlign w:val="center"/>
          </w:tcPr>
          <w:p>
            <w:pPr>
              <w:spacing w:line="500" w:lineRule="exact"/>
              <w:rPr>
                <w:color w:val="000000"/>
                <w:szCs w:val="21"/>
              </w:rPr>
            </w:pPr>
            <w:r>
              <w:rPr>
                <w:color w:val="000000"/>
                <w:szCs w:val="21"/>
              </w:rPr>
              <w:t>生态建设</w:t>
            </w:r>
          </w:p>
        </w:tc>
        <w:tc>
          <w:tcPr>
            <w:tcW w:w="1499" w:type="dxa"/>
            <w:noWrap w:val="0"/>
            <w:vAlign w:val="center"/>
          </w:tcPr>
          <w:p>
            <w:pPr>
              <w:spacing w:line="500" w:lineRule="exact"/>
              <w:rPr>
                <w:color w:val="000000"/>
                <w:szCs w:val="21"/>
              </w:rPr>
            </w:pPr>
            <w:r>
              <w:rPr>
                <w:color w:val="000000"/>
                <w:szCs w:val="21"/>
              </w:rPr>
              <w:t>1.生态文明建设示范区和“绿水青山就是金山银山”实践创新基地创建情况</w:t>
            </w:r>
          </w:p>
          <w:p>
            <w:pPr>
              <w:spacing w:line="500" w:lineRule="exact"/>
              <w:rPr>
                <w:color w:val="000000"/>
                <w:szCs w:val="21"/>
              </w:rPr>
            </w:pPr>
            <w:r>
              <w:rPr>
                <w:color w:val="000000"/>
                <w:szCs w:val="21"/>
              </w:rPr>
              <w:t>2.农村环整治情况</w:t>
            </w:r>
          </w:p>
          <w:p>
            <w:pPr>
              <w:spacing w:line="500" w:lineRule="exact"/>
              <w:rPr>
                <w:color w:val="000000"/>
                <w:szCs w:val="21"/>
              </w:rPr>
            </w:pPr>
            <w:r>
              <w:rPr>
                <w:color w:val="000000"/>
                <w:szCs w:val="21"/>
              </w:rPr>
              <w:t>3.各类自然保护地生态环境监管执法信息</w:t>
            </w:r>
          </w:p>
          <w:p>
            <w:pPr>
              <w:spacing w:line="500" w:lineRule="exact"/>
              <w:rPr>
                <w:color w:val="000000"/>
                <w:szCs w:val="21"/>
              </w:rPr>
            </w:pPr>
            <w:r>
              <w:rPr>
                <w:color w:val="000000"/>
                <w:szCs w:val="21"/>
              </w:rPr>
              <w:t>4.生物多样性保护相关信息</w:t>
            </w:r>
          </w:p>
        </w:tc>
        <w:tc>
          <w:tcPr>
            <w:tcW w:w="2086" w:type="dxa"/>
            <w:noWrap w:val="0"/>
            <w:vAlign w:val="center"/>
          </w:tcPr>
          <w:p>
            <w:pPr>
              <w:spacing w:line="500" w:lineRule="exact"/>
              <w:rPr>
                <w:color w:val="000000"/>
                <w:szCs w:val="21"/>
              </w:rPr>
            </w:pPr>
            <w:r>
              <w:rPr>
                <w:color w:val="000000"/>
                <w:szCs w:val="21"/>
              </w:rPr>
              <w:t>《中华人民共和国政府信息公开条例》《关于全面推进政务公开工作的意见》(中办发〔2016〕8号）、《开展基层政务公开标准化规范化试点工作方案》(国办发〔2017〕42号)</w:t>
            </w:r>
          </w:p>
        </w:tc>
        <w:tc>
          <w:tcPr>
            <w:tcW w:w="945" w:type="dxa"/>
            <w:noWrap w:val="0"/>
            <w:vAlign w:val="center"/>
          </w:tcPr>
          <w:p>
            <w:pPr>
              <w:spacing w:line="500" w:lineRule="exact"/>
              <w:rPr>
                <w:color w:val="000000"/>
                <w:szCs w:val="21"/>
              </w:rPr>
            </w:pPr>
            <w:r>
              <w:rPr>
                <w:color w:val="000000"/>
                <w:szCs w:val="21"/>
              </w:rPr>
              <w:t>自该信息形 成或者变更 之日起20 个工作日内</w:t>
            </w:r>
          </w:p>
        </w:tc>
        <w:tc>
          <w:tcPr>
            <w:tcW w:w="1612" w:type="dxa"/>
            <w:noWrap w:val="0"/>
            <w:vAlign w:val="center"/>
          </w:tcPr>
          <w:p>
            <w:pPr>
              <w:spacing w:line="500" w:lineRule="exact"/>
              <w:rPr>
                <w:color w:val="000000"/>
                <w:szCs w:val="21"/>
              </w:rPr>
            </w:pPr>
            <w:r>
              <w:rPr>
                <w:color w:val="000000"/>
                <w:szCs w:val="21"/>
              </w:rPr>
              <w:t>生态环境部门</w:t>
            </w:r>
          </w:p>
        </w:tc>
        <w:tc>
          <w:tcPr>
            <w:tcW w:w="1763" w:type="dxa"/>
            <w:noWrap w:val="0"/>
            <w:vAlign w:val="center"/>
          </w:tcPr>
          <w:p>
            <w:pPr>
              <w:spacing w:line="500" w:lineRule="exact"/>
              <w:rPr>
                <w:color w:val="000000"/>
                <w:szCs w:val="21"/>
              </w:rPr>
            </w:pPr>
            <w:r>
              <w:rPr>
                <w:color w:val="000000"/>
                <w:szCs w:val="21"/>
              </w:rPr>
              <w:t>政府网站</w:t>
            </w:r>
          </w:p>
          <w:p>
            <w:pPr>
              <w:spacing w:line="500" w:lineRule="exact"/>
              <w:rPr>
                <w:color w:val="000000"/>
                <w:szCs w:val="21"/>
              </w:rPr>
            </w:pPr>
          </w:p>
        </w:tc>
        <w:tc>
          <w:tcPr>
            <w:tcW w:w="930" w:type="dxa"/>
            <w:noWrap w:val="0"/>
            <w:vAlign w:val="center"/>
          </w:tcPr>
          <w:p>
            <w:pPr>
              <w:spacing w:line="500" w:lineRule="exact"/>
              <w:jc w:val="center"/>
              <w:rPr>
                <w:color w:val="000000"/>
                <w:szCs w:val="21"/>
              </w:rPr>
            </w:pPr>
            <w:r>
              <w:rPr>
                <w:color w:val="000000"/>
                <w:szCs w:val="21"/>
              </w:rPr>
              <w:t>√</w:t>
            </w:r>
          </w:p>
        </w:tc>
        <w:tc>
          <w:tcPr>
            <w:tcW w:w="840" w:type="dxa"/>
            <w:noWrap w:val="0"/>
            <w:vAlign w:val="center"/>
          </w:tcPr>
          <w:p>
            <w:pPr>
              <w:spacing w:line="500" w:lineRule="exact"/>
              <w:jc w:val="center"/>
              <w:rPr>
                <w:color w:val="000000"/>
                <w:szCs w:val="21"/>
              </w:rPr>
            </w:pPr>
          </w:p>
        </w:tc>
        <w:tc>
          <w:tcPr>
            <w:tcW w:w="720" w:type="dxa"/>
            <w:noWrap w:val="0"/>
            <w:vAlign w:val="center"/>
          </w:tcPr>
          <w:p>
            <w:pPr>
              <w:spacing w:line="500" w:lineRule="exact"/>
              <w:jc w:val="center"/>
              <w:rPr>
                <w:color w:val="000000"/>
                <w:szCs w:val="21"/>
              </w:rPr>
            </w:pPr>
            <w:r>
              <w:rPr>
                <w:color w:val="000000"/>
                <w:szCs w:val="21"/>
              </w:rPr>
              <w:t>√</w:t>
            </w:r>
          </w:p>
        </w:tc>
        <w:tc>
          <w:tcPr>
            <w:tcW w:w="929" w:type="dxa"/>
            <w:noWrap w:val="0"/>
            <w:vAlign w:val="center"/>
          </w:tcPr>
          <w:p>
            <w:pPr>
              <w:spacing w:line="500" w:lineRule="exact"/>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20" w:type="dxa"/>
            <w:noWrap w:val="0"/>
            <w:vAlign w:val="center"/>
          </w:tcPr>
          <w:p>
            <w:pPr>
              <w:spacing w:line="500" w:lineRule="exact"/>
              <w:jc w:val="center"/>
              <w:rPr>
                <w:rFonts w:hint="eastAsia" w:eastAsia="宋体"/>
                <w:color w:val="000000"/>
                <w:szCs w:val="21"/>
                <w:lang w:val="en-US" w:eastAsia="zh-CN"/>
              </w:rPr>
            </w:pPr>
            <w:r>
              <w:rPr>
                <w:rFonts w:hint="eastAsia"/>
                <w:color w:val="000000"/>
                <w:szCs w:val="21"/>
                <w:lang w:val="en-US" w:eastAsia="zh-CN"/>
              </w:rPr>
              <w:t>3</w:t>
            </w:r>
          </w:p>
        </w:tc>
        <w:tc>
          <w:tcPr>
            <w:tcW w:w="737" w:type="dxa"/>
            <w:noWrap w:val="0"/>
            <w:vAlign w:val="center"/>
          </w:tcPr>
          <w:p>
            <w:pPr>
              <w:spacing w:line="500" w:lineRule="exact"/>
              <w:jc w:val="center"/>
              <w:rPr>
                <w:color w:val="000000"/>
                <w:szCs w:val="21"/>
              </w:rPr>
            </w:pPr>
          </w:p>
        </w:tc>
        <w:tc>
          <w:tcPr>
            <w:tcW w:w="1348" w:type="dxa"/>
            <w:noWrap w:val="0"/>
            <w:vAlign w:val="center"/>
          </w:tcPr>
          <w:p>
            <w:pPr>
              <w:spacing w:line="500" w:lineRule="exact"/>
              <w:rPr>
                <w:color w:val="000000"/>
                <w:szCs w:val="21"/>
              </w:rPr>
            </w:pPr>
            <w:r>
              <w:rPr>
                <w:color w:val="000000"/>
                <w:szCs w:val="21"/>
              </w:rPr>
              <w:t>企业事业单位突发环境事件应急预案备案</w:t>
            </w:r>
          </w:p>
        </w:tc>
        <w:tc>
          <w:tcPr>
            <w:tcW w:w="1499" w:type="dxa"/>
            <w:noWrap w:val="0"/>
            <w:vAlign w:val="center"/>
          </w:tcPr>
          <w:p>
            <w:pPr>
              <w:spacing w:line="500" w:lineRule="exact"/>
              <w:rPr>
                <w:color w:val="000000"/>
                <w:szCs w:val="21"/>
              </w:rPr>
            </w:pPr>
            <w:r>
              <w:rPr>
                <w:color w:val="000000"/>
                <w:szCs w:val="21"/>
              </w:rPr>
              <w:t>企业事业单位突发环境事件应急预案备案情况</w:t>
            </w:r>
          </w:p>
        </w:tc>
        <w:tc>
          <w:tcPr>
            <w:tcW w:w="2086" w:type="dxa"/>
            <w:noWrap w:val="0"/>
            <w:vAlign w:val="center"/>
          </w:tcPr>
          <w:p>
            <w:pPr>
              <w:spacing w:line="500" w:lineRule="exact"/>
              <w:rPr>
                <w:color w:val="000000"/>
                <w:szCs w:val="21"/>
              </w:rPr>
            </w:pPr>
            <w:r>
              <w:rPr>
                <w:color w:val="000000"/>
                <w:szCs w:val="21"/>
              </w:rPr>
              <w:t>《中华人民共和国环境保护法》《中华人民共和国突发事件应对法》《中华人民共和国政府信息公开条例》《企业事业单位突发环境事件应急预案备案管理办法(试行)》(环发〔2015〕4号）</w:t>
            </w:r>
          </w:p>
        </w:tc>
        <w:tc>
          <w:tcPr>
            <w:tcW w:w="945" w:type="dxa"/>
            <w:noWrap w:val="0"/>
            <w:vAlign w:val="center"/>
          </w:tcPr>
          <w:p>
            <w:pPr>
              <w:spacing w:line="500" w:lineRule="exact"/>
              <w:rPr>
                <w:color w:val="000000"/>
                <w:szCs w:val="21"/>
              </w:rPr>
            </w:pPr>
            <w:r>
              <w:rPr>
                <w:color w:val="000000"/>
                <w:szCs w:val="21"/>
              </w:rPr>
              <w:t>自该信息形 成或者变更 之日起20 个工作日内</w:t>
            </w:r>
          </w:p>
        </w:tc>
        <w:tc>
          <w:tcPr>
            <w:tcW w:w="1612" w:type="dxa"/>
            <w:noWrap w:val="0"/>
            <w:vAlign w:val="center"/>
          </w:tcPr>
          <w:p>
            <w:pPr>
              <w:spacing w:line="500" w:lineRule="exact"/>
              <w:rPr>
                <w:color w:val="000000"/>
                <w:szCs w:val="21"/>
              </w:rPr>
            </w:pPr>
            <w:r>
              <w:rPr>
                <w:color w:val="000000"/>
                <w:szCs w:val="21"/>
              </w:rPr>
              <w:t>生态环境部门</w:t>
            </w:r>
          </w:p>
        </w:tc>
        <w:tc>
          <w:tcPr>
            <w:tcW w:w="1763" w:type="dxa"/>
            <w:noWrap w:val="0"/>
            <w:vAlign w:val="center"/>
          </w:tcPr>
          <w:p>
            <w:pPr>
              <w:spacing w:line="500" w:lineRule="exact"/>
              <w:rPr>
                <w:color w:val="000000"/>
                <w:szCs w:val="21"/>
              </w:rPr>
            </w:pPr>
            <w:r>
              <w:rPr>
                <w:color w:val="000000"/>
                <w:szCs w:val="21"/>
              </w:rPr>
              <w:t>政府网站</w:t>
            </w:r>
          </w:p>
          <w:p>
            <w:pPr>
              <w:spacing w:line="500" w:lineRule="exact"/>
              <w:rPr>
                <w:color w:val="000000"/>
                <w:szCs w:val="21"/>
              </w:rPr>
            </w:pPr>
          </w:p>
        </w:tc>
        <w:tc>
          <w:tcPr>
            <w:tcW w:w="930" w:type="dxa"/>
            <w:noWrap w:val="0"/>
            <w:vAlign w:val="center"/>
          </w:tcPr>
          <w:p>
            <w:pPr>
              <w:spacing w:line="500" w:lineRule="exact"/>
              <w:jc w:val="center"/>
              <w:rPr>
                <w:color w:val="000000"/>
                <w:szCs w:val="21"/>
              </w:rPr>
            </w:pPr>
            <w:r>
              <w:rPr>
                <w:color w:val="000000"/>
                <w:szCs w:val="21"/>
              </w:rPr>
              <w:t>√</w:t>
            </w:r>
          </w:p>
        </w:tc>
        <w:tc>
          <w:tcPr>
            <w:tcW w:w="840" w:type="dxa"/>
            <w:noWrap w:val="0"/>
            <w:vAlign w:val="center"/>
          </w:tcPr>
          <w:p>
            <w:pPr>
              <w:spacing w:line="500" w:lineRule="exact"/>
              <w:jc w:val="center"/>
              <w:rPr>
                <w:color w:val="000000"/>
                <w:szCs w:val="21"/>
              </w:rPr>
            </w:pPr>
          </w:p>
        </w:tc>
        <w:tc>
          <w:tcPr>
            <w:tcW w:w="720" w:type="dxa"/>
            <w:noWrap w:val="0"/>
            <w:vAlign w:val="center"/>
          </w:tcPr>
          <w:p>
            <w:pPr>
              <w:spacing w:line="500" w:lineRule="exact"/>
              <w:jc w:val="center"/>
              <w:rPr>
                <w:color w:val="000000"/>
                <w:szCs w:val="21"/>
              </w:rPr>
            </w:pPr>
            <w:r>
              <w:rPr>
                <w:color w:val="000000"/>
                <w:szCs w:val="21"/>
              </w:rPr>
              <w:t>√</w:t>
            </w:r>
          </w:p>
        </w:tc>
        <w:tc>
          <w:tcPr>
            <w:tcW w:w="929" w:type="dxa"/>
            <w:noWrap w:val="0"/>
            <w:vAlign w:val="center"/>
          </w:tcPr>
          <w:p>
            <w:pPr>
              <w:spacing w:line="500" w:lineRule="exact"/>
              <w:rPr>
                <w:color w:val="000000"/>
                <w:szCs w:val="21"/>
              </w:rPr>
            </w:pPr>
          </w:p>
        </w:tc>
      </w:tr>
    </w:tbl>
    <w:p>
      <w:pPr>
        <w:spacing w:line="700" w:lineRule="exact"/>
        <w:rPr>
          <w:rFonts w:eastAsia="方正小标宋_GBK"/>
          <w:sz w:val="44"/>
          <w:szCs w:val="44"/>
        </w:rPr>
        <w:sectPr>
          <w:headerReference r:id="rId3" w:type="default"/>
          <w:footerReference r:id="rId4" w:type="default"/>
          <w:pgSz w:w="16838" w:h="11906" w:orient="landscape"/>
          <w:pgMar w:top="1531" w:right="1417" w:bottom="1531" w:left="1417" w:header="851" w:footer="1474" w:gutter="0"/>
          <w:pgNumType w:fmt="numberInDash"/>
          <w:cols w:space="720" w:num="1"/>
          <w:docGrid w:type="lines" w:linePitch="315" w:charSpace="0"/>
        </w:sectPr>
      </w:pPr>
      <w:bookmarkStart w:id="0" w:name="_GoBack"/>
      <w:bookmarkEnd w:id="0"/>
    </w:p>
    <w:p>
      <w:pPr>
        <w:rPr>
          <w:rFonts w:hint="eastAsia" w:ascii="仿宋" w:hAnsi="仿宋" w:eastAsia="仿宋" w:cs="仿宋"/>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- 6 -</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- 6 -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CF22CF"/>
    <w:rsid w:val="14FE46F5"/>
    <w:rsid w:val="1C443E06"/>
    <w:rsid w:val="210C4FC8"/>
    <w:rsid w:val="3ECF22CF"/>
    <w:rsid w:val="65C00347"/>
    <w:rsid w:val="672A3883"/>
    <w:rsid w:val="72940A8F"/>
    <w:rsid w:val="78857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 w:type="paragraph" w:styleId="3">
    <w:name w:val="header"/>
    <w:basedOn w:val="1"/>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183</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2020-10-20T05:33:00Z</dcterms:created>
  <dc:creator>Administrator</dc:creator>
  <cp:lastModifiedBy>LENOVO</cp:lastModifiedBy>
  <cp:lastPrinted>2020-12-01T03:49:56Z</cp:lastPrinted>
  <dcterms:modified xsi:type="dcterms:W3CDTF">2020-12-01T06:48:18Z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