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center"/>
        <w:rPr>
          <w:sz w:val="44"/>
          <w:szCs w:val="44"/>
        </w:rPr>
      </w:pPr>
      <w:r>
        <w:rPr>
          <w:sz w:val="44"/>
          <w:szCs w:val="44"/>
          <w:bdr w:val="none" w:color="auto" w:sz="0" w:space="0"/>
        </w:rPr>
        <w:t>老城办事处2020年政府信息公开工作年度报</w:t>
      </w:r>
      <w:r>
        <w:rPr>
          <w:rFonts w:hint="eastAsia"/>
          <w:sz w:val="44"/>
          <w:szCs w:val="44"/>
          <w:bdr w:val="none" w:color="auto" w:sz="0" w:space="0"/>
          <w:lang w:val="en-US" w:eastAsia="zh-CN"/>
        </w:rPr>
        <w:t xml:space="preserve"> </w:t>
      </w:r>
      <w:r>
        <w:rPr>
          <w:sz w:val="44"/>
          <w:szCs w:val="44"/>
          <w:bdr w:val="none" w:color="auto" w:sz="0" w:space="0"/>
        </w:rPr>
        <w:t>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bdr w:val="none" w:color="auto" w:sz="0" w:space="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sz w:val="32"/>
          <w:szCs w:val="32"/>
          <w:bdr w:val="none" w:color="auto" w:sz="0" w:space="0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2020年，老城街道办事处深入贯彻区政府关于信息公开工作要求，结合工作实际，切实贯彻落实依法行政、规范信息公开的要求，深化信息公开内容，提高信息公开水平，信息公开工作取得了新的成效。现按照区政府《关于做好2020年政府信息公开工作总结报送及年度报告编制和公布工作的通知》要求，对我办政府信息公开工作开展情况汇报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 w:bidi="ar"/>
        </w:rPr>
        <w:t xml:space="preserve">    二、主要做法及成效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leftChars="0" w:right="0" w:rightChars="0" w:firstLine="642" w:firstLineChars="0"/>
        <w:jc w:val="left"/>
        <w:textAlignment w:val="auto"/>
        <w:rPr>
          <w:rStyle w:val="6"/>
          <w:rFonts w:hint="eastAsia" w:ascii="楷体" w:hAnsi="楷体" w:eastAsia="楷体" w:cs="楷体"/>
          <w:sz w:val="32"/>
          <w:szCs w:val="32"/>
          <w:bdr w:val="none" w:color="auto" w:sz="0" w:space="0"/>
        </w:rPr>
      </w:pPr>
      <w:r>
        <w:rPr>
          <w:rStyle w:val="6"/>
          <w:rFonts w:hint="eastAsia" w:ascii="楷体" w:hAnsi="楷体" w:eastAsia="楷体" w:cs="楷体"/>
          <w:sz w:val="32"/>
          <w:szCs w:val="32"/>
          <w:bdr w:val="none" w:color="auto" w:sz="0" w:space="0"/>
        </w:rPr>
        <w:t>（一）高度重视、强化领导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leftChars="0" w:right="0" w:rightChars="0" w:firstLine="642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办事处高度重视政府信息公开工作，把推行政府信息公开列入重要议事日程，及时完善政府信息公开领导小组成员，明确由党工委副书记主抓，党政办主任具体负责，并在各社区、部门明确1名信息员，形成了主要领导亲自抓、分管领导具体抓、落实专人负责的领导体制和工作机制，落实了工作场地和工作经费，确保有场所、有人员、有设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leftChars="0" w:right="0" w:rightChars="0" w:firstLine="642" w:firstLineChars="0"/>
        <w:jc w:val="left"/>
        <w:textAlignment w:val="auto"/>
        <w:rPr>
          <w:rStyle w:val="6"/>
          <w:rFonts w:hint="eastAsia" w:ascii="楷体" w:hAnsi="楷体" w:eastAsia="楷体" w:cs="楷体"/>
          <w:sz w:val="32"/>
          <w:szCs w:val="32"/>
        </w:rPr>
      </w:pPr>
      <w:r>
        <w:rPr>
          <w:rStyle w:val="6"/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Style w:val="6"/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Style w:val="6"/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Style w:val="6"/>
          <w:rFonts w:hint="eastAsia" w:ascii="楷体" w:hAnsi="楷体" w:eastAsia="楷体" w:cs="楷体"/>
          <w:sz w:val="32"/>
          <w:szCs w:val="32"/>
        </w:rPr>
        <w:t>拓宽内容、精细服务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right="0" w:rightChars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按照区政府要求，结合具体工作实际，对我办机构、审批事项、人事任免、规划计划、应急管理、工作总结等项目如实公开。根据不同部门因地制宜分配公开权限，深化政府信息公开内容，提升决策的民主性、科学性、公众知晓率和参与度；在公开基本内容的基础上，重点公开与群众切身利益密切相关的事项，以及群众最关心、社会最敏感、反映最强烈的热点问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leftChars="0" w:right="0" w:rightChars="0" w:firstLine="642" w:firstLineChars="0"/>
        <w:jc w:val="left"/>
        <w:textAlignment w:val="auto"/>
        <w:rPr>
          <w:rStyle w:val="6"/>
          <w:rFonts w:hint="eastAsia" w:ascii="楷体" w:hAnsi="楷体" w:eastAsia="楷体" w:cs="楷体"/>
          <w:sz w:val="32"/>
          <w:szCs w:val="32"/>
        </w:rPr>
      </w:pPr>
      <w:r>
        <w:rPr>
          <w:rStyle w:val="6"/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Style w:val="6"/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Style w:val="6"/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Style w:val="6"/>
          <w:rFonts w:hint="eastAsia" w:ascii="楷体" w:hAnsi="楷体" w:eastAsia="楷体" w:cs="楷体"/>
          <w:sz w:val="32"/>
          <w:szCs w:val="32"/>
        </w:rPr>
        <w:t>注重质量、强化效果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我办严把政府信息公开质量关，按照组织健全、制度严密、标准统一、运作规范的要求,做好政府信息公开以及已公开内容存档备查工作；严格审查程序和责任人，把政府信息能否公开、怎样公开、在什么范围公开、公开时限等，作为审查内容。通过对政府信息的公开，进一步加强和改进机关工作作风，使基层民主建设得到加强，让人民群众及时监督政府，架起了政府与人民群众联系的桥梁，实实在在地密切了政府与人民群众的关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 w:bidi="ar"/>
        </w:rPr>
        <w:t xml:space="preserve">    三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 w:bidi="ar"/>
        </w:rPr>
        <w:t>、主动公开政府信息情况</w:t>
      </w:r>
    </w:p>
    <w:tbl>
      <w:tblPr>
        <w:tblW w:w="8416" w:type="dxa"/>
        <w:tblInd w:w="0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1554"/>
        <w:gridCol w:w="1554"/>
        <w:gridCol w:w="1554"/>
        <w:gridCol w:w="1548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6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C9D9E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" w:lineRule="atLeast"/>
              <w:ind w:left="0" w:leftChars="0" w:right="0" w:rightChars="0" w:firstLine="0" w:firstLineChars="0"/>
              <w:jc w:val="center"/>
              <w:textAlignment w:val="auto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9D9E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06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本年新制作数量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本年新公开数量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对外公开总数量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06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规范性文件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6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C9D9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9D9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06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上一年项目数量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本年增/减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处理决定数量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06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06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其他对外管理服务事项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6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C9D9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C9D9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上一年项目数量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本年增/减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处理决定数量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06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06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68" w:type="dxa"/>
            <w:gridSpan w:val="4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C9D9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9D9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06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上一年项目数量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本年增/减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06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68" w:type="dxa"/>
            <w:gridSpan w:val="4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C9D9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第二十条第（九）项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9D9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06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采购项目数量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采购总金额（单位：万元，保留4位小数）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06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政府集中采购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 w:bidi="ar"/>
        </w:rPr>
        <w:t xml:space="preserve">    四、收到和处理政府信息公开申请情况</w:t>
      </w:r>
    </w:p>
    <w:tbl>
      <w:tblPr>
        <w:tblW w:w="8404" w:type="dxa"/>
        <w:tblInd w:w="0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925"/>
        <w:gridCol w:w="2495"/>
        <w:gridCol w:w="475"/>
        <w:gridCol w:w="475"/>
        <w:gridCol w:w="475"/>
        <w:gridCol w:w="475"/>
        <w:gridCol w:w="475"/>
        <w:gridCol w:w="476"/>
        <w:gridCol w:w="476"/>
        <w:gridCol w:w="4"/>
        <w:gridCol w:w="471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3331" w:type="dxa"/>
            <w:gridSpan w:val="8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申请人情况</w:t>
            </w: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0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237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0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4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商业企业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科研机构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480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02" w:type="dxa"/>
            <w:gridSpan w:val="3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02" w:type="dxa"/>
            <w:gridSpan w:val="3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02" w:type="dxa"/>
            <w:gridSpan w:val="3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 w:bidi="ar"/>
        </w:rPr>
        <w:t xml:space="preserve">    五、政府信息公开行政复议、行政诉讼情况</w:t>
      </w:r>
    </w:p>
    <w:tbl>
      <w:tblPr>
        <w:tblW w:w="8416" w:type="dxa"/>
        <w:tblInd w:w="0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600"/>
        <w:gridCol w:w="600"/>
        <w:gridCol w:w="600"/>
        <w:gridCol w:w="306"/>
        <w:gridCol w:w="600"/>
        <w:gridCol w:w="600"/>
        <w:gridCol w:w="600"/>
        <w:gridCol w:w="600"/>
        <w:gridCol w:w="306"/>
        <w:gridCol w:w="600"/>
        <w:gridCol w:w="600"/>
        <w:gridCol w:w="600"/>
        <w:gridCol w:w="600"/>
        <w:gridCol w:w="306"/>
        <w:gridCol w:w="303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54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行政诉讼</w:t>
            </w:r>
          </w:p>
        </w:tc>
        <w:tc>
          <w:tcPr>
            <w:tcW w:w="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306" w:type="dxa"/>
            <w:vMerge w:val="restar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2706" w:type="dxa"/>
            <w:gridSpan w:val="5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2706" w:type="dxa"/>
            <w:gridSpan w:val="5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复议后起诉</w:t>
            </w:r>
          </w:p>
        </w:tc>
        <w:tc>
          <w:tcPr>
            <w:tcW w:w="30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3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3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2" w:firstLineChars="0"/>
        <w:jc w:val="left"/>
        <w:textAlignment w:val="auto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 w:bidi="ar"/>
        </w:rPr>
        <w:t>六、存在的主要问题及改进情况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2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bdr w:val="none" w:color="auto" w:sz="0" w:space="0"/>
        </w:rPr>
      </w:pPr>
      <w:r>
        <w:rPr>
          <w:rStyle w:val="6"/>
          <w:rFonts w:hint="eastAsia" w:ascii="楷体" w:hAnsi="楷体" w:eastAsia="楷体" w:cs="楷体"/>
          <w:b/>
          <w:bCs w:val="0"/>
          <w:sz w:val="32"/>
          <w:szCs w:val="32"/>
          <w:bdr w:val="none" w:color="auto" w:sz="0" w:space="0"/>
        </w:rPr>
        <w:t>（一）存在问题</w:t>
      </w:r>
      <w:r>
        <w:rPr>
          <w:rFonts w:hint="eastAsia" w:ascii="楷体" w:hAnsi="楷体" w:eastAsia="楷体" w:cs="楷体"/>
          <w:b/>
          <w:bCs w:val="0"/>
          <w:sz w:val="32"/>
          <w:szCs w:val="32"/>
          <w:bdr w:val="none" w:color="auto" w:sz="0" w:space="0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  <w:bdr w:val="none" w:color="auto" w:sz="0" w:space="0"/>
        </w:rPr>
        <w:t>2020年，老城街道办事处政府信息公开工作虽然取得了新的进展，但与群众的需求还存有差距，公开形式与便民性还需要提高。一是主动公开的政务信息与公众的需求还存在一些距离，公开内容需要进一步深化，民生信息还不够完善、不够丰富；二是有关决策、规划、计划、方案的公开、听取公众意见方面需要进一步加强；三是对政务信息公开工作的学习和宣传还不够，宣传和引导工作需要进一步加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2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6"/>
          <w:rFonts w:hint="eastAsia" w:ascii="楷体" w:hAnsi="楷体" w:eastAsia="楷体" w:cs="楷体"/>
          <w:b/>
          <w:bCs w:val="0"/>
          <w:sz w:val="32"/>
          <w:szCs w:val="32"/>
        </w:rPr>
        <w:t>（二）整改措施。</w:t>
      </w:r>
      <w:r>
        <w:rPr>
          <w:rFonts w:hint="eastAsia" w:ascii="仿宋" w:hAnsi="仿宋" w:eastAsia="仿宋" w:cs="仿宋"/>
          <w:b w:val="0"/>
          <w:bCs/>
          <w:sz w:val="32"/>
          <w:szCs w:val="32"/>
          <w:bdr w:val="none" w:color="auto" w:sz="0" w:space="0"/>
        </w:rPr>
        <w:t>一是切实规范信息公开工作的处理程序。二是进一步丰富公开内容，完善公开目录和指南。三是进一步加强信息公开机制建设，把政府信息公开工作当作全办提高效能建设的一项基本工作抓实、抓好，抓出成效。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2" w:firstLineChars="0"/>
        <w:jc w:val="left"/>
        <w:textAlignment w:val="auto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 w:bidi="ar"/>
        </w:rPr>
        <w:t>七、其他需要报告的事项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2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bdr w:val="none" w:color="auto" w:sz="0" w:space="0"/>
        </w:rPr>
        <w:t> 2021年，我办将进一步强化领导，加大投入，扩大政府信息公开工作的覆盖面，健全和完善政务公开制度，规范公开内容，提高公开质量，力促电子政务和信息公开工作水平迈上新的台阶，为推进我区各项事业实现跨越发展作出新的贡献。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信阳市浉河区人民政府老城街道办事处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2021年1月18日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B077F"/>
    <w:rsid w:val="3199787E"/>
    <w:rsid w:val="3FD900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xycl</dc:creator>
  <cp:lastModifiedBy>a</cp:lastModifiedBy>
  <dcterms:modified xsi:type="dcterms:W3CDTF">2021-01-19T03:21:44Z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