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信阳市浉河区财政局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lang w:val="en-US" w:eastAsia="zh-CN"/>
        </w:rPr>
        <w:t>9</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信阳市浉河区财政局</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信阳市浉河区财政局</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信阳市浉河区财政局</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财政局概况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142" w:firstLine="643" w:firstLineChars="200"/>
        <w:textAlignment w:val="auto"/>
        <w:rPr>
          <w:rFonts w:ascii="仿宋" w:hAnsi="仿宋" w:eastAsia="仿宋"/>
          <w:b/>
          <w:bCs/>
          <w:sz w:val="32"/>
          <w:szCs w:val="32"/>
        </w:rPr>
      </w:pPr>
      <w:r>
        <w:rPr>
          <w:rFonts w:hint="eastAsia" w:ascii="仿宋" w:hAnsi="仿宋" w:eastAsia="仿宋"/>
          <w:b/>
          <w:bCs/>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b/>
          <w:bCs/>
          <w:sz w:val="32"/>
          <w:szCs w:val="32"/>
        </w:rPr>
      </w:pPr>
      <w:r>
        <w:rPr>
          <w:rFonts w:hint="eastAsia" w:ascii="仿宋" w:hAnsi="仿宋" w:eastAsia="仿宋"/>
          <w:sz w:val="32"/>
          <w:szCs w:val="32"/>
        </w:rPr>
        <w:t>（一）部门机构设置、职能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信阳市浉河区财政局</w:t>
      </w:r>
      <w:r>
        <w:rPr>
          <w:rFonts w:hint="eastAsia" w:ascii="仿宋" w:hAnsi="仿宋" w:eastAsia="仿宋"/>
          <w:sz w:val="32"/>
          <w:szCs w:val="32"/>
        </w:rPr>
        <w:t>主要职责是：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 1)</w:instrText>
      </w:r>
      <w:r>
        <w:rPr>
          <w:rFonts w:hint="eastAsia" w:ascii="仿宋" w:hAnsi="仿宋" w:eastAsia="仿宋" w:cs="仿宋"/>
          <w:sz w:val="32"/>
          <w:szCs w:val="32"/>
        </w:rPr>
        <w:fldChar w:fldCharType="end"/>
      </w:r>
      <w:r>
        <w:rPr>
          <w:rFonts w:hint="eastAsia" w:ascii="仿宋" w:hAnsi="仿宋" w:eastAsia="仿宋" w:cs="仿宋"/>
          <w:sz w:val="32"/>
          <w:szCs w:val="32"/>
        </w:rPr>
        <w:t>拟定和执行全区财政税收的发展战略、中长期规划、改革方案；提出运用财税政策实施宏观调控和综合平衡社会财力的建议；拟定和执行区与乡镇、国家与企业的分配政策。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,2)</w:instrText>
      </w:r>
      <w:r>
        <w:rPr>
          <w:rFonts w:hint="eastAsia" w:ascii="仿宋" w:hAnsi="仿宋" w:eastAsia="仿宋" w:cs="仿宋"/>
          <w:sz w:val="32"/>
          <w:szCs w:val="32"/>
        </w:rPr>
        <w:fldChar w:fldCharType="end"/>
      </w:r>
      <w:r>
        <w:rPr>
          <w:rFonts w:hint="eastAsia" w:ascii="仿宋" w:hAnsi="仿宋" w:eastAsia="仿宋" w:cs="仿宋"/>
          <w:sz w:val="32"/>
          <w:szCs w:val="32"/>
        </w:rPr>
        <w:t>编制年度区级预决算草案并组织实施；受区政府委托向区人民代表大会报告全区预算及其执行情况，向区人大常委会报告决算；管理区级各项财政收入、</w:t>
      </w:r>
      <w:r>
        <w:rPr>
          <w:rFonts w:hint="eastAsia" w:ascii="仿宋" w:hAnsi="仿宋" w:eastAsia="仿宋" w:cs="仿宋"/>
          <w:sz w:val="32"/>
          <w:szCs w:val="32"/>
          <w:lang w:eastAsia="zh-CN"/>
        </w:rPr>
        <w:t>非税收入</w:t>
      </w:r>
      <w:r>
        <w:rPr>
          <w:rFonts w:hint="eastAsia" w:ascii="仿宋" w:hAnsi="仿宋" w:eastAsia="仿宋" w:cs="仿宋"/>
          <w:sz w:val="32"/>
          <w:szCs w:val="32"/>
        </w:rPr>
        <w:t>和财政专户；管理区级政府性基金；会同有关部门办理行政事业性收费、政府性基金申报工作。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,3)</w:instrText>
      </w:r>
      <w:r>
        <w:rPr>
          <w:rFonts w:hint="eastAsia" w:ascii="仿宋" w:hAnsi="仿宋" w:eastAsia="仿宋" w:cs="仿宋"/>
          <w:sz w:val="32"/>
          <w:szCs w:val="32"/>
        </w:rPr>
        <w:fldChar w:fldCharType="end"/>
      </w:r>
      <w:r>
        <w:rPr>
          <w:rFonts w:hint="eastAsia" w:ascii="仿宋" w:hAnsi="仿宋" w:eastAsia="仿宋" w:cs="仿宋"/>
          <w:sz w:val="32"/>
          <w:szCs w:val="32"/>
        </w:rPr>
        <w:t>管理区级财政公共支出；制定需要全区统一规定的开支标准和管理办法；贯彻执行政府采购政策；监督执行《行政单位财务规则》、《事业单位财务规则》。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,4)</w:instrText>
      </w:r>
      <w:r>
        <w:rPr>
          <w:rFonts w:hint="eastAsia" w:ascii="仿宋" w:hAnsi="仿宋" w:eastAsia="仿宋" w:cs="仿宋"/>
          <w:sz w:val="32"/>
          <w:szCs w:val="32"/>
        </w:rPr>
        <w:fldChar w:fldCharType="end"/>
      </w:r>
      <w:r>
        <w:rPr>
          <w:rFonts w:hint="eastAsia" w:ascii="仿宋" w:hAnsi="仿宋" w:eastAsia="仿宋" w:cs="仿宋"/>
          <w:sz w:val="32"/>
          <w:szCs w:val="32"/>
        </w:rPr>
        <w:t>根据区级预算安排，协同税务部门确定财政税收收入计划；在国家规定的权限内，提出地方性税率调整和对全区财政影响较大的临时特案减免税的建议。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,5)</w:instrText>
      </w:r>
      <w:r>
        <w:rPr>
          <w:rFonts w:hint="eastAsia" w:ascii="仿宋" w:hAnsi="仿宋" w:eastAsia="仿宋" w:cs="仿宋"/>
          <w:sz w:val="32"/>
          <w:szCs w:val="32"/>
        </w:rPr>
        <w:fldChar w:fldCharType="end"/>
      </w:r>
      <w:r>
        <w:rPr>
          <w:rFonts w:hint="eastAsia" w:ascii="仿宋" w:hAnsi="仿宋" w:eastAsia="仿宋" w:cs="仿宋"/>
          <w:sz w:val="32"/>
          <w:szCs w:val="32"/>
        </w:rPr>
        <w:t>负责全区企业财务制度的监督和管理，监督执行《企业财务通则》；负责组织实施企业的清产核资、产权界定和登记，负责国有企业资产的管理，指导资产评估业务；管理监督公物拍卖和国有资产产权交易市场；负责区属企业国有资产收益的收缴和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,6)</w:instrText>
      </w:r>
      <w:r>
        <w:rPr>
          <w:rFonts w:hint="eastAsia" w:ascii="仿宋" w:hAnsi="仿宋" w:eastAsia="仿宋" w:cs="仿宋"/>
          <w:sz w:val="32"/>
          <w:szCs w:val="32"/>
        </w:rPr>
        <w:fldChar w:fldCharType="end"/>
      </w:r>
      <w:r>
        <w:rPr>
          <w:rFonts w:hint="eastAsia" w:ascii="仿宋" w:hAnsi="仿宋" w:eastAsia="仿宋" w:cs="仿宋"/>
          <w:sz w:val="32"/>
          <w:szCs w:val="32"/>
        </w:rPr>
        <w:t>指导全区乡镇财税所建设工作。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,7)</w:instrText>
      </w:r>
      <w:r>
        <w:rPr>
          <w:rFonts w:hint="eastAsia" w:ascii="仿宋" w:hAnsi="仿宋" w:eastAsia="仿宋" w:cs="仿宋"/>
          <w:sz w:val="32"/>
          <w:szCs w:val="32"/>
        </w:rPr>
        <w:fldChar w:fldCharType="end"/>
      </w:r>
      <w:r>
        <w:rPr>
          <w:rFonts w:hint="eastAsia" w:ascii="仿宋" w:hAnsi="仿宋" w:eastAsia="仿宋" w:cs="仿宋"/>
          <w:sz w:val="32"/>
          <w:szCs w:val="32"/>
        </w:rPr>
        <w:t>拟定全区基本建设财务制度，管理区级财政基本建设支出；指导政府投资的基建投标工作；负责小城镇建设资金与财务管理。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,8)</w:instrText>
      </w:r>
      <w:r>
        <w:rPr>
          <w:rFonts w:hint="eastAsia" w:ascii="仿宋" w:hAnsi="仿宋" w:eastAsia="仿宋" w:cs="仿宋"/>
          <w:sz w:val="32"/>
          <w:szCs w:val="32"/>
        </w:rPr>
        <w:fldChar w:fldCharType="end"/>
      </w:r>
      <w:r>
        <w:rPr>
          <w:rFonts w:hint="eastAsia" w:ascii="仿宋" w:hAnsi="仿宋" w:eastAsia="仿宋" w:cs="仿宋"/>
          <w:sz w:val="32"/>
          <w:szCs w:val="32"/>
        </w:rPr>
        <w:t>贯彻和执行国家社会保障资金的财务管理制度，管理区级财政社会保障支出；组织实施对社会保障资金使用的财政监督。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,9)</w:instrText>
      </w:r>
      <w:r>
        <w:rPr>
          <w:rFonts w:hint="eastAsia" w:ascii="仿宋" w:hAnsi="仿宋" w:eastAsia="仿宋" w:cs="仿宋"/>
          <w:sz w:val="32"/>
          <w:szCs w:val="32"/>
        </w:rPr>
        <w:fldChar w:fldCharType="end"/>
      </w:r>
      <w:r>
        <w:rPr>
          <w:rFonts w:hint="eastAsia" w:ascii="仿宋" w:hAnsi="仿宋" w:eastAsia="仿宋" w:cs="仿宋"/>
          <w:sz w:val="32"/>
          <w:szCs w:val="32"/>
        </w:rPr>
        <w:t>贯彻执行国家国内、国外债务管理的方针政策和国债发行计划，组织参加政府债务的谈判与磋商，管理政府债务。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,10)</w:instrText>
      </w:r>
      <w:r>
        <w:rPr>
          <w:rFonts w:hint="eastAsia" w:ascii="仿宋" w:hAnsi="仿宋" w:eastAsia="仿宋" w:cs="仿宋"/>
          <w:sz w:val="32"/>
          <w:szCs w:val="32"/>
        </w:rPr>
        <w:fldChar w:fldCharType="end"/>
      </w:r>
      <w:r>
        <w:rPr>
          <w:rFonts w:hint="eastAsia" w:ascii="仿宋" w:hAnsi="仿宋" w:eastAsia="仿宋" w:cs="仿宋"/>
          <w:sz w:val="32"/>
          <w:szCs w:val="32"/>
        </w:rPr>
        <w:t>参与全区住房制度和土地使用制度改革，拟定并监督执行住房资金、国有土地出让金收益财务管理、会计核算办法，指导和监督有关部门管理住房资金。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,11)</w:instrText>
      </w:r>
      <w:r>
        <w:rPr>
          <w:rFonts w:hint="eastAsia" w:ascii="仿宋" w:hAnsi="仿宋" w:eastAsia="仿宋" w:cs="仿宋"/>
          <w:sz w:val="32"/>
          <w:szCs w:val="32"/>
        </w:rPr>
        <w:fldChar w:fldCharType="end"/>
      </w:r>
      <w:r>
        <w:rPr>
          <w:rFonts w:hint="eastAsia" w:ascii="仿宋" w:hAnsi="仿宋" w:eastAsia="仿宋" w:cs="仿宋"/>
          <w:sz w:val="32"/>
          <w:szCs w:val="32"/>
        </w:rPr>
        <w:t>管理全区会计工作，监督执行会计规章制度、《企业会计准则》，监督执行政府总预算、行政和事业单位及分行业的会计制度；指导和监督注册会计师和会计师事务所的业务；指导和管理社会审计；指导和管理会计委派试点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,12)</w:instrText>
      </w:r>
      <w:r>
        <w:rPr>
          <w:rFonts w:hint="eastAsia" w:ascii="仿宋" w:hAnsi="仿宋" w:eastAsia="仿宋" w:cs="仿宋"/>
          <w:sz w:val="32"/>
          <w:szCs w:val="32"/>
        </w:rPr>
        <w:fldChar w:fldCharType="end"/>
      </w:r>
      <w:r>
        <w:rPr>
          <w:rFonts w:hint="eastAsia" w:ascii="仿宋" w:hAnsi="仿宋" w:eastAsia="仿宋" w:cs="仿宋"/>
          <w:sz w:val="32"/>
          <w:szCs w:val="32"/>
        </w:rPr>
        <w:t>监督财税方针政策、法律法规、行政规章的执行情况；检查反映财政收支管理中的重大问题；提出加强财政管理的政策建议；负责对经中介机构审计的国有企业年度会计报表的核查工作。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,13)</w:instrText>
      </w:r>
      <w:r>
        <w:rPr>
          <w:rFonts w:hint="eastAsia" w:ascii="仿宋" w:hAnsi="仿宋" w:eastAsia="仿宋" w:cs="仿宋"/>
          <w:sz w:val="32"/>
          <w:szCs w:val="32"/>
        </w:rPr>
        <w:fldChar w:fldCharType="end"/>
      </w:r>
      <w:r>
        <w:rPr>
          <w:rFonts w:hint="eastAsia" w:ascii="仿宋" w:hAnsi="仿宋" w:eastAsia="仿宋" w:cs="仿宋"/>
          <w:sz w:val="32"/>
          <w:szCs w:val="32"/>
        </w:rPr>
        <w:t>制定全区财政科学研究和教育规划，组织财政人才培训，负责财政信息和财政宣传工作。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150"/>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（二）人员编制基本情况：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信阳市浉河区财政局</w:t>
      </w:r>
      <w:r>
        <w:rPr>
          <w:rFonts w:hint="eastAsia" w:ascii="仿宋" w:hAnsi="仿宋" w:eastAsia="仿宋"/>
          <w:color w:val="auto"/>
          <w:sz w:val="32"/>
          <w:szCs w:val="32"/>
        </w:rPr>
        <w:t>单共有编制</w:t>
      </w:r>
      <w:r>
        <w:rPr>
          <w:rFonts w:hint="eastAsia" w:ascii="仿宋" w:hAnsi="仿宋" w:eastAsia="仿宋"/>
          <w:color w:val="auto"/>
          <w:sz w:val="32"/>
          <w:szCs w:val="32"/>
          <w:lang w:val="en-US" w:eastAsia="zh-CN"/>
        </w:rPr>
        <w:t>229</w:t>
      </w:r>
      <w:r>
        <w:rPr>
          <w:rFonts w:hint="eastAsia" w:ascii="仿宋" w:hAnsi="仿宋" w:eastAsia="仿宋"/>
          <w:color w:val="auto"/>
          <w:sz w:val="32"/>
          <w:szCs w:val="32"/>
        </w:rPr>
        <w:t>人，其中：行政编制</w:t>
      </w:r>
      <w:r>
        <w:rPr>
          <w:rFonts w:hint="eastAsia" w:ascii="仿宋" w:hAnsi="仿宋" w:eastAsia="仿宋"/>
          <w:color w:val="auto"/>
          <w:sz w:val="32"/>
          <w:szCs w:val="32"/>
          <w:lang w:val="en-US" w:eastAsia="zh-CN"/>
        </w:rPr>
        <w:t>69</w:t>
      </w:r>
      <w:r>
        <w:rPr>
          <w:rFonts w:hint="eastAsia" w:ascii="仿宋" w:hAnsi="仿宋" w:eastAsia="仿宋"/>
          <w:color w:val="auto"/>
          <w:sz w:val="32"/>
          <w:szCs w:val="32"/>
        </w:rPr>
        <w:t>人，事业编制</w:t>
      </w:r>
      <w:r>
        <w:rPr>
          <w:rFonts w:hint="eastAsia" w:ascii="仿宋" w:hAnsi="仿宋" w:eastAsia="仿宋"/>
          <w:color w:val="auto"/>
          <w:sz w:val="32"/>
          <w:szCs w:val="32"/>
          <w:lang w:val="en-US" w:eastAsia="zh-CN"/>
        </w:rPr>
        <w:t>160</w:t>
      </w:r>
      <w:r>
        <w:rPr>
          <w:rFonts w:hint="eastAsia" w:ascii="仿宋" w:hAnsi="仿宋" w:eastAsia="仿宋"/>
          <w:color w:val="auto"/>
          <w:sz w:val="32"/>
          <w:szCs w:val="32"/>
        </w:rPr>
        <w:t>人。实有人数</w:t>
      </w:r>
      <w:r>
        <w:rPr>
          <w:rFonts w:hint="eastAsia" w:ascii="仿宋" w:hAnsi="仿宋" w:eastAsia="仿宋"/>
          <w:color w:val="auto"/>
          <w:sz w:val="32"/>
          <w:szCs w:val="32"/>
          <w:lang w:val="en-US" w:eastAsia="zh-CN"/>
        </w:rPr>
        <w:t>327</w:t>
      </w:r>
      <w:r>
        <w:rPr>
          <w:rFonts w:hint="eastAsia" w:ascii="仿宋" w:hAnsi="仿宋" w:eastAsia="仿宋"/>
          <w:color w:val="auto"/>
          <w:sz w:val="32"/>
          <w:szCs w:val="32"/>
        </w:rPr>
        <w:t>人，其中在职职工</w:t>
      </w:r>
      <w:r>
        <w:rPr>
          <w:rFonts w:hint="eastAsia" w:ascii="仿宋" w:hAnsi="仿宋" w:eastAsia="仿宋"/>
          <w:color w:val="auto"/>
          <w:sz w:val="32"/>
          <w:szCs w:val="32"/>
          <w:lang w:val="en-US" w:eastAsia="zh-CN"/>
        </w:rPr>
        <w:t>229</w:t>
      </w:r>
      <w:r>
        <w:rPr>
          <w:rFonts w:hint="eastAsia" w:ascii="仿宋" w:hAnsi="仿宋" w:eastAsia="仿宋"/>
          <w:color w:val="auto"/>
          <w:sz w:val="32"/>
          <w:szCs w:val="32"/>
        </w:rPr>
        <w:t>人，退休人员</w:t>
      </w:r>
      <w:r>
        <w:rPr>
          <w:rFonts w:hint="eastAsia" w:ascii="仿宋" w:hAnsi="仿宋" w:eastAsia="仿宋"/>
          <w:color w:val="auto"/>
          <w:sz w:val="32"/>
          <w:szCs w:val="32"/>
          <w:lang w:val="en-US" w:eastAsia="zh-CN"/>
        </w:rPr>
        <w:t>98</w:t>
      </w:r>
      <w:r>
        <w:rPr>
          <w:rFonts w:hint="eastAsia" w:ascii="仿宋" w:hAnsi="仿宋" w:eastAsia="仿宋"/>
          <w:color w:val="auto"/>
          <w:sz w:val="32"/>
          <w:szCs w:val="32"/>
        </w:rPr>
        <w:t>人。</w:t>
      </w:r>
    </w:p>
    <w:p>
      <w:pPr>
        <w:pStyle w:val="13"/>
        <w:ind w:firstLine="0" w:firstLineChars="0"/>
        <w:rPr>
          <w:rFonts w:ascii="仿宋" w:hAnsi="仿宋" w:eastAsia="仿宋"/>
          <w:b/>
          <w:sz w:val="32"/>
          <w:szCs w:val="32"/>
        </w:rPr>
      </w:pPr>
    </w:p>
    <w:p>
      <w:pPr>
        <w:spacing w:line="360" w:lineRule="auto"/>
        <w:ind w:left="640"/>
        <w:jc w:val="left"/>
        <w:outlineLvl w:val="1"/>
        <w:rPr>
          <w:rFonts w:ascii="仿宋" w:hAnsi="仿宋" w:eastAsia="仿宋" w:cs="黑体"/>
          <w:b/>
          <w:bCs/>
          <w:sz w:val="32"/>
          <w:szCs w:val="32"/>
        </w:rPr>
      </w:pPr>
      <w:r>
        <w:rPr>
          <w:rFonts w:hint="eastAsia" w:ascii="仿宋" w:hAnsi="仿宋" w:eastAsia="仿宋" w:cs="黑体"/>
          <w:b/>
          <w:bCs/>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纳入财政局</w:t>
      </w:r>
      <w:r>
        <w:rPr>
          <w:rFonts w:ascii="仿宋" w:hAnsi="仿宋" w:eastAsia="仿宋" w:cs="??_GB2312"/>
          <w:sz w:val="32"/>
          <w:szCs w:val="32"/>
        </w:rPr>
        <w:t>201</w:t>
      </w:r>
      <w:r>
        <w:rPr>
          <w:rFonts w:hint="eastAsia" w:ascii="仿宋" w:hAnsi="仿宋" w:eastAsia="仿宋" w:cs="??_GB2312"/>
          <w:sz w:val="32"/>
          <w:szCs w:val="32"/>
          <w:lang w:val="en-US" w:eastAsia="zh-CN"/>
        </w:rPr>
        <w:t>9</w:t>
      </w:r>
      <w:r>
        <w:rPr>
          <w:rFonts w:hint="eastAsia" w:ascii="仿宋" w:hAnsi="仿宋" w:eastAsia="仿宋" w:cs="宋体"/>
          <w:sz w:val="32"/>
          <w:szCs w:val="32"/>
        </w:rPr>
        <w:t>年度部门预算编制范围的单位包括：</w:t>
      </w:r>
    </w:p>
    <w:p>
      <w:pPr>
        <w:numPr>
          <w:ilvl w:val="0"/>
          <w:numId w:val="2"/>
        </w:numPr>
        <w:spacing w:line="360" w:lineRule="auto"/>
        <w:ind w:firstLine="640" w:firstLineChars="200"/>
        <w:jc w:val="left"/>
        <w:rPr>
          <w:rFonts w:hint="eastAsia" w:ascii="仿宋" w:hAnsi="仿宋" w:eastAsia="仿宋" w:cs="??_GB2312"/>
          <w:sz w:val="32"/>
          <w:szCs w:val="32"/>
        </w:rPr>
      </w:pPr>
      <w:r>
        <w:rPr>
          <w:rFonts w:hint="eastAsia" w:ascii="仿宋" w:hAnsi="仿宋" w:eastAsia="仿宋" w:cs="宋体"/>
          <w:sz w:val="32"/>
          <w:szCs w:val="32"/>
          <w:lang w:eastAsia="zh-CN"/>
        </w:rPr>
        <w:t>信阳市浉河区财政局</w:t>
      </w:r>
      <w:r>
        <w:rPr>
          <w:rFonts w:hint="eastAsia" w:ascii="仿宋" w:hAnsi="仿宋" w:eastAsia="仿宋" w:cs="宋体"/>
          <w:sz w:val="32"/>
          <w:szCs w:val="32"/>
        </w:rPr>
        <w:t>机关</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w:t>
      </w:r>
      <w:r>
        <w:rPr>
          <w:rFonts w:hint="eastAsia" w:ascii="仿宋" w:hAnsi="仿宋" w:eastAsia="仿宋" w:cs="宋体"/>
          <w:sz w:val="32"/>
          <w:szCs w:val="32"/>
          <w:lang w:eastAsia="zh-CN"/>
        </w:rPr>
        <w:t>信阳市浉河区财政局</w:t>
      </w:r>
      <w:r>
        <w:rPr>
          <w:rFonts w:hint="eastAsia" w:ascii="仿宋" w:hAnsi="仿宋" w:eastAsia="仿宋" w:cs="宋体"/>
          <w:sz w:val="32"/>
          <w:szCs w:val="32"/>
        </w:rPr>
        <w:t>机关内设办公室、人事科、机关党委、机关财务管理科、监察室、预算科、国库科、教科文科、农业科、社保科、会计科、综合科、财政监督检查科、政府采购监督管理科、企业科、金贸科、农村综合改革办公室、行政政法科、经济建设科、信息中心、政府采购中心、政府与社会资本合作中心。</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both"/>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信阳市浉河区财政局</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240"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信阳市浉河区财政局</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2719.07</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rPr>
            </w:pPr>
            <w:r>
              <w:rPr>
                <w:rFonts w:hint="eastAsia" w:ascii="仿宋" w:hAnsi="仿宋" w:eastAsia="仿宋" w:cs="宋体"/>
                <w:color w:val="000000"/>
                <w:sz w:val="16"/>
                <w:szCs w:val="16"/>
                <w:lang w:val="en-US" w:eastAsia="zh-CN"/>
              </w:rPr>
              <w:t>2107.17</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287.7</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130.8</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193.4</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color w:val="000000"/>
                <w:sz w:val="16"/>
                <w:szCs w:val="16"/>
                <w:lang w:val="en-US" w:eastAsia="zh-CN"/>
              </w:rPr>
              <w:t>2719.07</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2719.07</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2719.07</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2719.07</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xml:space="preserve">注：本表反映部门本年度的总收支和年末结转结余情况。    </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8505" w:type="dxa"/>
        <w:tblInd w:w="-362" w:type="dxa"/>
        <w:shd w:val="clear" w:color="auto" w:fill="auto"/>
        <w:tblLayout w:type="fixed"/>
        <w:tblCellMar>
          <w:top w:w="0" w:type="dxa"/>
          <w:left w:w="0" w:type="dxa"/>
          <w:bottom w:w="0" w:type="dxa"/>
          <w:right w:w="0" w:type="dxa"/>
        </w:tblCellMar>
      </w:tblPr>
      <w:tblGrid>
        <w:gridCol w:w="510"/>
        <w:gridCol w:w="405"/>
        <w:gridCol w:w="390"/>
        <w:gridCol w:w="2085"/>
        <w:gridCol w:w="960"/>
        <w:gridCol w:w="525"/>
        <w:gridCol w:w="900"/>
        <w:gridCol w:w="645"/>
        <w:gridCol w:w="720"/>
        <w:gridCol w:w="735"/>
        <w:gridCol w:w="630"/>
      </w:tblGrid>
      <w:tr>
        <w:tblPrEx>
          <w:tblCellMar>
            <w:top w:w="0" w:type="dxa"/>
            <w:left w:w="0" w:type="dxa"/>
            <w:bottom w:w="0" w:type="dxa"/>
            <w:right w:w="0" w:type="dxa"/>
          </w:tblCellMar>
        </w:tblPrEx>
        <w:trPr>
          <w:trHeight w:val="380" w:hRule="atLeast"/>
        </w:trPr>
        <w:tc>
          <w:tcPr>
            <w:tcW w:w="8505"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收入预算表</w:t>
            </w:r>
          </w:p>
        </w:tc>
      </w:tr>
      <w:tr>
        <w:tblPrEx>
          <w:shd w:val="clear" w:color="auto" w:fill="auto"/>
          <w:tblCellMar>
            <w:top w:w="0" w:type="dxa"/>
            <w:left w:w="0" w:type="dxa"/>
            <w:bottom w:w="0" w:type="dxa"/>
            <w:right w:w="0" w:type="dxa"/>
          </w:tblCellMar>
        </w:tblPrEx>
        <w:trPr>
          <w:trHeight w:val="260" w:hRule="atLeast"/>
        </w:trPr>
        <w:tc>
          <w:tcPr>
            <w:tcW w:w="8505"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公开</w:t>
            </w:r>
            <w:r>
              <w:rPr>
                <w:rFonts w:hint="eastAsia" w:ascii="宋体" w:hAnsi="宋体" w:eastAsia="宋体" w:cs="宋体"/>
                <w:i w:val="0"/>
                <w:color w:val="000000"/>
                <w:kern w:val="0"/>
                <w:sz w:val="20"/>
                <w:szCs w:val="20"/>
                <w:u w:val="none"/>
                <w:lang w:val="en-US" w:eastAsia="zh-CN" w:bidi="ar"/>
              </w:rPr>
              <w:t>02表</w:t>
            </w:r>
          </w:p>
        </w:tc>
      </w:tr>
      <w:tr>
        <w:tblPrEx>
          <w:tblCellMar>
            <w:top w:w="0" w:type="dxa"/>
            <w:left w:w="0" w:type="dxa"/>
            <w:bottom w:w="0" w:type="dxa"/>
            <w:right w:w="0" w:type="dxa"/>
          </w:tblCellMar>
        </w:tblPrEx>
        <w:trPr>
          <w:trHeight w:val="414" w:hRule="atLeast"/>
        </w:trPr>
        <w:tc>
          <w:tcPr>
            <w:tcW w:w="3390" w:type="dxa"/>
            <w:gridSpan w:val="4"/>
            <w:tcBorders>
              <w:top w:val="nil"/>
              <w:left w:val="nil"/>
              <w:bottom w:val="single" w:color="000000" w:sz="4" w:space="0"/>
              <w:right w:val="nil"/>
            </w:tcBorders>
            <w:shd w:val="clear" w:color="auto" w:fill="FFFFFF"/>
            <w:noWrap/>
            <w:tcMar>
              <w:top w:w="15" w:type="dxa"/>
              <w:left w:w="15" w:type="dxa"/>
              <w:right w:w="15" w:type="dxa"/>
            </w:tcMar>
            <w:vAlign w:val="bottom"/>
          </w:tcPr>
          <w:p>
            <w:pPr>
              <w:jc w:val="left"/>
              <w:rPr>
                <w:rFonts w:hint="eastAsia" w:ascii="宋体" w:hAnsi="宋体" w:eastAsia="仿宋" w:cs="宋体"/>
                <w:i w:val="0"/>
                <w:color w:val="000000"/>
                <w:sz w:val="20"/>
                <w:szCs w:val="20"/>
                <w:u w:val="none"/>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信阳市浉河区财政局</w:t>
            </w:r>
          </w:p>
        </w:tc>
        <w:tc>
          <w:tcPr>
            <w:tcW w:w="96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0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2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30" w:type="dxa"/>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5115"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款</w:t>
            </w:r>
          </w:p>
        </w:tc>
        <w:tc>
          <w:tcPr>
            <w:tcW w:w="3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w:t>
            </w:r>
          </w:p>
        </w:tc>
        <w:tc>
          <w:tcPr>
            <w:tcW w:w="9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64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w:t>
            </w:r>
          </w:p>
        </w:tc>
        <w:tc>
          <w:tcPr>
            <w:tcW w:w="72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专户管理教育收费</w:t>
            </w:r>
          </w:p>
        </w:tc>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事业经营收入</w:t>
            </w:r>
          </w:p>
        </w:tc>
        <w:tc>
          <w:tcPr>
            <w:tcW w:w="6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5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8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2,719.07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2,719.07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530.69</w:t>
            </w:r>
            <w:r>
              <w:rPr>
                <w:rFonts w:hint="eastAsia" w:ascii="宋体" w:hAnsi="宋体" w:eastAsia="宋体" w:cs="宋体"/>
                <w:i w:val="0"/>
                <w:color w:val="000000"/>
                <w:kern w:val="0"/>
                <w:sz w:val="20"/>
                <w:szCs w:val="20"/>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1238.27</w:t>
            </w:r>
            <w:r>
              <w:rPr>
                <w:rFonts w:hint="eastAsia" w:ascii="宋体" w:hAnsi="宋体" w:eastAsia="宋体" w:cs="宋体"/>
                <w:i w:val="0"/>
                <w:color w:val="000000"/>
                <w:kern w:val="0"/>
                <w:sz w:val="20"/>
                <w:szCs w:val="20"/>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287.7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83.7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40.5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90.3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193.4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乡财区管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公务卡运行及维护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15.0</w:t>
            </w:r>
            <w:r>
              <w:rPr>
                <w:rFonts w:hint="eastAsia" w:ascii="宋体" w:hAnsi="宋体" w:eastAsia="宋体" w:cs="宋体"/>
                <w:i w:val="0"/>
                <w:color w:val="000000"/>
                <w:kern w:val="0"/>
                <w:sz w:val="20"/>
                <w:szCs w:val="20"/>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迎检工作经费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15.0</w:t>
            </w:r>
            <w:r>
              <w:rPr>
                <w:rFonts w:hint="eastAsia" w:ascii="宋体" w:hAnsi="宋体" w:eastAsia="宋体" w:cs="宋体"/>
                <w:i w:val="0"/>
                <w:color w:val="000000"/>
                <w:kern w:val="0"/>
                <w:sz w:val="20"/>
                <w:szCs w:val="20"/>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财经法规培训</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15.0</w:t>
            </w:r>
            <w:r>
              <w:rPr>
                <w:rFonts w:hint="eastAsia" w:ascii="宋体" w:hAnsi="宋体" w:eastAsia="宋体" w:cs="宋体"/>
                <w:i w:val="0"/>
                <w:color w:val="000000"/>
                <w:kern w:val="0"/>
                <w:sz w:val="20"/>
                <w:szCs w:val="20"/>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涉农工作专项经费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15.0</w:t>
            </w:r>
            <w:r>
              <w:rPr>
                <w:rFonts w:hint="eastAsia" w:ascii="宋体" w:hAnsi="宋体" w:eastAsia="宋体" w:cs="宋体"/>
                <w:i w:val="0"/>
                <w:color w:val="000000"/>
                <w:kern w:val="0"/>
                <w:sz w:val="20"/>
                <w:szCs w:val="20"/>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振兴乡村战略工作经费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15.0</w:t>
            </w:r>
            <w:r>
              <w:rPr>
                <w:rFonts w:hint="eastAsia" w:ascii="宋体" w:hAnsi="宋体" w:eastAsia="宋体" w:cs="宋体"/>
                <w:i w:val="0"/>
                <w:color w:val="000000"/>
                <w:kern w:val="0"/>
                <w:sz w:val="20"/>
                <w:szCs w:val="20"/>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差旅费、引资经费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财政监督</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财会人员培训</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35.11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预决算和年报经费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金财工程网络维护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劳务派遣费用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bl>
    <w:p>
      <w:pPr>
        <w:spacing w:line="360" w:lineRule="auto"/>
        <w:jc w:val="both"/>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8323" w:type="dxa"/>
        <w:tblInd w:w="0" w:type="dxa"/>
        <w:shd w:val="clear" w:color="auto" w:fill="auto"/>
        <w:tblLayout w:type="fixed"/>
        <w:tblCellMar>
          <w:top w:w="0" w:type="dxa"/>
          <w:left w:w="0" w:type="dxa"/>
          <w:bottom w:w="0" w:type="dxa"/>
          <w:right w:w="0" w:type="dxa"/>
        </w:tblCellMar>
      </w:tblPr>
      <w:tblGrid>
        <w:gridCol w:w="834"/>
        <w:gridCol w:w="435"/>
        <w:gridCol w:w="405"/>
        <w:gridCol w:w="1564"/>
        <w:gridCol w:w="960"/>
        <w:gridCol w:w="900"/>
        <w:gridCol w:w="960"/>
        <w:gridCol w:w="720"/>
        <w:gridCol w:w="915"/>
        <w:gridCol w:w="630"/>
      </w:tblGrid>
      <w:tr>
        <w:tblPrEx>
          <w:tblCellMar>
            <w:top w:w="0" w:type="dxa"/>
            <w:left w:w="0" w:type="dxa"/>
            <w:bottom w:w="0" w:type="dxa"/>
            <w:right w:w="0" w:type="dxa"/>
          </w:tblCellMar>
        </w:tblPrEx>
        <w:trPr>
          <w:trHeight w:val="280" w:hRule="atLeast"/>
        </w:trPr>
        <w:tc>
          <w:tcPr>
            <w:tcW w:w="8323"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支出预算表</w:t>
            </w:r>
          </w:p>
        </w:tc>
      </w:tr>
      <w:tr>
        <w:tblPrEx>
          <w:shd w:val="clear" w:color="auto" w:fill="auto"/>
          <w:tblCellMar>
            <w:top w:w="0" w:type="dxa"/>
            <w:left w:w="0" w:type="dxa"/>
            <w:bottom w:w="0" w:type="dxa"/>
            <w:right w:w="0" w:type="dxa"/>
          </w:tblCellMar>
        </w:tblPrEx>
        <w:trPr>
          <w:trHeight w:val="240" w:hRule="atLeast"/>
        </w:trPr>
        <w:tc>
          <w:tcPr>
            <w:tcW w:w="8323"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公开03表</w:t>
            </w:r>
          </w:p>
        </w:tc>
      </w:tr>
      <w:tr>
        <w:tblPrEx>
          <w:shd w:val="clear" w:color="auto" w:fill="auto"/>
          <w:tblCellMar>
            <w:top w:w="0" w:type="dxa"/>
            <w:left w:w="0" w:type="dxa"/>
            <w:bottom w:w="0" w:type="dxa"/>
            <w:right w:w="0" w:type="dxa"/>
          </w:tblCellMar>
        </w:tblPrEx>
        <w:trPr>
          <w:trHeight w:val="285" w:hRule="atLeast"/>
        </w:trPr>
        <w:tc>
          <w:tcPr>
            <w:tcW w:w="3238" w:type="dxa"/>
            <w:gridSpan w:val="4"/>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仿宋" w:cs="宋体"/>
                <w:i w:val="0"/>
                <w:color w:val="000000"/>
                <w:sz w:val="18"/>
                <w:szCs w:val="18"/>
                <w:u w:val="none"/>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信阳市浉河区财政局</w:t>
            </w:r>
          </w:p>
        </w:tc>
        <w:tc>
          <w:tcPr>
            <w:tcW w:w="9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25"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285" w:hRule="atLeast"/>
        </w:trPr>
        <w:tc>
          <w:tcPr>
            <w:tcW w:w="8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90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shd w:val="clear" w:color="auto" w:fill="auto"/>
          <w:tblCellMar>
            <w:top w:w="0" w:type="dxa"/>
            <w:left w:w="0" w:type="dxa"/>
            <w:bottom w:w="0" w:type="dxa"/>
            <w:right w:w="0" w:type="dxa"/>
          </w:tblCellMar>
        </w:tblPrEx>
        <w:trPr>
          <w:trHeight w:val="7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款</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工资福利支出</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商品服务支出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对个人和家庭的补助</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83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64"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2719.07</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2719.07</w:t>
            </w:r>
            <w:r>
              <w:rPr>
                <w:rFonts w:hint="eastAsia" w:ascii="宋体" w:hAnsi="宋体" w:eastAsia="宋体" w:cs="宋体"/>
                <w:i w:val="0"/>
                <w:color w:val="000000"/>
                <w:kern w:val="0"/>
                <w:sz w:val="18"/>
                <w:szCs w:val="18"/>
                <w:u w:val="none"/>
                <w:lang w:val="en-US" w:eastAsia="zh-CN" w:bidi="ar"/>
              </w:rPr>
              <w:t xml:space="preserve"> </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2296.45</w:t>
            </w:r>
            <w:r>
              <w:rPr>
                <w:rFonts w:hint="eastAsia" w:ascii="宋体" w:hAnsi="宋体" w:eastAsia="宋体" w:cs="宋体"/>
                <w:i w:val="0"/>
                <w:color w:val="000000"/>
                <w:kern w:val="0"/>
                <w:sz w:val="18"/>
                <w:szCs w:val="18"/>
                <w:u w:val="none"/>
                <w:lang w:val="en-US" w:eastAsia="zh-CN" w:bidi="ar"/>
              </w:rPr>
              <w:t xml:space="preserve"> </w:t>
            </w: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338.92</w:t>
            </w:r>
            <w:r>
              <w:rPr>
                <w:rFonts w:hint="eastAsia" w:ascii="宋体" w:hAnsi="宋体" w:eastAsia="宋体" w:cs="宋体"/>
                <w:i w:val="0"/>
                <w:color w:val="000000"/>
                <w:kern w:val="0"/>
                <w:sz w:val="18"/>
                <w:szCs w:val="18"/>
                <w:u w:val="none"/>
                <w:lang w:val="en-US" w:eastAsia="zh-CN" w:bidi="ar"/>
              </w:rPr>
              <w:t xml:space="preserve"> </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83.7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530.69</w:t>
            </w:r>
            <w:r>
              <w:rPr>
                <w:rFonts w:hint="eastAsia" w:ascii="宋体" w:hAnsi="宋体" w:eastAsia="宋体" w:cs="宋体"/>
                <w:i w:val="0"/>
                <w:color w:val="000000"/>
                <w:kern w:val="0"/>
                <w:sz w:val="18"/>
                <w:szCs w:val="18"/>
                <w:u w:val="none"/>
                <w:lang w:val="en-US" w:eastAsia="zh-CN" w:bidi="ar"/>
              </w:rPr>
              <w:t xml:space="preserve"> </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530.69</w:t>
            </w:r>
            <w:r>
              <w:rPr>
                <w:rFonts w:hint="eastAsia" w:ascii="宋体" w:hAnsi="宋体" w:eastAsia="宋体" w:cs="宋体"/>
                <w:i w:val="0"/>
                <w:color w:val="000000"/>
                <w:kern w:val="0"/>
                <w:sz w:val="18"/>
                <w:szCs w:val="18"/>
                <w:u w:val="none"/>
                <w:lang w:val="en-US" w:eastAsia="zh-CN" w:bidi="ar"/>
              </w:rPr>
              <w:t xml:space="preserve"> </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505.37</w:t>
            </w:r>
            <w:r>
              <w:rPr>
                <w:rFonts w:hint="eastAsia" w:ascii="宋体" w:hAnsi="宋体" w:eastAsia="宋体" w:cs="宋体"/>
                <w:i w:val="0"/>
                <w:color w:val="000000"/>
                <w:kern w:val="0"/>
                <w:sz w:val="18"/>
                <w:szCs w:val="18"/>
                <w:u w:val="none"/>
                <w:lang w:val="en-US" w:eastAsia="zh-CN" w:bidi="ar"/>
              </w:rPr>
              <w:t xml:space="preserve"> </w:t>
            </w: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25.32 </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1238.27</w:t>
            </w:r>
            <w:r>
              <w:rPr>
                <w:rFonts w:hint="eastAsia" w:ascii="宋体" w:hAnsi="宋体" w:eastAsia="宋体" w:cs="宋体"/>
                <w:i w:val="0"/>
                <w:color w:val="000000"/>
                <w:kern w:val="0"/>
                <w:sz w:val="18"/>
                <w:szCs w:val="18"/>
                <w:u w:val="none"/>
                <w:lang w:val="en-US" w:eastAsia="zh-CN" w:bidi="ar"/>
              </w:rPr>
              <w:t>5</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1238.27</w:t>
            </w:r>
            <w:r>
              <w:rPr>
                <w:rFonts w:hint="eastAsia" w:ascii="宋体" w:hAnsi="宋体" w:eastAsia="宋体" w:cs="宋体"/>
                <w:i w:val="0"/>
                <w:color w:val="000000"/>
                <w:kern w:val="0"/>
                <w:sz w:val="18"/>
                <w:szCs w:val="18"/>
                <w:u w:val="none"/>
                <w:lang w:val="en-US" w:eastAsia="zh-CN" w:bidi="ar"/>
              </w:rPr>
              <w:t xml:space="preserve"> </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 1179.18</w:t>
            </w: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59.09 </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287.7</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287.7 </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287.7 </w:t>
            </w: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归口管理的行政单位离退休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83.7</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83.7 </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83.7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90.3 </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90.3 </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90.3 </w:t>
            </w: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193.4</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193.4 </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193.4 </w:t>
            </w: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乡财区管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17</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17</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shd w:val="clear" w:color="auto" w:fill="auto"/>
          <w:tblCellMar>
            <w:top w:w="0" w:type="dxa"/>
            <w:left w:w="0" w:type="dxa"/>
            <w:bottom w:w="0" w:type="dxa"/>
            <w:right w:w="0" w:type="dxa"/>
          </w:tblCellMar>
        </w:tblPrEx>
        <w:trPr>
          <w:trHeight w:val="5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公务卡运行及维护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15</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15</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迎检工作经费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15</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shd w:val="clear" w:color="auto" w:fill="auto"/>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15</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财经法规培训</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15</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涉农工作专项经费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15</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shd w:val="clear" w:color="auto" w:fill="auto"/>
          <w:tblCellMar>
            <w:top w:w="0" w:type="dxa"/>
            <w:left w:w="0" w:type="dxa"/>
            <w:bottom w:w="0" w:type="dxa"/>
            <w:right w:w="0" w:type="dxa"/>
          </w:tblCellMar>
        </w:tblPrEx>
        <w:trPr>
          <w:trHeight w:val="5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振兴乡村战略工作经费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15</w:t>
            </w:r>
          </w:p>
        </w:tc>
        <w:tc>
          <w:tcPr>
            <w:tcW w:w="9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15</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r>
      <w:tr>
        <w:tblPrEx>
          <w:shd w:val="clear" w:color="auto" w:fill="auto"/>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差旅费、引资经费</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20</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20</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财政监督</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20</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20</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财会人员培训</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35.11</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35.11</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35.11</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预决算和年报经费</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25</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25</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25</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金财工程网络维护</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30</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30</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0" w:hRule="atLeast"/>
        </w:trPr>
        <w:tc>
          <w:tcPr>
            <w:tcW w:w="8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劳务派遣费用</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17.4</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17.4</w:t>
            </w:r>
          </w:p>
        </w:tc>
        <w:tc>
          <w:tcPr>
            <w:tcW w:w="9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bl>
    <w:p>
      <w:pPr>
        <w:spacing w:line="360" w:lineRule="auto"/>
        <w:jc w:val="both"/>
        <w:rPr>
          <w:rFonts w:ascii="仿宋" w:hAnsi="仿宋" w:eastAsia="仿宋" w:cs="隶书"/>
          <w:sz w:val="52"/>
          <w:szCs w:val="52"/>
        </w:rPr>
      </w:pPr>
    </w:p>
    <w:p>
      <w:pPr>
        <w:spacing w:line="360" w:lineRule="auto"/>
        <w:jc w:val="both"/>
        <w:rPr>
          <w:rFonts w:ascii="仿宋" w:hAnsi="仿宋" w:eastAsia="仿宋" w:cs="隶书"/>
          <w:sz w:val="52"/>
          <w:szCs w:val="52"/>
        </w:rPr>
      </w:pPr>
    </w:p>
    <w:p>
      <w:pPr>
        <w:spacing w:line="360" w:lineRule="auto"/>
        <w:jc w:val="both"/>
        <w:rPr>
          <w:rFonts w:ascii="仿宋" w:hAnsi="仿宋" w:eastAsia="仿宋" w:cs="隶书"/>
          <w:sz w:val="52"/>
          <w:szCs w:val="52"/>
        </w:rPr>
      </w:pPr>
    </w:p>
    <w:tbl>
      <w:tblPr>
        <w:tblStyle w:val="5"/>
        <w:tblW w:w="10655" w:type="dxa"/>
        <w:tblInd w:w="-1066" w:type="dxa"/>
        <w:tblLayout w:type="fixed"/>
        <w:tblCellMar>
          <w:top w:w="15" w:type="dxa"/>
          <w:left w:w="15" w:type="dxa"/>
          <w:bottom w:w="15" w:type="dxa"/>
          <w:right w:w="15" w:type="dxa"/>
        </w:tblCellMar>
      </w:tblPr>
      <w:tblGrid>
        <w:gridCol w:w="1066"/>
        <w:gridCol w:w="1020"/>
        <w:gridCol w:w="104"/>
        <w:gridCol w:w="278"/>
        <w:gridCol w:w="74"/>
        <w:gridCol w:w="48"/>
        <w:gridCol w:w="193"/>
        <w:gridCol w:w="215"/>
        <w:gridCol w:w="887"/>
        <w:gridCol w:w="514"/>
        <w:gridCol w:w="1056"/>
        <w:gridCol w:w="176"/>
        <w:gridCol w:w="316"/>
        <w:gridCol w:w="203"/>
        <w:gridCol w:w="325"/>
        <w:gridCol w:w="156"/>
        <w:gridCol w:w="315"/>
        <w:gridCol w:w="824"/>
        <w:gridCol w:w="37"/>
        <w:gridCol w:w="138"/>
        <w:gridCol w:w="798"/>
        <w:gridCol w:w="322"/>
        <w:gridCol w:w="374"/>
        <w:gridCol w:w="926"/>
        <w:gridCol w:w="290"/>
      </w:tblGrid>
      <w:tr>
        <w:tblPrEx>
          <w:tblCellMar>
            <w:top w:w="15" w:type="dxa"/>
            <w:left w:w="15" w:type="dxa"/>
            <w:bottom w:w="15" w:type="dxa"/>
            <w:right w:w="15" w:type="dxa"/>
          </w:tblCellMar>
        </w:tblPrEx>
        <w:trPr>
          <w:gridAfter w:val="1"/>
          <w:wAfter w:w="290" w:type="dxa"/>
          <w:trHeight w:val="375" w:hRule="atLeast"/>
        </w:trPr>
        <w:tc>
          <w:tcPr>
            <w:tcW w:w="10365" w:type="dxa"/>
            <w:gridSpan w:val="24"/>
            <w:vAlign w:val="bottom"/>
          </w:tcPr>
          <w:p>
            <w:pPr>
              <w:keepNext w:val="0"/>
              <w:keepLines w:val="0"/>
              <w:widowControl/>
              <w:suppressLineNumbers w:val="0"/>
              <w:spacing w:before="0" w:beforeAutospacing="0" w:after="0" w:afterAutospacing="0"/>
              <w:ind w:left="0" w:right="0"/>
              <w:jc w:val="center"/>
              <w:textAlignment w:val="bottom"/>
              <w:rPr>
                <w:rFonts w:hint="default"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gridAfter w:val="1"/>
          <w:wAfter w:w="290" w:type="dxa"/>
          <w:trHeight w:val="285" w:hRule="atLeast"/>
        </w:trPr>
        <w:tc>
          <w:tcPr>
            <w:tcW w:w="2468" w:type="dxa"/>
            <w:gridSpan w:val="4"/>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315"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102"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746"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316"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4"/>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c>
          <w:tcPr>
            <w:tcW w:w="999" w:type="dxa"/>
            <w:gridSpan w:val="3"/>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c>
          <w:tcPr>
            <w:tcW w:w="2420" w:type="dxa"/>
            <w:gridSpan w:val="4"/>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公开</w:t>
            </w:r>
            <w:r>
              <w:rPr>
                <w:rFonts w:hint="default"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290" w:type="dxa"/>
          <w:trHeight w:val="285" w:hRule="atLeast"/>
        </w:trPr>
        <w:tc>
          <w:tcPr>
            <w:tcW w:w="2468" w:type="dxa"/>
            <w:gridSpan w:val="4"/>
            <w:vAlign w:val="center"/>
          </w:tcPr>
          <w:p>
            <w:pPr>
              <w:keepNext w:val="0"/>
              <w:keepLines w:val="0"/>
              <w:suppressLineNumbers w:val="0"/>
              <w:spacing w:before="0" w:beforeAutospacing="0" w:after="0" w:afterAutospacing="0"/>
              <w:ind w:left="0" w:right="0"/>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信阳市浉河区财政局</w:t>
            </w:r>
          </w:p>
        </w:tc>
        <w:tc>
          <w:tcPr>
            <w:tcW w:w="315"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102"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746"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316"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4"/>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c>
          <w:tcPr>
            <w:tcW w:w="999" w:type="dxa"/>
            <w:gridSpan w:val="3"/>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c>
          <w:tcPr>
            <w:tcW w:w="2420" w:type="dxa"/>
            <w:gridSpan w:val="4"/>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290" w:type="dxa"/>
          <w:trHeight w:val="285" w:hRule="atLeast"/>
        </w:trPr>
        <w:tc>
          <w:tcPr>
            <w:tcW w:w="3885" w:type="dxa"/>
            <w:gridSpan w:val="9"/>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5"/>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gridAfter w:val="1"/>
          <w:wAfter w:w="290" w:type="dxa"/>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1</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hint="default"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4</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宋体" w:hAnsi="宋体" w:eastAsia="宋体" w:cs="宋体"/>
                <w:i w:val="0"/>
                <w:color w:val="000000"/>
                <w:kern w:val="0"/>
                <w:sz w:val="18"/>
                <w:szCs w:val="18"/>
                <w:u w:val="none"/>
                <w:lang w:val="en-US" w:eastAsia="zh-CN" w:bidi="ar"/>
              </w:rPr>
              <w:t>2719.07</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宋体" w:hAnsi="宋体" w:eastAsia="宋体" w:cs="宋体"/>
                <w:i w:val="0"/>
                <w:color w:val="000000"/>
                <w:kern w:val="0"/>
                <w:sz w:val="18"/>
                <w:szCs w:val="18"/>
                <w:u w:val="none"/>
                <w:lang w:val="en-US" w:eastAsia="zh-CN" w:bidi="ar"/>
              </w:rPr>
              <w:t>2719.07</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宋体" w:hAnsi="宋体" w:eastAsia="宋体" w:cs="宋体"/>
                <w:i w:val="0"/>
                <w:color w:val="000000"/>
                <w:kern w:val="0"/>
                <w:sz w:val="18"/>
                <w:szCs w:val="18"/>
                <w:u w:val="none"/>
                <w:lang w:val="en-US" w:eastAsia="zh-CN" w:bidi="ar"/>
              </w:rPr>
              <w:t>2719.07</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eastAsia" w:ascii="仿宋" w:hAnsi="仿宋" w:eastAsia="仿宋"/>
                <w:sz w:val="22"/>
                <w:szCs w:val="22"/>
                <w:lang w:val="en-US" w:eastAsia="zh-CN"/>
              </w:rPr>
            </w:pPr>
            <w:r>
              <w:rPr>
                <w:rFonts w:hint="eastAsia" w:ascii="宋体" w:hAnsi="宋体" w:eastAsia="宋体" w:cs="宋体"/>
                <w:i w:val="0"/>
                <w:color w:val="000000"/>
                <w:kern w:val="0"/>
                <w:sz w:val="18"/>
                <w:szCs w:val="18"/>
                <w:u w:val="none"/>
                <w:lang w:val="en-US" w:eastAsia="zh-CN" w:bidi="ar"/>
              </w:rPr>
              <w:t>2719.07</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b/>
                <w:color w:val="000000"/>
                <w:sz w:val="22"/>
                <w:szCs w:val="22"/>
                <w:lang w:val="en-US" w:eastAsia="zh-CN"/>
              </w:rPr>
            </w:pPr>
            <w:r>
              <w:rPr>
                <w:rFonts w:hint="eastAsia" w:ascii="宋体" w:hAnsi="宋体" w:eastAsia="宋体" w:cs="宋体"/>
                <w:i w:val="0"/>
                <w:color w:val="000000"/>
                <w:kern w:val="0"/>
                <w:sz w:val="18"/>
                <w:szCs w:val="18"/>
                <w:u w:val="none"/>
                <w:lang w:val="en-US" w:eastAsia="zh-CN" w:bidi="ar"/>
              </w:rPr>
              <w:t>2719.07</w:t>
            </w:r>
          </w:p>
        </w:tc>
        <w:tc>
          <w:tcPr>
            <w:tcW w:w="1295"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eastAsia" w:ascii="仿宋" w:hAnsi="仿宋" w:eastAsia="仿宋" w:cs="宋体"/>
                <w:b/>
                <w:color w:val="000000"/>
                <w:sz w:val="22"/>
                <w:szCs w:val="22"/>
                <w:lang w:val="en-US" w:eastAsia="zh-CN"/>
              </w:rPr>
            </w:pPr>
            <w:r>
              <w:rPr>
                <w:rFonts w:hint="eastAsia" w:ascii="宋体" w:hAnsi="宋体" w:eastAsia="宋体" w:cs="宋体"/>
                <w:i w:val="0"/>
                <w:color w:val="000000"/>
                <w:kern w:val="0"/>
                <w:sz w:val="18"/>
                <w:szCs w:val="18"/>
                <w:u w:val="none"/>
                <w:lang w:val="en-US" w:eastAsia="zh-CN" w:bidi="ar"/>
              </w:rPr>
              <w:t>2719.07</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22"/>
                <w:szCs w:val="22"/>
              </w:rPr>
            </w:pPr>
            <w:r>
              <w:rPr>
                <w:rFonts w:hint="default" w:ascii="仿宋" w:hAnsi="仿宋" w:eastAsia="仿宋" w:cs="宋体"/>
                <w:color w:val="000000"/>
                <w:sz w:val="22"/>
                <w:szCs w:val="22"/>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仿宋" w:hAnsi="仿宋" w:eastAsia="仿宋"/>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295"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gridAfter w:val="1"/>
          <w:wAfter w:w="290" w:type="dxa"/>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b/>
                <w:color w:val="000000"/>
                <w:sz w:val="22"/>
                <w:szCs w:val="22"/>
                <w:lang w:val="en-US" w:eastAsia="zh-CN"/>
              </w:rPr>
            </w:pPr>
            <w:r>
              <w:rPr>
                <w:rFonts w:hint="eastAsia" w:ascii="宋体" w:hAnsi="宋体" w:eastAsia="宋体" w:cs="宋体"/>
                <w:i w:val="0"/>
                <w:color w:val="000000"/>
                <w:kern w:val="0"/>
                <w:sz w:val="18"/>
                <w:szCs w:val="18"/>
                <w:u w:val="none"/>
                <w:lang w:val="en-US" w:eastAsia="zh-CN" w:bidi="ar"/>
              </w:rPr>
              <w:t>2719.07</w:t>
            </w:r>
          </w:p>
        </w:tc>
        <w:tc>
          <w:tcPr>
            <w:tcW w:w="2265" w:type="dxa"/>
            <w:gridSpan w:val="5"/>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keepNext w:val="0"/>
              <w:keepLines w:val="0"/>
              <w:suppressLineNumbers w:val="0"/>
              <w:spacing w:before="0" w:beforeAutospacing="0" w:after="0" w:afterAutospacing="0"/>
              <w:ind w:left="0" w:right="0"/>
              <w:jc w:val="center"/>
              <w:rPr>
                <w:rFonts w:hint="eastAsia" w:ascii="仿宋" w:hAnsi="仿宋" w:eastAsia="仿宋"/>
                <w:sz w:val="22"/>
                <w:szCs w:val="22"/>
                <w:lang w:val="en-US" w:eastAsia="zh-CN"/>
              </w:rPr>
            </w:pPr>
            <w:r>
              <w:rPr>
                <w:rFonts w:hint="eastAsia" w:ascii="宋体" w:hAnsi="宋体" w:eastAsia="宋体" w:cs="宋体"/>
                <w:i w:val="0"/>
                <w:color w:val="000000"/>
                <w:kern w:val="0"/>
                <w:sz w:val="18"/>
                <w:szCs w:val="18"/>
                <w:u w:val="none"/>
                <w:lang w:val="en-US" w:eastAsia="zh-CN" w:bidi="ar"/>
              </w:rPr>
              <w:t>2719.07</w:t>
            </w:r>
          </w:p>
        </w:tc>
        <w:tc>
          <w:tcPr>
            <w:tcW w:w="1295" w:type="dxa"/>
            <w:gridSpan w:val="4"/>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lang w:val="en-US" w:eastAsia="zh-CN"/>
              </w:rPr>
            </w:pPr>
            <w:r>
              <w:rPr>
                <w:rFonts w:hint="eastAsia" w:ascii="宋体" w:hAnsi="宋体" w:eastAsia="宋体" w:cs="宋体"/>
                <w:i w:val="0"/>
                <w:color w:val="000000"/>
                <w:kern w:val="0"/>
                <w:sz w:val="18"/>
                <w:szCs w:val="18"/>
                <w:u w:val="none"/>
                <w:lang w:val="en-US" w:eastAsia="zh-CN" w:bidi="ar"/>
              </w:rPr>
              <w:t>2719.07</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r>
      <w:tr>
        <w:tblPrEx>
          <w:shd w:val="clear" w:color="auto" w:fill="auto"/>
          <w:tblCellMar>
            <w:top w:w="0" w:type="dxa"/>
            <w:left w:w="108" w:type="dxa"/>
            <w:bottom w:w="0" w:type="dxa"/>
            <w:right w:w="108" w:type="dxa"/>
          </w:tblCellMar>
        </w:tblPrEx>
        <w:trPr>
          <w:gridBefore w:val="1"/>
          <w:wBefore w:w="1066" w:type="dxa"/>
          <w:trHeight w:val="496" w:hRule="atLeast"/>
        </w:trPr>
        <w:tc>
          <w:tcPr>
            <w:tcW w:w="147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预算05表</w:t>
            </w:r>
          </w:p>
        </w:tc>
        <w:tc>
          <w:tcPr>
            <w:tcW w:w="456" w:type="dxa"/>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0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6"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76"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3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9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1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Before w:val="1"/>
          <w:wBefore w:w="1066" w:type="dxa"/>
          <w:trHeight w:val="609" w:hRule="atLeast"/>
        </w:trPr>
        <w:tc>
          <w:tcPr>
            <w:tcW w:w="9589" w:type="dxa"/>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2019年一般公共预算支出情况表（功能分类）</w:t>
            </w:r>
          </w:p>
        </w:tc>
      </w:tr>
      <w:tr>
        <w:tblPrEx>
          <w:shd w:val="clear" w:color="auto" w:fill="auto"/>
          <w:tblCellMar>
            <w:top w:w="0" w:type="dxa"/>
            <w:left w:w="108" w:type="dxa"/>
            <w:bottom w:w="0" w:type="dxa"/>
            <w:right w:w="108" w:type="dxa"/>
          </w:tblCellMar>
        </w:tblPrEx>
        <w:trPr>
          <w:gridBefore w:val="1"/>
          <w:wBefore w:w="1066" w:type="dxa"/>
          <w:trHeight w:val="609" w:hRule="atLeast"/>
        </w:trPr>
        <w:tc>
          <w:tcPr>
            <w:tcW w:w="4389" w:type="dxa"/>
            <w:gridSpan w:val="10"/>
            <w:tcBorders>
              <w:top w:val="nil"/>
              <w:left w:val="nil"/>
              <w:bottom w:val="single" w:color="000000" w:sz="4" w:space="0"/>
              <w:right w:val="nil"/>
            </w:tcBorders>
            <w:shd w:val="clear" w:color="auto" w:fill="auto"/>
            <w:noWrap/>
            <w:vAlign w:val="bottom"/>
          </w:tcPr>
          <w:p>
            <w:pPr>
              <w:rPr>
                <w:rFonts w:hint="eastAsia" w:ascii="宋体" w:hAnsi="宋体" w:eastAsia="仿宋" w:cs="宋体"/>
                <w:i w:val="0"/>
                <w:iCs w:val="0"/>
                <w:color w:val="000000"/>
                <w:sz w:val="20"/>
                <w:szCs w:val="20"/>
                <w:u w:val="none"/>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信阳市浉河区财政局</w:t>
            </w:r>
          </w:p>
        </w:tc>
        <w:tc>
          <w:tcPr>
            <w:tcW w:w="1176"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76" w:type="dxa"/>
            <w:gridSpan w:val="3"/>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36" w:type="dxa"/>
            <w:gridSpan w:val="2"/>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96" w:type="dxa"/>
            <w:gridSpan w:val="2"/>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1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公开0</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000000"/>
                <w:sz w:val="20"/>
                <w:szCs w:val="20"/>
                <w:u w:val="none"/>
              </w:rPr>
            </w:pP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000000"/>
                <w:sz w:val="20"/>
                <w:szCs w:val="20"/>
                <w:u w:val="none"/>
              </w:rPr>
            </w:pPr>
          </w:p>
        </w:tc>
        <w:tc>
          <w:tcPr>
            <w:tcW w:w="1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176" w:type="dxa"/>
            <w:gridSpan w:val="5"/>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176" w:type="dxa"/>
            <w:gridSpan w:val="3"/>
            <w:tcBorders>
              <w:top w:val="single" w:color="000000" w:sz="4" w:space="0"/>
              <w:left w:val="nil"/>
              <w:bottom w:val="single" w:color="000000" w:sz="4" w:space="0"/>
              <w:right w:val="nil"/>
            </w:tcBorders>
            <w:shd w:val="clear" w:color="auto" w:fill="auto"/>
            <w:noWrap/>
            <w:vAlign w:val="center"/>
          </w:tcPr>
          <w:p>
            <w:pPr>
              <w:jc w:val="both"/>
              <w:rPr>
                <w:rFonts w:hint="eastAsia" w:ascii="宋体" w:hAnsi="宋体" w:eastAsia="宋体" w:cs="宋体"/>
                <w:b/>
                <w:bCs/>
                <w:i w:val="0"/>
                <w:iCs w:val="0"/>
                <w:color w:val="000000"/>
                <w:sz w:val="20"/>
                <w:szCs w:val="20"/>
                <w:u w:val="none"/>
              </w:rPr>
            </w:pPr>
          </w:p>
        </w:tc>
        <w:tc>
          <w:tcPr>
            <w:tcW w:w="936" w:type="dxa"/>
            <w:gridSpan w:val="2"/>
            <w:tcBorders>
              <w:top w:val="single" w:color="000000" w:sz="4" w:space="0"/>
              <w:left w:val="nil"/>
              <w:bottom w:val="single" w:color="000000" w:sz="4" w:space="0"/>
              <w:right w:val="nil"/>
            </w:tcBorders>
            <w:shd w:val="clear" w:color="auto" w:fill="auto"/>
            <w:noWrap/>
            <w:vAlign w:val="center"/>
          </w:tcPr>
          <w:p>
            <w:pPr>
              <w:jc w:val="both"/>
              <w:rPr>
                <w:rFonts w:hint="eastAsia" w:ascii="宋体" w:hAnsi="宋体" w:eastAsia="宋体" w:cs="宋体"/>
                <w:b/>
                <w:bCs/>
                <w:i w:val="0"/>
                <w:iCs w:val="0"/>
                <w:color w:val="000000"/>
                <w:sz w:val="20"/>
                <w:szCs w:val="20"/>
                <w:u w:val="none"/>
              </w:rPr>
            </w:pPr>
          </w:p>
        </w:tc>
        <w:tc>
          <w:tcPr>
            <w:tcW w:w="696" w:type="dxa"/>
            <w:gridSpan w:val="2"/>
            <w:tcBorders>
              <w:top w:val="single" w:color="000000" w:sz="4" w:space="0"/>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000000"/>
                <w:sz w:val="20"/>
                <w:szCs w:val="20"/>
                <w:u w:val="none"/>
              </w:rPr>
            </w:pPr>
          </w:p>
        </w:tc>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tblPrEx>
          <w:shd w:val="clear" w:color="auto" w:fill="auto"/>
          <w:tblCellMar>
            <w:top w:w="0" w:type="dxa"/>
            <w:left w:w="108" w:type="dxa"/>
            <w:bottom w:w="0" w:type="dxa"/>
            <w:right w:w="108" w:type="dxa"/>
          </w:tblCellMar>
        </w:tblPrEx>
        <w:trPr>
          <w:gridBefore w:val="1"/>
          <w:wBefore w:w="1066" w:type="dxa"/>
          <w:trHeight w:val="1533"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款</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76"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工资福利支出</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商品服务支出</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对个人和家庭的补助</w:t>
            </w:r>
          </w:p>
        </w:tc>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6"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6"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01"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6"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6"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6" w:type="dxa"/>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2719.07</w:t>
            </w: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2,567.07 </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2,296.45 </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338</w:t>
            </w:r>
            <w:r>
              <w:rPr>
                <w:rFonts w:hint="eastAsia" w:ascii="宋体" w:hAnsi="宋体" w:eastAsia="宋体" w:cs="宋体"/>
                <w:i w:val="0"/>
                <w:iCs w:val="0"/>
                <w:color w:val="000000"/>
                <w:kern w:val="0"/>
                <w:sz w:val="24"/>
                <w:szCs w:val="24"/>
                <w:u w:val="none"/>
                <w:lang w:val="en-US" w:eastAsia="zh-CN" w:bidi="ar"/>
              </w:rPr>
              <w:t xml:space="preserve">.92 </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83.7 </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561.45</w:t>
            </w: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561.45 </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505.37 </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56.08 </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事业运行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1310.02</w:t>
            </w: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1,310.02 </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1,179.18 </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130.84 </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924"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287.7</w:t>
            </w: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287.70 </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287.7 </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924"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归口管理的行政单位离退休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w:t>
            </w: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83.70 </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83.7 </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行政单位医疗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40.50 </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40.5 </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事业单位医疗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w:t>
            </w: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90.30 </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90.3 </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193.4</w:t>
            </w: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193.40 </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193.4 </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财政国库业务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32.0 </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预算改革业务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30.0 </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财政监察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30.0 </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619"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信息化建设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 </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Before w:val="1"/>
          <w:wBefore w:w="1066" w:type="dxa"/>
          <w:trHeight w:val="642"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财政委托业务支出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 </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pPr>
        <w:spacing w:line="360" w:lineRule="auto"/>
        <w:jc w:val="both"/>
        <w:rPr>
          <w:rFonts w:ascii="仿宋" w:hAnsi="仿宋" w:eastAsia="仿宋" w:cs="隶书"/>
          <w:sz w:val="52"/>
          <w:szCs w:val="52"/>
        </w:rPr>
      </w:pPr>
    </w:p>
    <w:tbl>
      <w:tblPr>
        <w:tblStyle w:val="5"/>
        <w:tblW w:w="8248" w:type="dxa"/>
        <w:tblInd w:w="0" w:type="dxa"/>
        <w:shd w:val="clear" w:color="auto" w:fill="auto"/>
        <w:tblLayout w:type="fixed"/>
        <w:tblCellMar>
          <w:top w:w="0" w:type="dxa"/>
          <w:left w:w="0" w:type="dxa"/>
          <w:bottom w:w="0" w:type="dxa"/>
          <w:right w:w="0" w:type="dxa"/>
        </w:tblCellMar>
      </w:tblPr>
      <w:tblGrid>
        <w:gridCol w:w="688"/>
        <w:gridCol w:w="600"/>
        <w:gridCol w:w="1860"/>
        <w:gridCol w:w="1110"/>
        <w:gridCol w:w="615"/>
        <w:gridCol w:w="480"/>
        <w:gridCol w:w="1920"/>
        <w:gridCol w:w="975"/>
      </w:tblGrid>
      <w:tr>
        <w:tblPrEx>
          <w:shd w:val="clear" w:color="auto" w:fill="auto"/>
          <w:tblCellMar>
            <w:top w:w="0" w:type="dxa"/>
            <w:left w:w="0" w:type="dxa"/>
            <w:bottom w:w="0" w:type="dxa"/>
            <w:right w:w="0" w:type="dxa"/>
          </w:tblCellMar>
        </w:tblPrEx>
        <w:trPr>
          <w:trHeight w:val="285" w:hRule="atLeast"/>
        </w:trPr>
        <w:tc>
          <w:tcPr>
            <w:tcW w:w="824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一般公共预算财政拨款基本支出预算表</w:t>
            </w:r>
          </w:p>
        </w:tc>
      </w:tr>
      <w:tr>
        <w:tblPrEx>
          <w:shd w:val="clear" w:color="auto" w:fill="auto"/>
          <w:tblCellMar>
            <w:top w:w="0" w:type="dxa"/>
            <w:left w:w="0" w:type="dxa"/>
            <w:bottom w:w="0" w:type="dxa"/>
            <w:right w:w="0" w:type="dxa"/>
          </w:tblCellMar>
        </w:tblPrEx>
        <w:trPr>
          <w:trHeight w:val="285" w:hRule="atLeast"/>
        </w:trPr>
        <w:tc>
          <w:tcPr>
            <w:tcW w:w="824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表</w:t>
            </w:r>
          </w:p>
        </w:tc>
      </w:tr>
      <w:tr>
        <w:tblPrEx>
          <w:tblCellMar>
            <w:top w:w="0" w:type="dxa"/>
            <w:left w:w="0" w:type="dxa"/>
            <w:bottom w:w="0" w:type="dxa"/>
            <w:right w:w="0" w:type="dxa"/>
          </w:tblCellMar>
        </w:tblPrEx>
        <w:trPr>
          <w:trHeight w:val="285" w:hRule="atLeast"/>
        </w:trPr>
        <w:tc>
          <w:tcPr>
            <w:tcW w:w="3148" w:type="dxa"/>
            <w:gridSpan w:val="3"/>
            <w:tcBorders>
              <w:top w:val="nil"/>
              <w:left w:val="nil"/>
              <w:bottom w:val="single" w:color="000000" w:sz="4" w:space="0"/>
              <w:right w:val="nil"/>
            </w:tcBorders>
            <w:shd w:val="clear" w:color="auto" w:fill="FFFFFF"/>
            <w:noWrap/>
            <w:tcMar>
              <w:top w:w="15" w:type="dxa"/>
              <w:left w:w="15" w:type="dxa"/>
              <w:right w:w="15" w:type="dxa"/>
            </w:tcMar>
            <w:vAlign w:val="bottom"/>
          </w:tcPr>
          <w:p>
            <w:pPr>
              <w:rPr>
                <w:rFonts w:hint="eastAsia" w:ascii="宋体" w:hAnsi="宋体" w:eastAsia="仿宋" w:cs="宋体"/>
                <w:i w:val="0"/>
                <w:color w:val="000000"/>
                <w:sz w:val="20"/>
                <w:szCs w:val="20"/>
                <w:u w:val="none"/>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信阳市浉河区财政局</w:t>
            </w:r>
          </w:p>
        </w:tc>
        <w:tc>
          <w:tcPr>
            <w:tcW w:w="1110" w:type="dxa"/>
            <w:tcBorders>
              <w:top w:val="nil"/>
              <w:left w:val="nil"/>
              <w:bottom w:val="single" w:color="000000" w:sz="4" w:space="0"/>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15" w:type="dxa"/>
            <w:tcBorders>
              <w:top w:val="nil"/>
              <w:left w:val="nil"/>
              <w:bottom w:val="single" w:color="000000" w:sz="4" w:space="0"/>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9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75" w:type="dxa"/>
            <w:tcBorders>
              <w:top w:val="nil"/>
              <w:left w:val="nil"/>
              <w:bottom w:val="single" w:color="000000" w:sz="4" w:space="0"/>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285" w:hRule="atLeast"/>
        </w:trPr>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shd w:val="clear" w:color="auto" w:fill="auto"/>
          <w:tblCellMar>
            <w:top w:w="0" w:type="dxa"/>
            <w:left w:w="0" w:type="dxa"/>
            <w:bottom w:w="0" w:type="dxa"/>
            <w:right w:w="0" w:type="dxa"/>
          </w:tblCellMar>
        </w:tblPrEx>
        <w:trPr>
          <w:trHeight w:val="28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c>
          <w:tcPr>
            <w:tcW w:w="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w:t>
            </w:r>
          </w:p>
        </w:tc>
        <w:tc>
          <w:tcPr>
            <w:tcW w:w="4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2380.15</w:t>
            </w:r>
            <w:r>
              <w:rPr>
                <w:rFonts w:hint="eastAsia" w:ascii="宋体" w:hAnsi="宋体" w:eastAsia="宋体" w:cs="宋体"/>
                <w:i w:val="0"/>
                <w:color w:val="000000"/>
                <w:kern w:val="0"/>
                <w:sz w:val="18"/>
                <w:szCs w:val="18"/>
                <w:u w:val="none"/>
                <w:lang w:val="en-US" w:eastAsia="zh-CN" w:bidi="ar"/>
              </w:rPr>
              <w:t xml:space="preserve">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338.92 </w:t>
            </w:r>
          </w:p>
        </w:tc>
      </w:tr>
      <w:tr>
        <w:tblPrEx>
          <w:shd w:val="clear" w:color="auto" w:fill="auto"/>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2296.45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338.92 </w:t>
            </w: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909.24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29.62 </w:t>
            </w:r>
          </w:p>
        </w:tc>
      </w:tr>
      <w:tr>
        <w:tblPrEx>
          <w:shd w:val="clear" w:color="auto" w:fill="auto"/>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417.79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r>
      <w:tr>
        <w:tblPrEx>
          <w:shd w:val="clear" w:color="auto" w:fill="auto"/>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166.00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伙食补助费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手续费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125.31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 </w:t>
            </w:r>
          </w:p>
        </w:tc>
      </w:tr>
      <w:tr>
        <w:tblPrEx>
          <w:tblCellMar>
            <w:top w:w="0" w:type="dxa"/>
            <w:left w:w="0" w:type="dxa"/>
            <w:bottom w:w="0" w:type="dxa"/>
            <w:right w:w="0" w:type="dxa"/>
          </w:tblCellMar>
        </w:tblPrEx>
        <w:trPr>
          <w:trHeight w:val="45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基本养老保险缴费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287.70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r>
      <w:tr>
        <w:tblPrEx>
          <w:shd w:val="clear" w:color="auto" w:fill="auto"/>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13.55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r>
      <w:tr>
        <w:tblPrEx>
          <w:tblCellMar>
            <w:top w:w="0" w:type="dxa"/>
            <w:left w:w="0" w:type="dxa"/>
            <w:bottom w:w="0" w:type="dxa"/>
            <w:right w:w="0" w:type="dxa"/>
          </w:tblCellMar>
        </w:tblPrEx>
        <w:trPr>
          <w:trHeight w:val="45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基本医疗保险缴费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130.80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公务员医疗补助缴费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 </w:t>
            </w:r>
          </w:p>
        </w:tc>
      </w:tr>
      <w:tr>
        <w:tblPrEx>
          <w:shd w:val="clear" w:color="auto" w:fill="auto"/>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其它社保缴费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 </w:t>
            </w:r>
          </w:p>
        </w:tc>
      </w:tr>
      <w:tr>
        <w:tblPrEx>
          <w:tblCellMar>
            <w:top w:w="0" w:type="dxa"/>
            <w:left w:w="0" w:type="dxa"/>
            <w:bottom w:w="0" w:type="dxa"/>
            <w:right w:w="0" w:type="dxa"/>
          </w:tblCellMar>
        </w:tblPrEx>
        <w:trPr>
          <w:trHeight w:val="46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193.40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r>
      <w:tr>
        <w:tblPrEx>
          <w:tblCellMar>
            <w:top w:w="0" w:type="dxa"/>
            <w:left w:w="0" w:type="dxa"/>
            <w:bottom w:w="0" w:type="dxa"/>
            <w:right w:w="0" w:type="dxa"/>
          </w:tblCellMar>
        </w:tblPrEx>
        <w:trPr>
          <w:trHeight w:val="450"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34.16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5" w:hRule="atLeast"/>
        </w:trPr>
        <w:tc>
          <w:tcPr>
            <w:tcW w:w="6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r>
      <w:tr>
        <w:tblPrEx>
          <w:tblCellMar>
            <w:top w:w="0" w:type="dxa"/>
            <w:left w:w="0" w:type="dxa"/>
            <w:bottom w:w="0" w:type="dxa"/>
            <w:right w:w="0" w:type="dxa"/>
          </w:tblCellMar>
        </w:tblPrEx>
        <w:trPr>
          <w:trHeight w:val="45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83.70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r>
      <w:tr>
        <w:tblPrEx>
          <w:shd w:val="clear" w:color="auto" w:fill="auto"/>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公务招待费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专用材料费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退职（役）费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被装购置费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专用燃料费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生活补助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劳务费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17.40 </w:t>
            </w: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救济费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 </w:t>
            </w: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医疗费补助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 </w:t>
            </w:r>
          </w:p>
        </w:tc>
      </w:tr>
      <w:tr>
        <w:tblPrEx>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助学金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 </w:t>
            </w:r>
          </w:p>
        </w:tc>
      </w:tr>
      <w:tr>
        <w:tblPrEx>
          <w:shd w:val="clear" w:color="auto" w:fill="auto"/>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个人农业生产补贴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51.00 </w:t>
            </w:r>
          </w:p>
        </w:tc>
      </w:tr>
      <w:tr>
        <w:tblPrEx>
          <w:shd w:val="clear" w:color="auto" w:fill="auto"/>
          <w:tblCellMar>
            <w:top w:w="0" w:type="dxa"/>
            <w:left w:w="0" w:type="dxa"/>
            <w:bottom w:w="0" w:type="dxa"/>
            <w:right w:w="0"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其他补助支出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58.70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税金及附加费用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17.00 </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3"/>
        <w:gridCol w:w="243"/>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3"/>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3"/>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信阳市浉河区财政局</w:t>
            </w: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3"/>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8</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9</w:t>
            </w:r>
            <w:r>
              <w:rPr>
                <w:rFonts w:hint="eastAsia" w:ascii="仿宋" w:hAnsi="仿宋" w:eastAsia="仿宋" w:cs="宋体"/>
                <w:b/>
                <w:color w:val="000000"/>
                <w:kern w:val="0"/>
                <w:sz w:val="16"/>
                <w:szCs w:val="16"/>
              </w:rPr>
              <w:t>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8"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
                <w:color w:val="000000"/>
                <w:kern w:val="0"/>
                <w:sz w:val="16"/>
                <w:szCs w:val="16"/>
              </w:rPr>
            </w:pPr>
            <w:r>
              <w:rPr>
                <w:rFonts w:hint="eastAsia" w:ascii="仿宋" w:hAnsi="仿宋" w:eastAsia="仿宋" w:cs="宋体"/>
                <w:b/>
                <w:color w:val="000000"/>
                <w:kern w:val="0"/>
                <w:sz w:val="16"/>
                <w:szCs w:val="16"/>
              </w:rPr>
              <w:t>公务用车购置及运行费</w:t>
            </w:r>
          </w:p>
        </w:tc>
        <w:tc>
          <w:tcPr>
            <w:tcW w:w="867" w:type="dxa"/>
            <w:gridSpan w:val="2"/>
            <w:tcBorders>
              <w:top w:val="single" w:color="000000" w:sz="4" w:space="0"/>
              <w:left w:val="single" w:color="000000" w:sz="4" w:space="0"/>
              <w:right w:val="single" w:color="000000" w:sz="4" w:space="0"/>
            </w:tcBorders>
            <w:vAlign w:val="bottom"/>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仿宋" w:hAnsi="仿宋" w:eastAsia="仿宋" w:cs="宋体"/>
                <w:b/>
                <w:color w:val="000000"/>
                <w:kern w:val="0"/>
                <w:sz w:val="16"/>
                <w:szCs w:val="16"/>
              </w:rPr>
            </w:pPr>
            <w:r>
              <w:rPr>
                <w:rFonts w:hint="eastAsia" w:ascii="仿宋" w:hAnsi="仿宋" w:eastAsia="仿宋" w:cs="宋体"/>
                <w:b/>
                <w:color w:val="000000"/>
                <w:kern w:val="0"/>
                <w:sz w:val="16"/>
                <w:szCs w:val="16"/>
              </w:rPr>
              <w:t>公务用车购置及运行费</w:t>
            </w:r>
          </w:p>
        </w:tc>
        <w:tc>
          <w:tcPr>
            <w:tcW w:w="870" w:type="dxa"/>
            <w:vMerge w:val="restart"/>
            <w:tcBorders>
              <w:top w:val="single" w:color="000000" w:sz="4" w:space="0"/>
              <w:left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3"/>
            <w:tcBorders>
              <w:left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vMerge w:val="continue"/>
            <w:tcBorders>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22</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22</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w:t>
            </w:r>
          </w:p>
        </w:tc>
      </w:tr>
      <w:tr>
        <w:tblPrEx>
          <w:tblCellMar>
            <w:top w:w="15" w:type="dxa"/>
            <w:left w:w="15" w:type="dxa"/>
            <w:bottom w:w="15" w:type="dxa"/>
            <w:right w:w="15" w:type="dxa"/>
          </w:tblCellMar>
        </w:tblPrEx>
        <w:trPr>
          <w:trHeight w:val="600" w:hRule="atLeast"/>
        </w:trPr>
        <w:tc>
          <w:tcPr>
            <w:tcW w:w="10350" w:type="dxa"/>
            <w:gridSpan w:val="23"/>
            <w:vAlign w:val="center"/>
          </w:tcPr>
          <w:tbl>
            <w:tblPr>
              <w:tblStyle w:val="5"/>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hint="default" w:ascii="仿宋" w:hAnsi="仿宋" w:eastAsia="仿宋" w:cs="Arial"/>
                      <w:color w:val="000000"/>
                      <w:kern w:val="0"/>
                      <w:sz w:val="22"/>
                      <w:szCs w:val="22"/>
                      <w:lang w:val="en-US" w:eastAsia="zh-CN"/>
                    </w:rPr>
                  </w:pPr>
                  <w:r>
                    <w:rPr>
                      <w:rFonts w:hint="eastAsia" w:ascii="仿宋" w:hAnsi="仿宋" w:eastAsia="仿宋" w:cs="Arial"/>
                      <w:color w:val="000000"/>
                      <w:kern w:val="0"/>
                      <w:sz w:val="22"/>
                      <w:szCs w:val="22"/>
                      <w:lang w:val="en-US" w:eastAsia="zh-CN"/>
                    </w:rPr>
                    <w:t>20</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20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20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信阳市浉河区财政局</w:t>
            </w: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信阳市浉河区财政局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lang w:val="en-US" w:eastAsia="zh-CN"/>
        </w:rPr>
        <w:t>9</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hint="eastAsia"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年度收入总计</w:t>
      </w:r>
      <w:r>
        <w:rPr>
          <w:rFonts w:hint="eastAsia" w:ascii="仿宋" w:hAnsi="仿宋" w:eastAsia="仿宋" w:cs="Courier New"/>
          <w:sz w:val="32"/>
          <w:szCs w:val="32"/>
        </w:rPr>
        <w:t>2719.07</w:t>
      </w:r>
      <w:r>
        <w:rPr>
          <w:rFonts w:hint="eastAsia" w:ascii="仿宋" w:hAnsi="仿宋" w:eastAsia="仿宋" w:cs="宋体"/>
          <w:sz w:val="32"/>
          <w:szCs w:val="32"/>
        </w:rPr>
        <w:t>万元，支出总计</w:t>
      </w:r>
      <w:r>
        <w:rPr>
          <w:rFonts w:hint="eastAsia" w:ascii="仿宋" w:hAnsi="仿宋" w:eastAsia="仿宋" w:cs="Courier New"/>
          <w:sz w:val="32"/>
          <w:szCs w:val="32"/>
          <w:lang w:val="en-US" w:eastAsia="zh-CN"/>
        </w:rPr>
        <w:t>2719.07</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296.37</w:t>
      </w:r>
      <w:r>
        <w:rPr>
          <w:rFonts w:hint="eastAsia" w:ascii="仿宋" w:hAnsi="仿宋" w:eastAsia="仿宋" w:cs="宋体"/>
          <w:sz w:val="32"/>
          <w:szCs w:val="32"/>
        </w:rPr>
        <w:t>万元，</w:t>
      </w:r>
      <w:r>
        <w:rPr>
          <w:rFonts w:hint="eastAsia" w:ascii="仿宋" w:hAnsi="仿宋" w:eastAsia="仿宋" w:cs="Courier New"/>
          <w:sz w:val="32"/>
          <w:szCs w:val="32"/>
        </w:rPr>
        <w:t>支出增加</w:t>
      </w:r>
      <w:r>
        <w:rPr>
          <w:rFonts w:hint="eastAsia" w:ascii="仿宋" w:hAnsi="仿宋" w:eastAsia="仿宋" w:cs="Courier New"/>
          <w:sz w:val="32"/>
          <w:szCs w:val="32"/>
          <w:lang w:val="en-US" w:eastAsia="zh-CN"/>
        </w:rPr>
        <w:t>296.37</w:t>
      </w:r>
      <w:r>
        <w:rPr>
          <w:rFonts w:hint="eastAsia" w:ascii="仿宋" w:hAnsi="仿宋" w:eastAsia="仿宋" w:cs="宋体"/>
          <w:sz w:val="32"/>
          <w:szCs w:val="32"/>
        </w:rPr>
        <w:t>万元，</w:t>
      </w:r>
      <w:r>
        <w:rPr>
          <w:rFonts w:hint="eastAsia" w:ascii="仿宋" w:hAnsi="仿宋" w:eastAsia="仿宋" w:cs="Courier New"/>
          <w:sz w:val="32"/>
          <w:szCs w:val="32"/>
        </w:rPr>
        <w:t>增浮</w:t>
      </w:r>
      <w:r>
        <w:rPr>
          <w:rFonts w:hint="eastAsia" w:ascii="仿宋" w:hAnsi="仿宋" w:eastAsia="仿宋" w:cs="Courier New"/>
          <w:sz w:val="32"/>
          <w:szCs w:val="32"/>
          <w:lang w:val="en-US" w:eastAsia="zh-CN"/>
        </w:rPr>
        <w:t>12.23</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原因：有新增人员，人员经费增加。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年度收入合计</w:t>
      </w:r>
      <w:r>
        <w:rPr>
          <w:rFonts w:hint="eastAsia" w:ascii="仿宋" w:hAnsi="仿宋" w:eastAsia="仿宋" w:cs="Courier New"/>
          <w:sz w:val="32"/>
          <w:szCs w:val="32"/>
        </w:rPr>
        <w:t>2719.07</w:t>
      </w:r>
      <w:r>
        <w:rPr>
          <w:rFonts w:hint="eastAsia" w:ascii="仿宋" w:hAnsi="仿宋" w:eastAsia="仿宋" w:cs="宋体"/>
          <w:sz w:val="32"/>
          <w:szCs w:val="32"/>
        </w:rPr>
        <w:t>万元，其中：财政拨款收入</w:t>
      </w:r>
      <w:r>
        <w:rPr>
          <w:rFonts w:hint="eastAsia" w:ascii="仿宋" w:hAnsi="仿宋" w:eastAsia="仿宋" w:cs="Courier New"/>
          <w:sz w:val="32"/>
          <w:szCs w:val="32"/>
        </w:rPr>
        <w:t>2719.07</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年度支出合计</w:t>
      </w:r>
      <w:r>
        <w:rPr>
          <w:rFonts w:hint="eastAsia" w:ascii="仿宋" w:hAnsi="仿宋" w:eastAsia="仿宋" w:cs="Courier New"/>
          <w:sz w:val="32"/>
          <w:szCs w:val="32"/>
        </w:rPr>
        <w:t>2719.07</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2719.07</w:t>
      </w:r>
      <w:r>
        <w:rPr>
          <w:rFonts w:hint="eastAsia" w:ascii="仿宋" w:hAnsi="仿宋" w:eastAsia="仿宋" w:cs="宋体"/>
          <w:sz w:val="32"/>
          <w:szCs w:val="32"/>
        </w:rPr>
        <w:t>万元，占</w:t>
      </w:r>
      <w:r>
        <w:rPr>
          <w:rFonts w:hint="eastAsia" w:ascii="仿宋" w:hAnsi="仿宋" w:eastAsia="仿宋" w:cs="宋体"/>
          <w:sz w:val="32"/>
          <w:szCs w:val="32"/>
          <w:lang w:val="en-US" w:eastAsia="zh-CN"/>
        </w:rPr>
        <w:t>100</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0</w:t>
      </w:r>
      <w:r>
        <w:rPr>
          <w:rFonts w:hint="eastAsia" w:ascii="仿宋" w:hAnsi="仿宋" w:eastAsia="仿宋" w:cs="宋体"/>
          <w:sz w:val="32"/>
          <w:szCs w:val="32"/>
        </w:rPr>
        <w:t>万元，占</w:t>
      </w:r>
      <w:r>
        <w:rPr>
          <w:rFonts w:hint="eastAsia" w:ascii="仿宋" w:hAnsi="仿宋" w:eastAsia="仿宋" w:cs="宋体"/>
          <w:sz w:val="32"/>
          <w:szCs w:val="32"/>
          <w:lang w:val="en-US" w:eastAsia="zh-CN"/>
        </w:rPr>
        <w:t>0</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2719.07</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296.37</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12.23</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因人员工资增加</w:t>
      </w:r>
      <w:r>
        <w:rPr>
          <w:rFonts w:hint="eastAsia" w:ascii="仿宋" w:hAnsi="仿宋" w:eastAsia="仿宋" w:cs="Courier New"/>
          <w:sz w:val="32"/>
          <w:szCs w:val="32"/>
          <w:lang w:eastAsia="zh-CN"/>
        </w:rPr>
        <w:t>及社会保障缴费</w:t>
      </w:r>
      <w:r>
        <w:rPr>
          <w:rFonts w:hint="eastAsia" w:ascii="仿宋" w:hAnsi="仿宋" w:eastAsia="仿宋" w:cs="Courier New"/>
          <w:sz w:val="32"/>
          <w:szCs w:val="32"/>
        </w:rPr>
        <w:t>。</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rPr>
        <w:t>五</w:t>
      </w:r>
      <w:r>
        <w:rPr>
          <w:rFonts w:hint="eastAsia" w:ascii="仿宋" w:hAnsi="仿宋" w:eastAsia="仿宋"/>
          <w:sz w:val="32"/>
          <w:szCs w:val="32"/>
          <w:lang w:eastAsia="zh-CN"/>
        </w:rPr>
        <w:t>、</w:t>
      </w:r>
      <w:r>
        <w:rPr>
          <w:rFonts w:hint="eastAsia" w:ascii="仿宋" w:hAnsi="仿宋" w:eastAsia="仿宋"/>
          <w:sz w:val="32"/>
          <w:szCs w:val="32"/>
        </w:rPr>
        <w:t>一般公共预算支出预算情况说明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年财政拨款</w:t>
      </w:r>
      <w:r>
        <w:rPr>
          <w:rFonts w:hint="eastAsia" w:ascii="仿宋" w:hAnsi="仿宋" w:eastAsia="仿宋" w:cs="宋体"/>
          <w:bCs/>
          <w:color w:val="000000"/>
          <w:kern w:val="0"/>
          <w:sz w:val="32"/>
          <w:szCs w:val="32"/>
        </w:rPr>
        <w:t>支出</w:t>
      </w:r>
      <w:r>
        <w:rPr>
          <w:rFonts w:hint="eastAsia" w:ascii="仿宋" w:hAnsi="仿宋" w:eastAsia="仿宋" w:cs="Courier New"/>
          <w:bCs/>
          <w:sz w:val="32"/>
          <w:szCs w:val="32"/>
        </w:rPr>
        <w:t>2719.07</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w:t>
      </w:r>
      <w:r>
        <w:rPr>
          <w:rFonts w:hint="eastAsia" w:ascii="仿宋" w:hAnsi="仿宋" w:eastAsia="仿宋" w:cs="宋体"/>
          <w:sz w:val="32"/>
          <w:szCs w:val="32"/>
        </w:rPr>
        <w:t>其中：基本支出</w:t>
      </w:r>
      <w:r>
        <w:rPr>
          <w:rFonts w:hint="eastAsia" w:ascii="仿宋" w:hAnsi="仿宋" w:eastAsia="仿宋" w:cs="Courier New"/>
          <w:sz w:val="32"/>
          <w:szCs w:val="32"/>
          <w:lang w:val="en-US" w:eastAsia="zh-CN"/>
        </w:rPr>
        <w:t>2719.07</w:t>
      </w:r>
      <w:r>
        <w:rPr>
          <w:rFonts w:hint="eastAsia" w:ascii="仿宋" w:hAnsi="仿宋" w:eastAsia="仿宋" w:cs="宋体"/>
          <w:sz w:val="32"/>
          <w:szCs w:val="32"/>
        </w:rPr>
        <w:t>万元，占</w:t>
      </w:r>
      <w:r>
        <w:rPr>
          <w:rFonts w:hint="eastAsia" w:ascii="仿宋" w:hAnsi="仿宋" w:eastAsia="仿宋" w:cs="宋体"/>
          <w:sz w:val="32"/>
          <w:szCs w:val="32"/>
          <w:lang w:val="en-US" w:eastAsia="zh-CN"/>
        </w:rPr>
        <w:t>100</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lang w:val="en-US" w:eastAsia="zh-CN"/>
        </w:rPr>
        <w:t>8</w:t>
      </w:r>
      <w:r>
        <w:rPr>
          <w:rFonts w:hint="eastAsia" w:ascii="仿宋" w:hAnsi="仿宋" w:eastAsia="仿宋" w:cs="宋体"/>
          <w:bCs/>
          <w:sz w:val="32"/>
          <w:szCs w:val="32"/>
        </w:rPr>
        <w:t>年相比，</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296.37</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12.23</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r>
        <w:rPr>
          <w:rFonts w:hint="eastAsia" w:ascii="仿宋" w:hAnsi="仿宋" w:eastAsia="仿宋" w:cs="Courier New"/>
          <w:sz w:val="32"/>
          <w:szCs w:val="32"/>
          <w:lang w:eastAsia="zh-CN"/>
        </w:rPr>
        <w:t>及社会保障缴费</w:t>
      </w:r>
      <w:r>
        <w:rPr>
          <w:rFonts w:hint="eastAsia" w:ascii="仿宋" w:hAnsi="仿宋" w:eastAsia="仿宋" w:cs="Courier New"/>
          <w:sz w:val="32"/>
          <w:szCs w:val="32"/>
        </w:rPr>
        <w:t>。</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一般公共预算基本支出预算情况说明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年基本</w:t>
      </w:r>
      <w:r>
        <w:rPr>
          <w:rFonts w:hint="eastAsia" w:ascii="仿宋" w:hAnsi="仿宋" w:eastAsia="仿宋" w:cs="宋体"/>
          <w:bCs/>
          <w:color w:val="000000"/>
          <w:kern w:val="0"/>
          <w:sz w:val="32"/>
          <w:szCs w:val="32"/>
        </w:rPr>
        <w:t>支出</w:t>
      </w:r>
      <w:r>
        <w:rPr>
          <w:rFonts w:hint="eastAsia" w:ascii="仿宋" w:hAnsi="仿宋" w:eastAsia="仿宋" w:cs="Courier New"/>
          <w:bCs/>
          <w:sz w:val="32"/>
          <w:szCs w:val="32"/>
        </w:rPr>
        <w:t>2719.07</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lang w:val="en-US" w:eastAsia="zh-CN"/>
        </w:rPr>
        <w:t>2380.15</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主要包括：基本工资、津贴补贴、伙食补助费、绩效工资、机关事业单位基本养老保险缴费、职业年金、基本医疗保险缴费等；</w:t>
      </w:r>
      <w:r>
        <w:rPr>
          <w:rFonts w:hint="eastAsia" w:ascii="仿宋" w:hAnsi="仿宋" w:eastAsia="仿宋" w:cs="宋体"/>
          <w:b w:val="0"/>
          <w:bCs/>
          <w:spacing w:val="-1"/>
          <w:kern w:val="0"/>
          <w:sz w:val="32"/>
          <w:szCs w:val="32"/>
        </w:rPr>
        <w:t>公用经费</w:t>
      </w:r>
      <w:r>
        <w:rPr>
          <w:rFonts w:hint="eastAsia" w:ascii="仿宋" w:hAnsi="仿宋" w:eastAsia="仿宋" w:cs="宋体"/>
          <w:b w:val="0"/>
          <w:bCs/>
          <w:spacing w:val="-1"/>
          <w:kern w:val="0"/>
          <w:sz w:val="32"/>
          <w:szCs w:val="32"/>
          <w:lang w:val="en-US" w:eastAsia="zh-CN"/>
        </w:rPr>
        <w:t>338.92</w:t>
      </w:r>
      <w:r>
        <w:rPr>
          <w:rFonts w:hint="eastAsia" w:ascii="仿宋" w:hAnsi="仿宋" w:eastAsia="仿宋" w:cs="宋体"/>
          <w:b w:val="0"/>
          <w:bCs/>
          <w:spacing w:val="-2"/>
          <w:kern w:val="0"/>
          <w:sz w:val="32"/>
          <w:szCs w:val="32"/>
        </w:rPr>
        <w:t>万</w:t>
      </w:r>
      <w:r>
        <w:rPr>
          <w:rFonts w:hint="eastAsia" w:ascii="仿宋" w:hAnsi="仿宋" w:eastAsia="仿宋" w:cs="宋体"/>
          <w:spacing w:val="-2"/>
          <w:kern w:val="0"/>
          <w:sz w:val="32"/>
          <w:szCs w:val="32"/>
        </w:rPr>
        <w:t>元</w:t>
      </w:r>
      <w:r>
        <w:rPr>
          <w:rFonts w:hint="eastAsia" w:ascii="仿宋" w:hAnsi="仿宋" w:eastAsia="仿宋" w:cs="宋体"/>
          <w:sz w:val="32"/>
          <w:szCs w:val="32"/>
        </w:rPr>
        <w:t>，主要包括：办公费、印刷费、邮电费、差旅费、公务接待费、劳务费、工会经费等。</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lang w:val="en-US" w:eastAsia="zh-CN"/>
        </w:rPr>
        <w:t>20</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20</w:t>
      </w:r>
      <w:r>
        <w:rPr>
          <w:rFonts w:hint="eastAsia" w:ascii="仿宋" w:hAnsi="仿宋" w:eastAsia="仿宋" w:cs="宋体"/>
          <w:sz w:val="32"/>
          <w:szCs w:val="32"/>
        </w:rPr>
        <w:t>万元。</w:t>
      </w:r>
      <w:r>
        <w:rPr>
          <w:rFonts w:hint="eastAsia" w:ascii="仿宋" w:hAnsi="仿宋" w:eastAsia="仿宋" w:cs="Courier New"/>
          <w:b w:val="0"/>
          <w:bCs w:val="0"/>
          <w:sz w:val="32"/>
          <w:szCs w:val="32"/>
        </w:rPr>
        <w:t>按逐年递减比去年减少</w:t>
      </w:r>
      <w:r>
        <w:rPr>
          <w:rFonts w:hint="eastAsia" w:ascii="仿宋" w:hAnsi="仿宋" w:eastAsia="仿宋" w:cs="Courier New"/>
          <w:b w:val="0"/>
          <w:bCs w:val="0"/>
          <w:sz w:val="32"/>
          <w:szCs w:val="32"/>
          <w:lang w:val="en-US" w:eastAsia="zh-CN"/>
        </w:rPr>
        <w:t>9.09</w:t>
      </w:r>
      <w:r>
        <w:rPr>
          <w:rFonts w:hint="eastAsia" w:ascii="仿宋" w:hAnsi="仿宋" w:eastAsia="仿宋" w:cs="Courier New"/>
          <w:b w:val="0"/>
          <w:bCs w:val="0"/>
          <w:sz w:val="32"/>
          <w:szCs w:val="32"/>
        </w:rPr>
        <w:t>%。</w:t>
      </w:r>
      <w:r>
        <w:rPr>
          <w:rFonts w:hint="eastAsia" w:ascii="仿宋" w:hAnsi="仿宋" w:eastAsia="仿宋" w:cs="宋体"/>
          <w:sz w:val="32"/>
          <w:szCs w:val="32"/>
        </w:rPr>
        <w:t>公务接待费支出减少的主要原因是：现在公务接待的标准是同城不吃饭，禁止使用高档烟酒，禁止出入高档酒店进行招待，大大减少了公务接待费用。</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20</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lang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现有</w:t>
      </w:r>
      <w:r>
        <w:rPr>
          <w:rFonts w:hint="eastAsia" w:ascii="仿宋" w:hAnsi="仿宋" w:eastAsia="仿宋" w:cs="Courier New"/>
          <w:sz w:val="32"/>
          <w:szCs w:val="32"/>
          <w:lang w:eastAsia="zh-CN"/>
        </w:rPr>
        <w:t>公务</w:t>
      </w:r>
      <w:r>
        <w:rPr>
          <w:rFonts w:hint="eastAsia" w:ascii="仿宋" w:hAnsi="仿宋" w:eastAsia="仿宋" w:cs="Courier New"/>
          <w:sz w:val="32"/>
          <w:szCs w:val="32"/>
        </w:rPr>
        <w:t>用车一辆，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20</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信阳市浉河区财政局</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val="en-US" w:eastAsia="zh-CN"/>
        </w:rPr>
        <w:t>八</w:t>
      </w:r>
      <w:r>
        <w:rPr>
          <w:rFonts w:hint="eastAsia" w:ascii="仿宋" w:hAnsi="仿宋" w:eastAsia="仿宋"/>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lang w:val="en-US" w:eastAsia="zh-CN"/>
        </w:rPr>
        <w:t>338.92</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96.08</w:t>
      </w:r>
      <w:r>
        <w:rPr>
          <w:rFonts w:hint="eastAsia" w:ascii="仿宋" w:hAnsi="仿宋" w:eastAsia="仿宋" w:cs="宋体"/>
          <w:sz w:val="32"/>
          <w:szCs w:val="32"/>
        </w:rPr>
        <w:t>万元，</w:t>
      </w:r>
      <w:r>
        <w:rPr>
          <w:rFonts w:hint="eastAsia" w:ascii="仿宋" w:hAnsi="仿宋" w:eastAsia="仿宋" w:cs="Courier New"/>
          <w:sz w:val="32"/>
          <w:szCs w:val="32"/>
          <w:lang w:eastAsia="zh-CN"/>
        </w:rPr>
        <w:t>下降</w:t>
      </w:r>
      <w:r>
        <w:rPr>
          <w:rFonts w:hint="eastAsia" w:ascii="仿宋" w:hAnsi="仿宋" w:eastAsia="仿宋" w:cs="Courier New"/>
          <w:sz w:val="32"/>
          <w:szCs w:val="32"/>
          <w:lang w:val="en-US" w:eastAsia="zh-CN"/>
        </w:rPr>
        <w:t>22.09</w:t>
      </w:r>
      <w:r>
        <w:rPr>
          <w:rFonts w:ascii="仿宋" w:hAnsi="仿宋" w:eastAsia="仿宋" w:cs="Courier New"/>
          <w:sz w:val="32"/>
          <w:szCs w:val="32"/>
        </w:rPr>
        <w:t>%</w:t>
      </w:r>
      <w:r>
        <w:rPr>
          <w:rFonts w:hint="eastAsia" w:ascii="仿宋" w:hAnsi="仿宋" w:eastAsia="仿宋" w:cs="宋体"/>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auto"/>
          <w:sz w:val="32"/>
          <w:szCs w:val="32"/>
        </w:rPr>
      </w:pPr>
      <w:r>
        <w:rPr>
          <w:rFonts w:ascii="仿宋" w:hAnsi="仿宋" w:eastAsia="仿宋" w:cs="Courier New"/>
          <w:color w:val="auto"/>
          <w:sz w:val="32"/>
          <w:szCs w:val="32"/>
        </w:rPr>
        <w:t>201</w:t>
      </w:r>
      <w:r>
        <w:rPr>
          <w:rFonts w:hint="eastAsia" w:ascii="仿宋" w:hAnsi="仿宋" w:eastAsia="仿宋" w:cs="Courier New"/>
          <w:color w:val="auto"/>
          <w:sz w:val="32"/>
          <w:szCs w:val="32"/>
          <w:lang w:val="en-US" w:eastAsia="zh-CN"/>
        </w:rPr>
        <w:t>9</w:t>
      </w:r>
      <w:r>
        <w:rPr>
          <w:rFonts w:hint="eastAsia" w:ascii="仿宋" w:hAnsi="仿宋" w:eastAsia="仿宋" w:cs="宋体"/>
          <w:color w:val="auto"/>
          <w:sz w:val="32"/>
          <w:szCs w:val="32"/>
        </w:rPr>
        <w:t>年度政府采购支出</w:t>
      </w:r>
      <w:r>
        <w:rPr>
          <w:rFonts w:hint="eastAsia" w:ascii="仿宋" w:hAnsi="仿宋" w:eastAsia="仿宋" w:cs="Courier New"/>
          <w:color w:val="auto"/>
          <w:sz w:val="32"/>
          <w:szCs w:val="32"/>
        </w:rPr>
        <w:t>预算</w:t>
      </w:r>
      <w:r>
        <w:rPr>
          <w:rFonts w:hint="eastAsia" w:ascii="仿宋" w:hAnsi="仿宋" w:eastAsia="仿宋" w:cs="宋体"/>
          <w:color w:val="auto"/>
          <w:sz w:val="32"/>
          <w:szCs w:val="32"/>
        </w:rPr>
        <w:t>总额</w:t>
      </w:r>
      <w:r>
        <w:rPr>
          <w:rFonts w:hint="eastAsia" w:ascii="仿宋" w:hAnsi="仿宋" w:eastAsia="仿宋" w:cs="宋体"/>
          <w:color w:val="auto"/>
          <w:sz w:val="32"/>
          <w:szCs w:val="32"/>
          <w:lang w:val="en-US" w:eastAsia="zh-CN"/>
        </w:rPr>
        <w:t>10</w:t>
      </w:r>
      <w:r>
        <w:rPr>
          <w:rFonts w:hint="eastAsia" w:ascii="仿宋" w:hAnsi="仿宋" w:eastAsia="仿宋" w:cs="宋体"/>
          <w:color w:val="auto"/>
          <w:sz w:val="32"/>
          <w:szCs w:val="32"/>
        </w:rPr>
        <w:t>万元，其中：政府采购货物预算</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0万元、政府采购工程预算0万元、政府采购服务预算0万元</w:t>
      </w:r>
      <w:r>
        <w:rPr>
          <w:rFonts w:hint="eastAsia" w:ascii="仿宋" w:hAnsi="仿宋" w:eastAsia="仿宋" w:cs="宋体"/>
          <w:color w:val="auto"/>
          <w:sz w:val="32"/>
          <w:szCs w:val="32"/>
          <w:lang w:eastAsia="zh-CN"/>
        </w:rPr>
        <w:t>，</w:t>
      </w:r>
      <w:r>
        <w:rPr>
          <w:rFonts w:hint="eastAsia" w:ascii="仿宋" w:hAnsi="仿宋" w:eastAsia="仿宋" w:cs="Courier New"/>
          <w:color w:val="auto"/>
          <w:sz w:val="32"/>
          <w:szCs w:val="32"/>
        </w:rPr>
        <w:t>用于采购计算机，多功能一体机，空调。</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w:t>
      </w:r>
      <w:r>
        <w:rPr>
          <w:rFonts w:hint="eastAsia" w:ascii="仿宋" w:hAnsi="仿宋" w:eastAsia="仿宋" w:cs="宋体"/>
          <w:sz w:val="32"/>
          <w:szCs w:val="32"/>
          <w:lang w:eastAsia="zh-CN"/>
        </w:rPr>
        <w:t>信阳市浉河区财政局</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辆、一般执法执勤用车0辆、特种专业技术用车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numPr>
          <w:ilvl w:val="0"/>
          <w:numId w:val="5"/>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Courier New"/>
          <w:sz w:val="32"/>
          <w:szCs w:val="32"/>
          <w:lang w:eastAsia="zh-CN"/>
        </w:rPr>
      </w:pPr>
      <w:r>
        <w:rPr>
          <w:rFonts w:hint="eastAsia" w:ascii="仿宋" w:hAnsi="仿宋" w:eastAsia="仿宋" w:cs="Courier New"/>
          <w:sz w:val="32"/>
          <w:szCs w:val="32"/>
          <w:lang w:eastAsia="zh-CN"/>
        </w:rPr>
        <w:t>关于预算绩效管理工作开展情况说明</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Courier New"/>
          <w:sz w:val="32"/>
          <w:szCs w:val="32"/>
          <w:lang w:eastAsia="zh-CN"/>
        </w:rPr>
        <w:sectPr>
          <w:pgSz w:w="11905" w:h="16840"/>
          <w:pgMar w:top="1580" w:right="1240" w:bottom="1180" w:left="1400" w:header="0" w:footer="982" w:gutter="0"/>
          <w:pgNumType w:fmt="numberInDash"/>
          <w:cols w:space="720" w:num="1"/>
        </w:sectPr>
      </w:pPr>
      <w:r>
        <w:rPr>
          <w:rFonts w:hint="eastAsia" w:ascii="仿宋" w:hAnsi="仿宋" w:eastAsia="仿宋" w:cs="Courier New"/>
          <w:sz w:val="32"/>
          <w:szCs w:val="32"/>
          <w:lang w:eastAsia="zh-CN"/>
        </w:rPr>
        <w:t>信阳市浉河区财政局2019年没有开展项目预算绩效评价。</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color w:val="FF0000"/>
          <w:sz w:val="32"/>
          <w:szCs w:val="32"/>
        </w:rPr>
        <w:t>（请根据单位实际情况，参照《</w:t>
      </w:r>
      <w:r>
        <w:rPr>
          <w:rFonts w:ascii="仿宋" w:hAnsi="仿宋" w:eastAsia="仿宋" w:cs="Courier New"/>
          <w:b/>
          <w:bCs/>
          <w:color w:val="FF0000"/>
          <w:sz w:val="32"/>
          <w:szCs w:val="32"/>
        </w:rPr>
        <w:t>201</w:t>
      </w:r>
      <w:r>
        <w:rPr>
          <w:rFonts w:hint="eastAsia" w:ascii="仿宋" w:hAnsi="仿宋" w:eastAsia="仿宋" w:cs="Courier New"/>
          <w:b/>
          <w:bCs/>
          <w:color w:val="FF0000"/>
          <w:sz w:val="32"/>
          <w:szCs w:val="32"/>
        </w:rPr>
        <w:t>7</w:t>
      </w:r>
      <w:r>
        <w:rPr>
          <w:rFonts w:hint="eastAsia" w:ascii="仿宋" w:hAnsi="仿宋" w:eastAsia="仿宋" w:cs="宋体"/>
          <w:b/>
          <w:bCs/>
          <w:color w:val="FF0000"/>
          <w:sz w:val="32"/>
          <w:szCs w:val="32"/>
        </w:rPr>
        <w:t>年政府收支分类科目》和对口中央部门</w:t>
      </w:r>
      <w:r>
        <w:rPr>
          <w:rFonts w:hint="eastAsia" w:ascii="仿宋" w:hAnsi="仿宋" w:eastAsia="仿宋" w:cs="Courier New"/>
          <w:b/>
          <w:bCs/>
          <w:color w:val="FF0000"/>
          <w:sz w:val="32"/>
          <w:szCs w:val="32"/>
        </w:rPr>
        <w:t>预</w:t>
      </w:r>
      <w:r>
        <w:rPr>
          <w:rFonts w:hint="eastAsia" w:ascii="仿宋" w:hAnsi="仿宋" w:eastAsia="仿宋" w:cs="宋体"/>
          <w:b/>
          <w:bCs/>
          <w:color w:val="FF0000"/>
          <w:sz w:val="32"/>
          <w:szCs w:val="32"/>
        </w:rPr>
        <w:t>算公开信息填写）</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p>
      <w:pPr>
        <w:tabs>
          <w:tab w:val="left" w:pos="5972"/>
        </w:tabs>
        <w:jc w:val="right"/>
        <w:rPr>
          <w:rFonts w:hint="eastAsia" w:ascii="仿宋" w:hAnsi="仿宋" w:eastAsia="仿宋"/>
          <w:sz w:val="32"/>
          <w:szCs w:val="32"/>
          <w:lang w:eastAsia="zh-CN"/>
        </w:rPr>
      </w:pPr>
      <w:bookmarkStart w:id="0" w:name="_GoBack"/>
      <w:r>
        <w:rPr>
          <w:rFonts w:hint="eastAsia" w:ascii="仿宋" w:hAnsi="仿宋" w:eastAsia="仿宋"/>
          <w:sz w:val="32"/>
          <w:szCs w:val="32"/>
          <w:lang w:eastAsia="zh-CN"/>
        </w:rPr>
        <w:t>信阳市浉河区财政局</w:t>
      </w:r>
      <w:bookmarkEnd w:id="0"/>
    </w:p>
    <w:p>
      <w:pPr>
        <w:tabs>
          <w:tab w:val="left" w:pos="6128"/>
        </w:tabs>
        <w:jc w:val="right"/>
        <w:rPr>
          <w:rFonts w:hint="default" w:ascii="仿宋" w:hAnsi="仿宋" w:eastAsia="仿宋"/>
          <w:sz w:val="32"/>
          <w:szCs w:val="32"/>
          <w:lang w:val="en-US" w:eastAsia="zh-CN"/>
        </w:rPr>
      </w:pPr>
      <w:r>
        <w:rPr>
          <w:rFonts w:ascii="仿宋" w:hAnsi="仿宋" w:eastAsia="仿宋"/>
          <w:sz w:val="32"/>
          <w:szCs w:val="32"/>
        </w:rPr>
        <w:tab/>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16</w:t>
      </w: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C18E2"/>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64626"/>
    <w:rsid w:val="006F22F7"/>
    <w:rsid w:val="007115FD"/>
    <w:rsid w:val="00731FE8"/>
    <w:rsid w:val="00743248"/>
    <w:rsid w:val="00787823"/>
    <w:rsid w:val="007956F5"/>
    <w:rsid w:val="007B72EA"/>
    <w:rsid w:val="007F7F87"/>
    <w:rsid w:val="009766B5"/>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7D68CA"/>
    <w:rsid w:val="01901067"/>
    <w:rsid w:val="01F21A60"/>
    <w:rsid w:val="01F72F5D"/>
    <w:rsid w:val="026651AD"/>
    <w:rsid w:val="027033B1"/>
    <w:rsid w:val="03240ECA"/>
    <w:rsid w:val="04453648"/>
    <w:rsid w:val="07F31BEE"/>
    <w:rsid w:val="084B6A35"/>
    <w:rsid w:val="084D7413"/>
    <w:rsid w:val="08A93228"/>
    <w:rsid w:val="08FB3159"/>
    <w:rsid w:val="09BB2134"/>
    <w:rsid w:val="0C366EEC"/>
    <w:rsid w:val="0F54435E"/>
    <w:rsid w:val="0FAB2FE6"/>
    <w:rsid w:val="0FEF0DE6"/>
    <w:rsid w:val="113C4E6E"/>
    <w:rsid w:val="113E646F"/>
    <w:rsid w:val="11407B13"/>
    <w:rsid w:val="117A0571"/>
    <w:rsid w:val="147E551D"/>
    <w:rsid w:val="14CF37EF"/>
    <w:rsid w:val="14D2458E"/>
    <w:rsid w:val="150B6848"/>
    <w:rsid w:val="15492582"/>
    <w:rsid w:val="16B7752A"/>
    <w:rsid w:val="172517C8"/>
    <w:rsid w:val="17965762"/>
    <w:rsid w:val="17BE6092"/>
    <w:rsid w:val="17F73D7A"/>
    <w:rsid w:val="18301BDF"/>
    <w:rsid w:val="193E376D"/>
    <w:rsid w:val="1A624019"/>
    <w:rsid w:val="1C1F61CB"/>
    <w:rsid w:val="1C3B117F"/>
    <w:rsid w:val="1C970E94"/>
    <w:rsid w:val="1E2566FD"/>
    <w:rsid w:val="1E7D3B34"/>
    <w:rsid w:val="20F5460F"/>
    <w:rsid w:val="212E5315"/>
    <w:rsid w:val="23885AFD"/>
    <w:rsid w:val="23BC6C83"/>
    <w:rsid w:val="24337632"/>
    <w:rsid w:val="254B33D1"/>
    <w:rsid w:val="2555723D"/>
    <w:rsid w:val="256D2254"/>
    <w:rsid w:val="25AD6EDA"/>
    <w:rsid w:val="26434B03"/>
    <w:rsid w:val="27507D70"/>
    <w:rsid w:val="28A00886"/>
    <w:rsid w:val="28E305DC"/>
    <w:rsid w:val="29621C7E"/>
    <w:rsid w:val="2983760E"/>
    <w:rsid w:val="29B13F52"/>
    <w:rsid w:val="29ED2241"/>
    <w:rsid w:val="2ACE51FA"/>
    <w:rsid w:val="2B3009D4"/>
    <w:rsid w:val="2BA4769A"/>
    <w:rsid w:val="2C654BE7"/>
    <w:rsid w:val="2C8F6BCF"/>
    <w:rsid w:val="2CC075DB"/>
    <w:rsid w:val="2CD06EF4"/>
    <w:rsid w:val="2D9D4DA5"/>
    <w:rsid w:val="2DBF18D1"/>
    <w:rsid w:val="2E223F48"/>
    <w:rsid w:val="2E9A1990"/>
    <w:rsid w:val="2EF476F8"/>
    <w:rsid w:val="2F47056C"/>
    <w:rsid w:val="307652F7"/>
    <w:rsid w:val="30EF50F9"/>
    <w:rsid w:val="323443E0"/>
    <w:rsid w:val="325F6EF2"/>
    <w:rsid w:val="32EF005E"/>
    <w:rsid w:val="32EF40CE"/>
    <w:rsid w:val="33A76F4E"/>
    <w:rsid w:val="34416F30"/>
    <w:rsid w:val="35CC333C"/>
    <w:rsid w:val="361720D7"/>
    <w:rsid w:val="364D690A"/>
    <w:rsid w:val="36636074"/>
    <w:rsid w:val="369A3417"/>
    <w:rsid w:val="36FA2471"/>
    <w:rsid w:val="372974AC"/>
    <w:rsid w:val="38100E4B"/>
    <w:rsid w:val="38262F47"/>
    <w:rsid w:val="38D65499"/>
    <w:rsid w:val="39637962"/>
    <w:rsid w:val="39765334"/>
    <w:rsid w:val="39967F15"/>
    <w:rsid w:val="3A063830"/>
    <w:rsid w:val="3AE7177F"/>
    <w:rsid w:val="3C5769C0"/>
    <w:rsid w:val="3D57497E"/>
    <w:rsid w:val="3EA437AD"/>
    <w:rsid w:val="3EEE22CD"/>
    <w:rsid w:val="3F081D17"/>
    <w:rsid w:val="3F196290"/>
    <w:rsid w:val="3FCD07F4"/>
    <w:rsid w:val="40182E1A"/>
    <w:rsid w:val="40C11B22"/>
    <w:rsid w:val="41BC3A31"/>
    <w:rsid w:val="41CF71DE"/>
    <w:rsid w:val="42271DDB"/>
    <w:rsid w:val="42563EC6"/>
    <w:rsid w:val="42F85656"/>
    <w:rsid w:val="43E82B9D"/>
    <w:rsid w:val="44552F7B"/>
    <w:rsid w:val="457B1C96"/>
    <w:rsid w:val="468900BD"/>
    <w:rsid w:val="46F559ED"/>
    <w:rsid w:val="477D716C"/>
    <w:rsid w:val="48B52937"/>
    <w:rsid w:val="48C00F7D"/>
    <w:rsid w:val="48EE3EF3"/>
    <w:rsid w:val="48FD2BE5"/>
    <w:rsid w:val="4B2D55EB"/>
    <w:rsid w:val="4B9521CB"/>
    <w:rsid w:val="4C1E2F28"/>
    <w:rsid w:val="4DE20C7C"/>
    <w:rsid w:val="4EB0773F"/>
    <w:rsid w:val="4ED82659"/>
    <w:rsid w:val="50C2787A"/>
    <w:rsid w:val="50CF4027"/>
    <w:rsid w:val="5115239B"/>
    <w:rsid w:val="51886138"/>
    <w:rsid w:val="541D6A82"/>
    <w:rsid w:val="544677EE"/>
    <w:rsid w:val="55EA1009"/>
    <w:rsid w:val="5651051D"/>
    <w:rsid w:val="57E961A8"/>
    <w:rsid w:val="581E77CF"/>
    <w:rsid w:val="58B06254"/>
    <w:rsid w:val="58C1709D"/>
    <w:rsid w:val="59431915"/>
    <w:rsid w:val="596506AE"/>
    <w:rsid w:val="59C54792"/>
    <w:rsid w:val="5AF25131"/>
    <w:rsid w:val="5BCA31AA"/>
    <w:rsid w:val="5C0F3375"/>
    <w:rsid w:val="5D9726A2"/>
    <w:rsid w:val="5DD56AC2"/>
    <w:rsid w:val="5E886EBD"/>
    <w:rsid w:val="5EB57926"/>
    <w:rsid w:val="5ECF3FA4"/>
    <w:rsid w:val="5F130DE5"/>
    <w:rsid w:val="5F964892"/>
    <w:rsid w:val="5FB578F9"/>
    <w:rsid w:val="600176AC"/>
    <w:rsid w:val="60B8378D"/>
    <w:rsid w:val="60F22670"/>
    <w:rsid w:val="617A16DC"/>
    <w:rsid w:val="627A693C"/>
    <w:rsid w:val="62D27395"/>
    <w:rsid w:val="63FC5C35"/>
    <w:rsid w:val="65505754"/>
    <w:rsid w:val="65D72BAB"/>
    <w:rsid w:val="664A46E0"/>
    <w:rsid w:val="6796775E"/>
    <w:rsid w:val="67D84ED8"/>
    <w:rsid w:val="68500770"/>
    <w:rsid w:val="686B0051"/>
    <w:rsid w:val="687C156E"/>
    <w:rsid w:val="68E95CA0"/>
    <w:rsid w:val="68F315DE"/>
    <w:rsid w:val="69146F3B"/>
    <w:rsid w:val="69F84494"/>
    <w:rsid w:val="6ABB6698"/>
    <w:rsid w:val="6AC30185"/>
    <w:rsid w:val="6C0E7772"/>
    <w:rsid w:val="6DC12C15"/>
    <w:rsid w:val="6F2D14A1"/>
    <w:rsid w:val="6FDF24CC"/>
    <w:rsid w:val="705F045F"/>
    <w:rsid w:val="71490407"/>
    <w:rsid w:val="7156288B"/>
    <w:rsid w:val="72957115"/>
    <w:rsid w:val="72B61072"/>
    <w:rsid w:val="73F12465"/>
    <w:rsid w:val="75531EF6"/>
    <w:rsid w:val="755A7A11"/>
    <w:rsid w:val="75D0003D"/>
    <w:rsid w:val="783E1213"/>
    <w:rsid w:val="79060C93"/>
    <w:rsid w:val="7A070B19"/>
    <w:rsid w:val="7A637437"/>
    <w:rsid w:val="7BFF00E4"/>
    <w:rsid w:val="7C2C4361"/>
    <w:rsid w:val="7CEF14F8"/>
    <w:rsid w:val="7CF52FED"/>
    <w:rsid w:val="7F412ACF"/>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C311-395B-4C17-8ECD-D53259378E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1559</Words>
  <Characters>8892</Characters>
  <Lines>74</Lines>
  <Paragraphs>20</Paragraphs>
  <TotalTime>3</TotalTime>
  <ScaleCrop>false</ScaleCrop>
  <LinksUpToDate>false</LinksUpToDate>
  <CharactersWithSpaces>10431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2019-12-18T01:20:00Z</cp:lastPrinted>
  <dcterms:modified xsi:type="dcterms:W3CDTF">2021-06-18T03:12:40Z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BE08DF1B23834D389854CBCA54285ABA</vt:lpwstr>
  </property>
</Properties>
</file>