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cs="方正小标宋简体" w:asciiTheme="majorEastAsia" w:hAnsiTheme="majorEastAsia" w:eastAsiaTheme="majorEastAsia"/>
          <w:sz w:val="52"/>
          <w:szCs w:val="52"/>
        </w:rPr>
      </w:pPr>
    </w:p>
    <w:p>
      <w:pPr>
        <w:jc w:val="center"/>
        <w:rPr>
          <w:rFonts w:hint="eastAsia" w:cs="黑体" w:asciiTheme="majorEastAsia" w:hAnsiTheme="majorEastAsia" w:eastAsiaTheme="majorEastAsia"/>
          <w:b/>
          <w:sz w:val="52"/>
          <w:szCs w:val="52"/>
          <w:lang w:eastAsia="zh-CN"/>
        </w:rPr>
      </w:pPr>
      <w:r>
        <w:rPr>
          <w:rFonts w:hint="eastAsia" w:cs="隶书" w:asciiTheme="majorEastAsia" w:hAnsiTheme="majorEastAsia" w:eastAsiaTheme="majorEastAsia"/>
          <w:b/>
          <w:sz w:val="52"/>
          <w:szCs w:val="52"/>
          <w:lang w:eastAsia="zh-CN"/>
        </w:rPr>
        <w:t>中共信阳市浉河区纪律检查委员会</w:t>
      </w:r>
    </w:p>
    <w:p>
      <w:pPr>
        <w:jc w:val="center"/>
        <w:rPr>
          <w:rFonts w:cs="隶书" w:asciiTheme="majorEastAsia" w:hAnsiTheme="majorEastAsia" w:eastAsiaTheme="majorEastAsia"/>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cs="隶书" w:asciiTheme="majorEastAsia" w:hAnsiTheme="majorEastAsia" w:eastAsiaTheme="majorEastAsia"/>
          <w:b/>
          <w:sz w:val="52"/>
          <w:szCs w:val="52"/>
        </w:rPr>
        <w:t>201</w:t>
      </w:r>
      <w:r>
        <w:rPr>
          <w:rFonts w:hint="eastAsia" w:cs="隶书" w:asciiTheme="majorEastAsia" w:hAnsiTheme="majorEastAsia" w:eastAsiaTheme="majorEastAsia"/>
          <w:b/>
          <w:sz w:val="52"/>
          <w:szCs w:val="52"/>
        </w:rPr>
        <w:t>9年度部门预算公开情况</w:t>
      </w:r>
    </w:p>
    <w:p>
      <w:pPr>
        <w:jc w:val="center"/>
        <w:rPr>
          <w:rFonts w:cs="黑体" w:asciiTheme="majorEastAsia" w:hAnsiTheme="majorEastAsia" w:eastAsiaTheme="majorEastAsia"/>
          <w:sz w:val="32"/>
          <w:szCs w:val="32"/>
        </w:rPr>
      </w:pPr>
      <w:r>
        <w:rPr>
          <w:rFonts w:hint="eastAsia" w:cs="黑体" w:asciiTheme="majorEastAsia" w:hAnsiTheme="majorEastAsia" w:eastAsiaTheme="majorEastAsia"/>
          <w:sz w:val="32"/>
          <w:szCs w:val="32"/>
        </w:rPr>
        <w:t>目　　录</w:t>
      </w:r>
    </w:p>
    <w:p>
      <w:pPr>
        <w:jc w:val="left"/>
        <w:rPr>
          <w:rFonts w:cs="黑体" w:asciiTheme="majorEastAsia" w:hAnsiTheme="majorEastAsia" w:eastAsiaTheme="majorEastAsia"/>
          <w:sz w:val="32"/>
          <w:szCs w:val="32"/>
        </w:rPr>
      </w:pPr>
      <w:r>
        <w:rPr>
          <w:rFonts w:hint="eastAsia" w:cs="黑体" w:asciiTheme="majorEastAsia" w:hAnsiTheme="majorEastAsia" w:eastAsiaTheme="majorEastAsia"/>
          <w:sz w:val="32"/>
          <w:szCs w:val="32"/>
        </w:rPr>
        <w:t>第一部分　　</w:t>
      </w:r>
      <w:r>
        <w:rPr>
          <w:rFonts w:hint="eastAsia" w:cs="黑体" w:asciiTheme="majorEastAsia" w:hAnsiTheme="majorEastAsia" w:eastAsiaTheme="majorEastAsia"/>
          <w:sz w:val="32"/>
          <w:szCs w:val="32"/>
          <w:lang w:eastAsia="zh-CN"/>
        </w:rPr>
        <w:t>中共信阳市浉河区纪律检查委员会</w:t>
      </w:r>
      <w:r>
        <w:rPr>
          <w:rFonts w:hint="eastAsia" w:cs="黑体" w:asciiTheme="majorEastAsia" w:hAnsiTheme="majorEastAsia" w:eastAsiaTheme="majorEastAsia"/>
          <w:sz w:val="32"/>
          <w:szCs w:val="32"/>
        </w:rPr>
        <w:t>概况</w:t>
      </w:r>
    </w:p>
    <w:p>
      <w:pPr>
        <w:numPr>
          <w:ilvl w:val="0"/>
          <w:numId w:val="1"/>
        </w:numPr>
        <w:jc w:val="left"/>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主要职能</w:t>
      </w:r>
    </w:p>
    <w:p>
      <w:pPr>
        <w:numPr>
          <w:ilvl w:val="0"/>
          <w:numId w:val="1"/>
        </w:numPr>
        <w:jc w:val="left"/>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部门预算单位构成</w:t>
      </w:r>
    </w:p>
    <w:p>
      <w:pPr>
        <w:spacing w:line="360" w:lineRule="auto"/>
        <w:jc w:val="left"/>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三、机构设置及主要职责</w:t>
      </w:r>
    </w:p>
    <w:p>
      <w:pPr>
        <w:jc w:val="left"/>
        <w:rPr>
          <w:rFonts w:cs="黑体" w:asciiTheme="majorEastAsia" w:hAnsiTheme="majorEastAsia" w:eastAsiaTheme="majorEastAsia"/>
          <w:sz w:val="32"/>
          <w:szCs w:val="32"/>
        </w:rPr>
      </w:pPr>
      <w:r>
        <w:rPr>
          <w:rFonts w:hint="eastAsia" w:cs="黑体" w:asciiTheme="majorEastAsia" w:hAnsiTheme="majorEastAsia" w:eastAsiaTheme="majorEastAsia"/>
          <w:sz w:val="32"/>
          <w:szCs w:val="32"/>
        </w:rPr>
        <w:t>第二部分　　</w:t>
      </w:r>
      <w:r>
        <w:rPr>
          <w:rFonts w:hint="eastAsia" w:cs="黑体" w:asciiTheme="majorEastAsia" w:hAnsiTheme="majorEastAsia" w:eastAsiaTheme="majorEastAsia"/>
          <w:sz w:val="32"/>
          <w:szCs w:val="32"/>
          <w:lang w:eastAsia="zh-CN"/>
        </w:rPr>
        <w:t>中共信阳市浉河区纪律检查委员会</w:t>
      </w:r>
      <w:r>
        <w:rPr>
          <w:rFonts w:cs="黑体" w:asciiTheme="majorEastAsia" w:hAnsiTheme="majorEastAsia" w:eastAsiaTheme="majorEastAsia"/>
          <w:sz w:val="32"/>
          <w:szCs w:val="32"/>
        </w:rPr>
        <w:t>201</w:t>
      </w:r>
      <w:r>
        <w:rPr>
          <w:rFonts w:hint="eastAsia" w:cs="黑体" w:asciiTheme="majorEastAsia" w:hAnsiTheme="majorEastAsia" w:eastAsiaTheme="majorEastAsia"/>
          <w:sz w:val="32"/>
          <w:szCs w:val="32"/>
        </w:rPr>
        <w:t>9年度部门预算表</w:t>
      </w:r>
    </w:p>
    <w:p>
      <w:pPr>
        <w:jc w:val="left"/>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一、收支总体情况表</w:t>
      </w:r>
    </w:p>
    <w:p>
      <w:pPr>
        <w:jc w:val="left"/>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二、收入总体情况表</w:t>
      </w:r>
    </w:p>
    <w:p>
      <w:pPr>
        <w:jc w:val="left"/>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三、支出总体情况表</w:t>
      </w:r>
    </w:p>
    <w:p>
      <w:pPr>
        <w:jc w:val="left"/>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四、财政拨款收支总体情况表</w:t>
      </w:r>
    </w:p>
    <w:p>
      <w:pPr>
        <w:jc w:val="left"/>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五、一般公共预算支出情况表</w:t>
      </w:r>
    </w:p>
    <w:p>
      <w:pPr>
        <w:jc w:val="left"/>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六、一般公共预算基本支出情况表</w:t>
      </w:r>
    </w:p>
    <w:p>
      <w:pPr>
        <w:jc w:val="left"/>
        <w:rPr>
          <w:rFonts w:cs="宋体" w:asciiTheme="majorEastAsia" w:hAnsiTheme="majorEastAsia" w:eastAsiaTheme="majorEastAsia"/>
          <w:sz w:val="32"/>
          <w:szCs w:val="32"/>
        </w:rPr>
      </w:pPr>
      <w:r>
        <w:rPr>
          <w:rFonts w:hint="eastAsia" w:cs="宋体" w:asciiTheme="majorEastAsia" w:hAnsiTheme="majorEastAsia" w:eastAsiaTheme="majorEastAsia"/>
          <w:sz w:val="32"/>
          <w:szCs w:val="32"/>
        </w:rPr>
        <w:t>七、一般公共预算“三公”经费支出情况表</w:t>
      </w:r>
    </w:p>
    <w:p>
      <w:pPr>
        <w:jc w:val="left"/>
        <w:rPr>
          <w:rFonts w:hint="eastAsia" w:cs="宋体" w:asciiTheme="majorEastAsia" w:hAnsiTheme="majorEastAsia" w:eastAsiaTheme="majorEastAsia"/>
          <w:sz w:val="32"/>
          <w:szCs w:val="32"/>
        </w:rPr>
      </w:pPr>
      <w:r>
        <w:rPr>
          <w:rFonts w:hint="eastAsia" w:cs="宋体" w:asciiTheme="majorEastAsia" w:hAnsiTheme="majorEastAsia" w:eastAsiaTheme="majorEastAsia"/>
          <w:sz w:val="32"/>
          <w:szCs w:val="32"/>
        </w:rPr>
        <w:t>八、政府性基金支出情况表</w:t>
      </w:r>
    </w:p>
    <w:p>
      <w:pPr>
        <w:jc w:val="left"/>
        <w:rPr>
          <w:rFonts w:cs="黑体" w:asciiTheme="majorEastAsia" w:hAnsiTheme="majorEastAsia" w:eastAsiaTheme="majorEastAsia"/>
          <w:sz w:val="32"/>
          <w:szCs w:val="32"/>
        </w:rPr>
      </w:pPr>
      <w:r>
        <w:rPr>
          <w:rFonts w:hint="eastAsia" w:cs="黑体" w:asciiTheme="majorEastAsia" w:hAnsiTheme="majorEastAsia" w:eastAsiaTheme="majorEastAsia"/>
          <w:sz w:val="32"/>
          <w:szCs w:val="32"/>
        </w:rPr>
        <w:t>第三部分　　</w:t>
      </w:r>
      <w:r>
        <w:rPr>
          <w:rFonts w:hint="eastAsia" w:cs="黑体" w:asciiTheme="majorEastAsia" w:hAnsiTheme="majorEastAsia" w:eastAsiaTheme="majorEastAsia"/>
          <w:sz w:val="32"/>
          <w:szCs w:val="32"/>
          <w:lang w:eastAsia="zh-CN"/>
        </w:rPr>
        <w:t>中共信阳市浉河区纪律检查委员会</w:t>
      </w:r>
      <w:r>
        <w:rPr>
          <w:rFonts w:cs="黑体" w:asciiTheme="majorEastAsia" w:hAnsiTheme="majorEastAsia" w:eastAsiaTheme="majorEastAsia"/>
          <w:sz w:val="32"/>
          <w:szCs w:val="32"/>
        </w:rPr>
        <w:t>201</w:t>
      </w:r>
      <w:r>
        <w:rPr>
          <w:rFonts w:hint="eastAsia" w:cs="黑体" w:asciiTheme="majorEastAsia" w:hAnsiTheme="majorEastAsia" w:eastAsiaTheme="majorEastAsia"/>
          <w:sz w:val="32"/>
          <w:szCs w:val="32"/>
        </w:rPr>
        <w:t>9年度部门预算情况说明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cs="黑体" w:asciiTheme="majorEastAsia" w:hAnsiTheme="majorEastAsia" w:eastAsiaTheme="majorEastAsia"/>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cs="隶书" w:asciiTheme="majorEastAsia" w:hAnsiTheme="majorEastAsia" w:eastAsiaTheme="majorEastAsia"/>
          <w:b/>
          <w:sz w:val="52"/>
          <w:szCs w:val="52"/>
        </w:rPr>
      </w:pPr>
      <w:r>
        <w:rPr>
          <w:rFonts w:hint="eastAsia" w:cs="隶书" w:asciiTheme="majorEastAsia" w:hAnsiTheme="majorEastAsia" w:eastAsiaTheme="majorEastAsia"/>
          <w:b/>
          <w:sz w:val="52"/>
          <w:szCs w:val="52"/>
        </w:rPr>
        <w:t>第一部分　　</w:t>
      </w:r>
      <w:r>
        <w:rPr>
          <w:rFonts w:hint="eastAsia" w:cs="隶书" w:asciiTheme="majorEastAsia" w:hAnsiTheme="majorEastAsia" w:eastAsiaTheme="majorEastAsia"/>
          <w:b/>
          <w:sz w:val="52"/>
          <w:szCs w:val="52"/>
          <w:lang w:eastAsia="zh-CN"/>
        </w:rPr>
        <w:t>中共信阳市浉河区纪律检查委员会</w:t>
      </w:r>
      <w:r>
        <w:rPr>
          <w:rFonts w:hint="eastAsia" w:cs="隶书" w:asciiTheme="majorEastAsia" w:hAnsiTheme="majorEastAsia" w:eastAsiaTheme="majorEastAsia"/>
          <w:b/>
          <w:sz w:val="52"/>
          <w:szCs w:val="52"/>
        </w:rPr>
        <w:t>概况</w:t>
      </w:r>
    </w:p>
    <w:p>
      <w:pPr>
        <w:jc w:val="center"/>
        <w:outlineLvl w:val="0"/>
        <w:rPr>
          <w:rFonts w:cs="隶书" w:asciiTheme="majorEastAsia" w:hAnsiTheme="majorEastAsia" w:eastAsiaTheme="majorEastAsia"/>
          <w:sz w:val="52"/>
          <w:szCs w:val="52"/>
        </w:rPr>
      </w:pPr>
    </w:p>
    <w:p>
      <w:pPr>
        <w:jc w:val="center"/>
        <w:outlineLvl w:val="0"/>
        <w:rPr>
          <w:rFonts w:cs="隶书" w:asciiTheme="majorEastAsia" w:hAnsiTheme="majorEastAsia" w:eastAsiaTheme="majorEastAsia"/>
          <w:sz w:val="52"/>
          <w:szCs w:val="5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pStyle w:val="13"/>
        <w:numPr>
          <w:ilvl w:val="0"/>
          <w:numId w:val="2"/>
        </w:numPr>
        <w:ind w:firstLineChars="0"/>
        <w:rPr>
          <w:rFonts w:asciiTheme="majorEastAsia" w:hAnsiTheme="majorEastAsia" w:eastAsiaTheme="majorEastAsia"/>
          <w:b/>
          <w:sz w:val="32"/>
          <w:szCs w:val="32"/>
        </w:rPr>
      </w:pPr>
      <w:r>
        <w:rPr>
          <w:rFonts w:hint="eastAsia" w:asciiTheme="majorEastAsia" w:hAnsiTheme="majorEastAsia" w:eastAsiaTheme="majorEastAsia"/>
          <w:b/>
          <w:sz w:val="32"/>
          <w:szCs w:val="32"/>
        </w:rPr>
        <w:t>部门基本情况</w:t>
      </w:r>
    </w:p>
    <w:p>
      <w:pPr>
        <w:numPr>
          <w:ilvl w:val="0"/>
          <w:numId w:val="3"/>
        </w:numPr>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部门机构设置、职能</w:t>
      </w:r>
    </w:p>
    <w:p>
      <w:pPr>
        <w:ind w:firstLine="640"/>
        <w:rPr>
          <w:rFonts w:asciiTheme="majorEastAsia" w:hAnsiTheme="majorEastAsia" w:eastAsiaTheme="majorEastAsia" w:cstheme="majorEastAsia"/>
          <w:snapToGrid w:val="0"/>
          <w:kern w:val="0"/>
          <w:sz w:val="32"/>
          <w:szCs w:val="32"/>
        </w:rPr>
      </w:pPr>
      <w:r>
        <w:rPr>
          <w:rFonts w:hint="eastAsia" w:asciiTheme="majorEastAsia" w:hAnsiTheme="majorEastAsia" w:eastAsiaTheme="majorEastAsia" w:cstheme="minorEastAsia"/>
          <w:sz w:val="32"/>
          <w:szCs w:val="32"/>
        </w:rPr>
        <w:t>单位机关内设 16个职能科室,下属3个事业科室。主要职责是：</w:t>
      </w:r>
      <w:r>
        <w:rPr>
          <w:rFonts w:hint="eastAsia" w:asciiTheme="majorEastAsia" w:hAnsiTheme="majorEastAsia" w:eastAsiaTheme="majorEastAsia" w:cstheme="minorEastAsia"/>
          <w:color w:val="000000"/>
          <w:sz w:val="32"/>
          <w:szCs w:val="32"/>
        </w:rPr>
        <w:t>一是负责贯彻落实中央、中央纪委、省委、省纪委、市委、市纪委、区委关于加强党风廉政建设的决定，实施党章规定范围内的监督，维护党的章程和党内法规，检查党的路线、方针、政策和决议的执行情况，重点检查科级党员领导干部执行党的路线、方针、政策情况及思想作风方面的问题；负责反腐败的组织协调工作，协助区委抓好党风廉政建设。二是负责检查处理区委、区政府各部门、各乡镇办党的组织、区委管理的党员领导干部违反党的章程及党内法规的案件，决定或取消对这些案件中党员的处分</w:t>
      </w:r>
      <w:r>
        <w:rPr>
          <w:rFonts w:hint="eastAsia" w:asciiTheme="majorEastAsia" w:hAnsiTheme="majorEastAsia" w:eastAsiaTheme="majorEastAsia" w:cstheme="majorEastAsia"/>
          <w:color w:val="000000"/>
          <w:sz w:val="32"/>
          <w:szCs w:val="32"/>
        </w:rPr>
        <w:t>；</w:t>
      </w:r>
      <w:r>
        <w:rPr>
          <w:rFonts w:hint="eastAsia" w:asciiTheme="majorEastAsia" w:hAnsiTheme="majorEastAsia" w:eastAsiaTheme="majorEastAsia" w:cstheme="majorEastAsia"/>
          <w:snapToGrid w:val="0"/>
          <w:kern w:val="0"/>
          <w:sz w:val="32"/>
          <w:szCs w:val="32"/>
        </w:rPr>
        <w:t>受理党员的控告和申诉；必要时直接查处下级党的纪律检查组织管辖范围内比较重要复杂的案件。三是负责维护宪法和法律法规权威；依法监察公职人员行使公权力情况，调查职务违法和职务犯罪；开展廉政建设和反腐败工作。四是负责调查公职人员违反国家政策、法规法规的行为，并根据责任人存在的问题和所犯错误的情节轻重，作出相应处置，报上级领导机关审批；受理监察对象的申诉，受理个人或单位对监察对象违纪违法行为的检举、控告；保护监察对象的合法权益。五是负责作出关于维护党纪政纪的决定，制定全区党风党纪教育规划；会同有关部门做好党的纪律检查和监察工作方针、政策和法律法规的宣传教育工作。六是负责对党的纪律检查工作政策、理论及有关问题进行调查研究。七是调查了解区政府各部门和各乡镇办事处制定的有关政策情况，对违反国家法律和有损国家利益的条款提出修改建议；变更或撤销下级纪检监察机构不适当的决定和规定。八是会同有关部门做好纪检监察干部的管理工作，审核各乡镇、办事处纪检监察领导班子及人选；对区直纪检监察派驻人员实行统一管理，由</w:t>
      </w:r>
      <w:r>
        <w:rPr>
          <w:rFonts w:hint="eastAsia" w:asciiTheme="majorEastAsia" w:hAnsiTheme="majorEastAsia" w:eastAsiaTheme="majorEastAsia" w:cstheme="majorEastAsia"/>
          <w:snapToGrid w:val="0"/>
          <w:kern w:val="0"/>
          <w:sz w:val="32"/>
          <w:szCs w:val="32"/>
          <w:lang w:eastAsia="zh-CN"/>
        </w:rPr>
        <w:t>中共信阳市浉河区纪律检查委员会</w:t>
      </w:r>
      <w:r>
        <w:rPr>
          <w:rFonts w:hint="eastAsia" w:asciiTheme="majorEastAsia" w:hAnsiTheme="majorEastAsia" w:eastAsiaTheme="majorEastAsia" w:cstheme="majorEastAsia"/>
          <w:snapToGrid w:val="0"/>
          <w:kern w:val="0"/>
          <w:sz w:val="32"/>
          <w:szCs w:val="32"/>
        </w:rPr>
        <w:t>商区委组织部对派驻单位区管干部进行提名并负责科级干部的任免工作；组织和指导全区纪检监察系统干部培训和组织建设工作。九是负责全区预防腐败工作的组织协调、综合规划、政策制定、监督检查等工作；协调指导机关、企事业单位、社会团体、中介机构和其他社会组织的预防腐败工作。十是承办区委、区政府交办的其他事项。</w:t>
      </w:r>
    </w:p>
    <w:p>
      <w:pPr>
        <w:rPr>
          <w:rFonts w:asciiTheme="majorEastAsia" w:hAnsiTheme="majorEastAsia" w:eastAsiaTheme="majorEastAsia"/>
          <w:sz w:val="32"/>
          <w:szCs w:val="32"/>
        </w:rPr>
      </w:pPr>
      <w:r>
        <w:rPr>
          <w:rFonts w:hint="eastAsia" w:asciiTheme="majorEastAsia" w:hAnsiTheme="majorEastAsia" w:eastAsiaTheme="majorEastAsia"/>
          <w:sz w:val="32"/>
          <w:szCs w:val="32"/>
        </w:rPr>
        <w:t>（二）人员编制基本情况：</w:t>
      </w:r>
    </w:p>
    <w:p>
      <w:pPr>
        <w:ind w:firstLine="800" w:firstLineChars="250"/>
        <w:rPr>
          <w:rFonts w:asciiTheme="majorEastAsia" w:hAnsiTheme="majorEastAsia" w:eastAsiaTheme="majorEastAsia"/>
          <w:sz w:val="32"/>
          <w:szCs w:val="32"/>
        </w:rPr>
      </w:pPr>
      <w:r>
        <w:rPr>
          <w:rFonts w:hint="eastAsia" w:asciiTheme="majorEastAsia" w:hAnsiTheme="majorEastAsia" w:eastAsiaTheme="majorEastAsia"/>
          <w:sz w:val="32"/>
          <w:szCs w:val="32"/>
        </w:rPr>
        <w:t>1、人员编制数共计63人。其中行政46人，全供事业15人，行政工勤编2人。实有在职人员数54人。其中行政46人，工勤2人，全供事业6人，退休7人。</w:t>
      </w:r>
    </w:p>
    <w:p>
      <w:pPr>
        <w:spacing w:line="360" w:lineRule="auto"/>
        <w:ind w:left="640"/>
        <w:jc w:val="left"/>
        <w:outlineLvl w:val="1"/>
        <w:rPr>
          <w:rFonts w:cs="黑体" w:asciiTheme="majorEastAsia" w:hAnsiTheme="majorEastAsia" w:eastAsiaTheme="majorEastAsia"/>
          <w:sz w:val="32"/>
          <w:szCs w:val="32"/>
        </w:rPr>
      </w:pPr>
      <w:r>
        <w:rPr>
          <w:rFonts w:hint="eastAsia" w:cs="黑体" w:asciiTheme="majorEastAsia" w:hAnsiTheme="majorEastAsia" w:eastAsiaTheme="majorEastAsia"/>
          <w:sz w:val="32"/>
          <w:szCs w:val="32"/>
        </w:rPr>
        <w:t>二、部门预算单位构成</w:t>
      </w:r>
    </w:p>
    <w:p>
      <w:pPr>
        <w:spacing w:line="600" w:lineRule="exact"/>
        <w:ind w:firstLine="640" w:firstLineChars="200"/>
        <w:rPr>
          <w:rFonts w:hint="eastAsia" w:cs="黑体" w:asciiTheme="majorEastAsia" w:hAnsiTheme="majorEastAsia" w:eastAsiaTheme="majorEastAsia"/>
          <w:snapToGrid w:val="0"/>
          <w:kern w:val="0"/>
          <w:sz w:val="32"/>
          <w:szCs w:val="32"/>
        </w:rPr>
      </w:pPr>
      <w:r>
        <w:rPr>
          <w:rFonts w:hint="eastAsia" w:ascii="宋体" w:hAnsi="宋体" w:eastAsia="宋体" w:cs="宋体"/>
          <w:color w:val="000000"/>
          <w:sz w:val="32"/>
          <w:szCs w:val="32"/>
        </w:rPr>
        <w:t>纳入</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ascii="宋体" w:hAnsi="宋体" w:eastAsia="宋体" w:cs="宋体"/>
          <w:color w:val="000000"/>
          <w:sz w:val="32"/>
          <w:szCs w:val="32"/>
        </w:rPr>
        <w:t>201</w:t>
      </w:r>
      <w:r>
        <w:rPr>
          <w:rFonts w:hint="eastAsia" w:ascii="宋体" w:hAnsi="宋体" w:cs="宋体"/>
          <w:color w:val="000000"/>
          <w:sz w:val="32"/>
          <w:szCs w:val="32"/>
          <w:lang w:val="en-US" w:eastAsia="zh-CN"/>
        </w:rPr>
        <w:t>9</w:t>
      </w:r>
      <w:r>
        <w:rPr>
          <w:rFonts w:hint="eastAsia" w:ascii="宋体" w:hAnsi="宋体" w:eastAsia="宋体" w:cs="宋体"/>
          <w:color w:val="000000"/>
          <w:sz w:val="32"/>
          <w:szCs w:val="32"/>
        </w:rPr>
        <w:t>年度部门预算编制范围包括</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ascii="宋体" w:hAnsi="宋体" w:eastAsia="宋体" w:cs="宋体"/>
          <w:color w:val="000000"/>
          <w:sz w:val="32"/>
          <w:szCs w:val="32"/>
        </w:rPr>
        <w:t>本级预算</w:t>
      </w:r>
      <w:r>
        <w:rPr>
          <w:rFonts w:hint="eastAsia" w:ascii="宋体" w:hAnsi="宋体" w:cs="宋体"/>
          <w:color w:val="000000"/>
          <w:sz w:val="32"/>
          <w:szCs w:val="32"/>
          <w:lang w:eastAsia="zh-CN"/>
        </w:rPr>
        <w:t>，</w:t>
      </w:r>
      <w:r>
        <w:rPr>
          <w:rFonts w:hint="eastAsia" w:ascii="宋体" w:hAnsi="宋体" w:eastAsia="宋体" w:cs="宋体"/>
          <w:color w:val="000000"/>
          <w:sz w:val="32"/>
          <w:szCs w:val="32"/>
        </w:rPr>
        <w:t>和所属单位预算在内的汇总预算。</w:t>
      </w:r>
    </w:p>
    <w:p>
      <w:pPr>
        <w:spacing w:line="360" w:lineRule="auto"/>
        <w:ind w:left="580"/>
        <w:jc w:val="left"/>
        <w:rPr>
          <w:rFonts w:cs="黑体" w:asciiTheme="majorEastAsia" w:hAnsiTheme="majorEastAsia" w:eastAsiaTheme="majorEastAsia"/>
          <w:snapToGrid w:val="0"/>
          <w:kern w:val="0"/>
          <w:sz w:val="32"/>
          <w:szCs w:val="32"/>
        </w:rPr>
      </w:pPr>
      <w:r>
        <w:rPr>
          <w:rFonts w:hint="eastAsia" w:cs="黑体" w:asciiTheme="majorEastAsia" w:hAnsiTheme="majorEastAsia" w:eastAsiaTheme="majorEastAsia"/>
          <w:snapToGrid w:val="0"/>
          <w:kern w:val="0"/>
          <w:sz w:val="32"/>
          <w:szCs w:val="32"/>
        </w:rPr>
        <w:t>三、机构设置及主要职责</w:t>
      </w:r>
    </w:p>
    <w:p>
      <w:pPr>
        <w:spacing w:line="580" w:lineRule="exact"/>
        <w:ind w:firstLine="960" w:firstLineChars="300"/>
        <w:rPr>
          <w:rFonts w:hint="eastAsia" w:cs="仿宋_GB2312" w:asciiTheme="majorEastAsia" w:hAnsiTheme="majorEastAsia" w:eastAsiaTheme="majorEastAsia"/>
          <w:snapToGrid w:val="0"/>
          <w:kern w:val="0"/>
          <w:sz w:val="32"/>
          <w:szCs w:val="32"/>
          <w:lang w:eastAsia="zh-CN"/>
        </w:rPr>
      </w:pPr>
      <w:r>
        <w:rPr>
          <w:rFonts w:hint="eastAsia" w:cs="仿宋_GB2312" w:asciiTheme="majorEastAsia" w:hAnsiTheme="majorEastAsia" w:eastAsiaTheme="majorEastAsia"/>
          <w:snapToGrid w:val="0"/>
          <w:kern w:val="0"/>
          <w:sz w:val="32"/>
          <w:szCs w:val="32"/>
        </w:rPr>
        <w:t>根据上述职责，</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区监察委）机关设16个内设机构。具体设置情况是：办公室、组织部、宣传部、信访室、案件监督管理室、第一、二、三执纪监督室、第一、二、三、四、五、六审查调查室、案件审理室、纪检监察干部监督室。</w:t>
      </w:r>
      <w:r>
        <w:rPr>
          <w:rFonts w:hint="eastAsia" w:asciiTheme="majorEastAsia" w:hAnsiTheme="majorEastAsia" w:eastAsiaTheme="majorEastAsia" w:cstheme="minorEastAsia"/>
          <w:sz w:val="32"/>
          <w:szCs w:val="32"/>
        </w:rPr>
        <w:t>下属</w:t>
      </w:r>
      <w:r>
        <w:rPr>
          <w:rFonts w:hint="eastAsia" w:asciiTheme="majorEastAsia" w:hAnsiTheme="majorEastAsia" w:eastAsiaTheme="majorEastAsia" w:cstheme="minorEastAsia"/>
          <w:sz w:val="32"/>
          <w:szCs w:val="32"/>
          <w:lang w:eastAsia="zh-CN"/>
        </w:rPr>
        <w:t>4个事业单位，1.党风政风监督室2.以案促改室3.调研法规室4.信息化网络建设管理室。</w:t>
      </w:r>
    </w:p>
    <w:p>
      <w:pPr>
        <w:spacing w:line="540" w:lineRule="exact"/>
        <w:ind w:firstLine="643" w:firstLineChars="200"/>
        <w:rPr>
          <w:rFonts w:cs="仿宋_GB2312" w:asciiTheme="majorEastAsia" w:hAnsiTheme="majorEastAsia" w:eastAsiaTheme="majorEastAsia"/>
          <w:b/>
          <w:bCs/>
          <w:snapToGrid w:val="0"/>
          <w:kern w:val="0"/>
          <w:sz w:val="32"/>
          <w:szCs w:val="32"/>
        </w:rPr>
      </w:pPr>
      <w:r>
        <w:rPr>
          <w:rFonts w:hint="eastAsia" w:cs="仿宋_GB2312" w:asciiTheme="majorEastAsia" w:hAnsiTheme="majorEastAsia" w:eastAsiaTheme="majorEastAsia"/>
          <w:b/>
          <w:bCs/>
          <w:snapToGrid w:val="0"/>
          <w:kern w:val="0"/>
          <w:sz w:val="32"/>
          <w:szCs w:val="32"/>
        </w:rPr>
        <w:t>（一）办公室</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1.负责处理机关日常事务，负责</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全委会、常委会议、区监察委办公会议及其他重要会议和活动的筹备组织工作，负责与</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委员的联系。</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2.负责汇总全区党风廉政建设和反腐败工作情况，起草有关综合业务文稿，编发通报和信息，审核以</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（区监察委）及</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办公室名义发布的公文;</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3.督促检查区委领导批办交办事项的落实情况，以及</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全委会工作部署和</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常委会议、区监察委办公会议决定事项及</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、区监察委领导批办交办事项的落实情况，汇总</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贯彻落实区委党建工作领导小组分工任务情况，组织协调有关人大代表建议和政协委员提案答复工作，组织协调特邀监察员工作;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4.协调机关机要文件的办理和运行管理，保管、使用</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（区监察委）及</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办公室、区监察委办公室印章，负责制发机关各部门、直属单位及派驻机构印章，负责机关保密工作，协调纪检监察系统密码管理工作;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5.负责机关对外联络接洽、秘书、值班工作;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6.统筹指导归档工作，负责机关及派驻机构文书、音像等档案管理，编辑整理有关档案材料;</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7.协调机关有关工作，指导全区纪检监察系统的办公室工作;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8.负责本部门干部日常管理和监督，承办领导交办的其他事项。</w:t>
      </w:r>
    </w:p>
    <w:p>
      <w:pPr>
        <w:spacing w:line="540" w:lineRule="exact"/>
        <w:ind w:firstLine="643" w:firstLineChars="200"/>
        <w:rPr>
          <w:rFonts w:cs="仿宋_GB2312" w:asciiTheme="majorEastAsia" w:hAnsiTheme="majorEastAsia" w:eastAsiaTheme="majorEastAsia"/>
          <w:b/>
          <w:bCs/>
          <w:snapToGrid w:val="0"/>
          <w:kern w:val="0"/>
          <w:sz w:val="32"/>
          <w:szCs w:val="32"/>
        </w:rPr>
      </w:pPr>
      <w:r>
        <w:rPr>
          <w:rFonts w:hint="eastAsia" w:cs="仿宋_GB2312" w:asciiTheme="majorEastAsia" w:hAnsiTheme="majorEastAsia" w:eastAsiaTheme="majorEastAsia"/>
          <w:b/>
          <w:bCs/>
          <w:snapToGrid w:val="0"/>
          <w:kern w:val="0"/>
          <w:sz w:val="32"/>
          <w:szCs w:val="32"/>
        </w:rPr>
        <w:t>（二）组织部</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1.负责全区纪检监察系统领导班子建设、干部队伍建设和组织建设的综合规划、政策研究和制度建设；</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2.负责机关干部队伍建设，承办有关机构编制、干部人事、人员档案、工资福利等工作，配合机关党支部督促机关各部门加强干部日常管理和监督；</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3.负责承办</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（区监察委）统一管理的派驻（出）纪检监察机构领导班子和干部队伍建设以及有关综合协调工作，承办有关机构编制、干部人事、人员档案等工作；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4.会同有关部门，负责</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派出纪工委领导班子考察、任免及组织建设等相关工作；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5.会同有关部门，负责区直单位内设纪检机构领导班子和组织建设，承办相关干部人事工作；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6.会同有关部门，负责区管院校、区管国有企业纪检机构领导班子和组织建设，承办相关干部人事工作；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7.会同有关部门，负责乡镇办事处纪检监察机关领导班子建设，承办乡镇办事处纪(工)委书记、副书记提名、考察以及纪检监察室主任、副主任人选审核等干部人事工作，指导全区纪检监察机关队伍建设和组织建设；</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8.负责全区纪检监察系统干部教育培训工作，承办全区纪检监察干部赴国（境）外考察、进修、培训事宜；会同有关部门承办对全国、全省、全市、全区纪检监察系统的表彰、奖励工作；负责机关及统管的派驻（出）机构因公临时出国（境）备案和因私出国（境）办理等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9.组织办理区管干部任职前廉政回复工作；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10.负责本部门干部日常管理和监督，承办领导交办的其他事项。</w:t>
      </w:r>
    </w:p>
    <w:p>
      <w:pPr>
        <w:spacing w:line="540" w:lineRule="exact"/>
        <w:ind w:firstLine="643" w:firstLineChars="200"/>
        <w:rPr>
          <w:rFonts w:cs="仿宋_GB2312" w:asciiTheme="majorEastAsia" w:hAnsiTheme="majorEastAsia" w:eastAsiaTheme="majorEastAsia"/>
          <w:b/>
          <w:bCs/>
          <w:snapToGrid w:val="0"/>
          <w:kern w:val="0"/>
          <w:sz w:val="32"/>
          <w:szCs w:val="32"/>
        </w:rPr>
      </w:pPr>
      <w:r>
        <w:rPr>
          <w:rFonts w:hint="eastAsia" w:cs="仿宋_GB2312" w:asciiTheme="majorEastAsia" w:hAnsiTheme="majorEastAsia" w:eastAsiaTheme="majorEastAsia"/>
          <w:b/>
          <w:bCs/>
          <w:snapToGrid w:val="0"/>
          <w:kern w:val="0"/>
          <w:sz w:val="32"/>
          <w:szCs w:val="32"/>
        </w:rPr>
        <w:t>（三）宣传部</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1.负责组织协调全区党风廉政建设和反腐败宣传工作，组织开展相关法律法规、理论政策、形势任务、决策部署、成效经验和先进典型等宣传及舆论引导工作；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2.负责组织协调全区党风廉政建设和反腐败教育工作，开展对全区党员、公务员的理想信念和宗旨教育、党风党纪和廉洁自律教育，组织协调全区廉政文化建设；</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3.负责机关的新闻事务和机关新闻发布的日常工作，组织协调全区党风廉政建设和反腐败信息传播工作；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4.负责组织协调全区党风廉政建设和反腐败网络舆情信息收集、研判和处置工作，协调有关部门和重点新闻网站等做好网络宣传引导工作；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5.负责区纪检监察网等信息的收集、编辑、审核、发布等工作；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6.指导全区纪检监察系统的宣传教育、廉政文化建设和电教网络信息工作；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7.负责协调、归口管理电教信息网络管理工作；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8.负责规划、指导全区纪检监察系统电化教育与影视宣传工作，配合做好有关音像资料的摄制、收集、整理和管理；</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9.负责本部门干部日常管理和监督，承办领导交办的其他事项。</w:t>
      </w:r>
    </w:p>
    <w:p>
      <w:pPr>
        <w:spacing w:line="540" w:lineRule="exact"/>
        <w:ind w:firstLine="630" w:firstLineChars="196"/>
        <w:rPr>
          <w:rFonts w:cs="仿宋_GB2312" w:asciiTheme="majorEastAsia" w:hAnsiTheme="majorEastAsia" w:eastAsiaTheme="majorEastAsia"/>
          <w:b/>
          <w:bCs/>
          <w:snapToGrid w:val="0"/>
          <w:kern w:val="0"/>
          <w:sz w:val="32"/>
          <w:szCs w:val="32"/>
        </w:rPr>
      </w:pPr>
      <w:r>
        <w:rPr>
          <w:rFonts w:hint="eastAsia" w:cs="仿宋_GB2312" w:asciiTheme="majorEastAsia" w:hAnsiTheme="majorEastAsia" w:eastAsiaTheme="majorEastAsia"/>
          <w:b/>
          <w:bCs/>
          <w:snapToGrid w:val="0"/>
          <w:kern w:val="0"/>
          <w:sz w:val="32"/>
          <w:szCs w:val="32"/>
        </w:rPr>
        <w:t>（四）信访室</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1.受理对党组织、党员和监察对象违反党纪国法行为的检举、控告，处理群众来信、接待群众来访、接听举报电话、处理网络举报等工作；协助办理区管干部任职前廉政回复工作；</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2.提供信访举报信息，向</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(区监察委)领导报告重要举报情况；</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3.向下级纪检监察机关交办并督办有关检举、控告和申诉事项，审核办理结果；</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4.对打击报复举报人的检举、控告进行核实；</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5.处置信访举报中的突发情况；</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6.对信访举报工作进行调查研究，指导全区纪检监察系统的信访举报工作；</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7.负责本部门干部日常管理和监督，承办领导交办的其他事项。</w:t>
      </w:r>
    </w:p>
    <w:p>
      <w:pPr>
        <w:spacing w:line="540" w:lineRule="exact"/>
        <w:ind w:firstLine="630" w:firstLineChars="196"/>
        <w:rPr>
          <w:rFonts w:cs="仿宋_GB2312" w:asciiTheme="majorEastAsia" w:hAnsiTheme="majorEastAsia" w:eastAsiaTheme="majorEastAsia"/>
          <w:b/>
          <w:bCs/>
          <w:snapToGrid w:val="0"/>
          <w:kern w:val="0"/>
          <w:sz w:val="32"/>
          <w:szCs w:val="32"/>
        </w:rPr>
      </w:pPr>
      <w:r>
        <w:rPr>
          <w:rFonts w:hint="eastAsia" w:cs="仿宋_GB2312" w:asciiTheme="majorEastAsia" w:hAnsiTheme="majorEastAsia" w:eastAsiaTheme="majorEastAsia"/>
          <w:b/>
          <w:bCs/>
          <w:snapToGrid w:val="0"/>
          <w:kern w:val="0"/>
          <w:sz w:val="32"/>
          <w:szCs w:val="32"/>
        </w:rPr>
        <w:t>（五）案件监督管理室</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 xml:space="preserve">1.负责对区管干部线索进行集中管理，并分送相关纪检监察室；协助办理区管干部任职前廉政回复工作； </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2.按照查办腐败案件以上级纪委（监察委）领导为主的要求，线索处置和案件查办在向区委报告的同时向市纪委、市监察委报告，分送相关执纪监督室和审查调查室；统一受理下级纪检监察机关线索处置和案件查办报告；</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3.负责查办案件相关工作的组织协调，建立跨地区跨部门协作办案机制，归口管理与有关部门的联系协调事项；负责国（境）内、外追逃防逃相关工作，建立健全追逃防逃区内协调机制；</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4.负责对依纪依法安全办案情况进行监督检查，对机关办案场所的安全保卫、保密工作进行监督检查，落实办案安全工作责任制，督促全区各级纪检监察组织做好办案安全事故调查和责任追究；</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5.督促查办市纪委、市监察委、区委和</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(区监察委)领导批办、交办案件及办理相关事项；</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6.负责对查办案件及相关专项工作情况进行统计分析；</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7.承担区委反腐败协调小组办公室的日常工作；</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8.指导全区纪检监察系统的案件监督管理工作；</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9.负责本部门干部日常管理和监督，承办领导交办的其他事项。</w:t>
      </w:r>
    </w:p>
    <w:p>
      <w:pPr>
        <w:spacing w:line="540" w:lineRule="exact"/>
        <w:ind w:firstLine="643" w:firstLineChars="200"/>
        <w:rPr>
          <w:rFonts w:cs="仿宋_GB2312" w:asciiTheme="majorEastAsia" w:hAnsiTheme="majorEastAsia" w:eastAsiaTheme="majorEastAsia"/>
          <w:b/>
          <w:bCs/>
          <w:snapToGrid w:val="0"/>
          <w:kern w:val="0"/>
          <w:sz w:val="32"/>
          <w:szCs w:val="32"/>
        </w:rPr>
      </w:pPr>
      <w:r>
        <w:rPr>
          <w:rFonts w:hint="eastAsia" w:cs="仿宋_GB2312" w:asciiTheme="majorEastAsia" w:hAnsiTheme="majorEastAsia" w:eastAsiaTheme="majorEastAsia"/>
          <w:b/>
          <w:bCs/>
          <w:snapToGrid w:val="0"/>
          <w:kern w:val="0"/>
          <w:sz w:val="32"/>
          <w:szCs w:val="32"/>
        </w:rPr>
        <w:t>（六）第一、第二、第三执纪监督室</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负责联系乡镇办事处、区直单位、区管学校和区管国有企业。</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1.监督检查联系单位领导班子及区管干部遵守和执行党章以及其他党内法规，遵守和执行党的路线方针政策和决议、国家法律法规等方面的情况；</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2.监督检查联系单位党委（党组）落实党风廉政建设主体责任、纪委（纪检组）落实监督责任的情况，对涉及的区管干部实施责任追究；</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3.督促联系单位监督对象加强作风建设，监督检查中央、省委、市委和区委关于作风建设规定的执行情况，调查处理严重违反有关规定的行为；</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4.做好问题线索的管理和处置工作，监督指导联系单位上报问题线索处置；</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5.按照查办腐败案件以上级纪委领导为主的要求，监督、指导联系单位案件查处工作；</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6.协助、配合有关部门开展巡视、区管干部任职前廉政回复工作，参加联系单位领导班子民主生活会，组织协调对联系单位区管干部的诫勉谈话工作；</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7.综合、协调、指导联系单位的纪检监察工作，协助考察了解联系单位的纪检监察机构领导班子和干部队伍建设情况；</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8.负责本部门干部日常管理和监督，承办领导交办的其他事项。</w:t>
      </w:r>
    </w:p>
    <w:p>
      <w:pPr>
        <w:spacing w:line="540" w:lineRule="exact"/>
        <w:ind w:firstLine="643" w:firstLineChars="200"/>
        <w:rPr>
          <w:rFonts w:cs="仿宋_GB2312" w:asciiTheme="majorEastAsia" w:hAnsiTheme="majorEastAsia" w:eastAsiaTheme="majorEastAsia"/>
          <w:b/>
          <w:bCs/>
          <w:snapToGrid w:val="0"/>
          <w:kern w:val="0"/>
          <w:sz w:val="32"/>
          <w:szCs w:val="32"/>
        </w:rPr>
      </w:pPr>
      <w:r>
        <w:rPr>
          <w:rFonts w:hint="eastAsia" w:cs="仿宋_GB2312" w:asciiTheme="majorEastAsia" w:hAnsiTheme="majorEastAsia" w:eastAsiaTheme="majorEastAsia"/>
          <w:b/>
          <w:bCs/>
          <w:snapToGrid w:val="0"/>
          <w:kern w:val="0"/>
          <w:sz w:val="32"/>
          <w:szCs w:val="32"/>
        </w:rPr>
        <w:t>（七）第一审查调查室至第六审查调查室</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承办区管干部的违纪违法案件和其他比较重要和复杂案件的初核、审查、调查并提出处理建议，承办应由</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(区监察委)机关参与调查事故、事件中涉及的监督对象违纪违法行为和需要问责情形的审查、调查并提出处理建议，</w:t>
      </w:r>
    </w:p>
    <w:p>
      <w:pPr>
        <w:spacing w:line="540" w:lineRule="exact"/>
        <w:ind w:firstLine="643" w:firstLineChars="200"/>
        <w:rPr>
          <w:rFonts w:cs="仿宋_GB2312" w:asciiTheme="majorEastAsia" w:hAnsiTheme="majorEastAsia" w:eastAsiaTheme="majorEastAsia"/>
          <w:b/>
          <w:bCs/>
          <w:snapToGrid w:val="0"/>
          <w:kern w:val="0"/>
          <w:sz w:val="32"/>
          <w:szCs w:val="32"/>
        </w:rPr>
      </w:pPr>
      <w:r>
        <w:rPr>
          <w:rFonts w:hint="eastAsia" w:cs="仿宋_GB2312" w:asciiTheme="majorEastAsia" w:hAnsiTheme="majorEastAsia" w:eastAsiaTheme="majorEastAsia"/>
          <w:b/>
          <w:bCs/>
          <w:snapToGrid w:val="0"/>
          <w:kern w:val="0"/>
          <w:sz w:val="32"/>
          <w:szCs w:val="32"/>
        </w:rPr>
        <w:t>（八）案件审理室</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1.审理由</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(区监察委)直接检查处理和乡科级党委（党组织）、纪检监察组织报批或备案的案件；</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2.承办应当由乡科级党委、纪检监察组织批准但需要比照处理的案件和其他需要比照处理报</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、区监察委备案的案件；</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3.承办乡科级党组织、纪检监察组织和机关有关部门征求案件审理室意见的案件；</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4.制定案件审理的规范性文件；</w:t>
      </w:r>
    </w:p>
    <w:p>
      <w:pPr>
        <w:spacing w:line="540" w:lineRule="exact"/>
        <w:ind w:firstLine="640" w:firstLineChars="200"/>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5.负责本部门干部日常管理和监督，承办领导交办的其他事项。</w:t>
      </w:r>
    </w:p>
    <w:p>
      <w:pPr>
        <w:spacing w:line="540" w:lineRule="exact"/>
        <w:ind w:firstLine="643" w:firstLineChars="200"/>
        <w:rPr>
          <w:rFonts w:cs="仿宋_GB2312" w:asciiTheme="majorEastAsia" w:hAnsiTheme="majorEastAsia" w:eastAsiaTheme="majorEastAsia"/>
          <w:b/>
          <w:bCs/>
          <w:snapToGrid w:val="0"/>
          <w:kern w:val="0"/>
          <w:sz w:val="32"/>
          <w:szCs w:val="32"/>
        </w:rPr>
      </w:pPr>
      <w:r>
        <w:rPr>
          <w:rFonts w:hint="eastAsia" w:cs="仿宋_GB2312" w:asciiTheme="majorEastAsia" w:hAnsiTheme="majorEastAsia" w:eastAsiaTheme="majorEastAsia"/>
          <w:b/>
          <w:bCs/>
          <w:snapToGrid w:val="0"/>
          <w:kern w:val="0"/>
          <w:sz w:val="32"/>
          <w:szCs w:val="32"/>
        </w:rPr>
        <w:t>（九）纪检监察干部监督室</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1.负责监督检查全区纪检监察系统干部遵守和执行党章以及其他党内法规，遵守和执行党的路线方针政策和决议、国家法律法规等方面的情况；</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2.负责受理对</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(区监察委)机关干部（不含领导班子成员）违纪违法问题的举报，负责问题线索的初核及案件的审查工作，提出处理建议；</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3.负责受理对</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（区监察委）统一管理的派驻（出）纪检监察机构领导班子及干部违纪违法问题的举报，负责问题线索的初核及案件的审查工作，提出处理建议；</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4.负责受理对乡镇办事处纪检监察组织、</w:t>
      </w:r>
      <w:r>
        <w:rPr>
          <w:rFonts w:hint="eastAsia" w:cs="仿宋_GB2312" w:asciiTheme="majorEastAsia" w:hAnsiTheme="majorEastAsia" w:eastAsiaTheme="majorEastAsia"/>
          <w:snapToGrid w:val="0"/>
          <w:kern w:val="0"/>
          <w:sz w:val="32"/>
          <w:szCs w:val="32"/>
          <w:lang w:eastAsia="zh-CN"/>
        </w:rPr>
        <w:t>中共信阳市浉河区纪律检查委员会</w:t>
      </w:r>
      <w:r>
        <w:rPr>
          <w:rFonts w:hint="eastAsia" w:cs="仿宋_GB2312" w:asciiTheme="majorEastAsia" w:hAnsiTheme="majorEastAsia" w:eastAsiaTheme="majorEastAsia"/>
          <w:snapToGrid w:val="0"/>
          <w:kern w:val="0"/>
          <w:sz w:val="32"/>
          <w:szCs w:val="32"/>
        </w:rPr>
        <w:t>（区监察委）派驻机构领导班子及其成员违纪违法问题的举报，负责问题线索的初核及案件的审查工作，提出处理建议；</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5.研究制定关于加强纪检监察干部监督的相关制度，指导全区纪检监察系统干部监督工作，督办有关违纪违法案件的调查处理；</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6.负责监督检查全区纪检监察系统干部选拔任用工作；</w:t>
      </w:r>
    </w:p>
    <w:p>
      <w:pPr>
        <w:spacing w:line="540" w:lineRule="exact"/>
        <w:ind w:firstLine="627" w:firstLineChars="196"/>
        <w:rPr>
          <w:rFonts w:cs="仿宋_GB2312" w:asciiTheme="majorEastAsia" w:hAnsiTheme="majorEastAsia" w:eastAsiaTheme="majorEastAsia"/>
          <w:snapToGrid w:val="0"/>
          <w:kern w:val="0"/>
          <w:sz w:val="32"/>
          <w:szCs w:val="32"/>
        </w:rPr>
      </w:pPr>
      <w:r>
        <w:rPr>
          <w:rFonts w:hint="eastAsia" w:cs="仿宋_GB2312" w:asciiTheme="majorEastAsia" w:hAnsiTheme="majorEastAsia" w:eastAsiaTheme="majorEastAsia"/>
          <w:snapToGrid w:val="0"/>
          <w:kern w:val="0"/>
          <w:sz w:val="32"/>
          <w:szCs w:val="32"/>
        </w:rPr>
        <w:t>7.配合组织部门承担机关干部人事工作有关事项；</w:t>
      </w:r>
    </w:p>
    <w:p>
      <w:pPr>
        <w:spacing w:line="360" w:lineRule="auto"/>
        <w:jc w:val="left"/>
        <w:rPr>
          <w:rFonts w:cs="宋体" w:asciiTheme="majorEastAsia" w:hAnsiTheme="majorEastAsia" w:eastAsiaTheme="majorEastAsia"/>
          <w:sz w:val="32"/>
          <w:szCs w:val="32"/>
        </w:rPr>
      </w:pPr>
      <w:r>
        <w:rPr>
          <w:rFonts w:hint="eastAsia" w:cs="仿宋_GB2312" w:asciiTheme="majorEastAsia" w:hAnsiTheme="majorEastAsia" w:eastAsiaTheme="majorEastAsia"/>
          <w:snapToGrid w:val="0"/>
          <w:kern w:val="0"/>
          <w:sz w:val="32"/>
          <w:szCs w:val="32"/>
        </w:rPr>
        <w:t>8.负责本部门干部日常管理和监督，承办领导交办的其他事</w:t>
      </w: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left"/>
        <w:rPr>
          <w:rFonts w:cs="黑体" w:asciiTheme="majorEastAsia" w:hAnsiTheme="majorEastAsia" w:eastAsiaTheme="majorEastAsia"/>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cs="隶书" w:asciiTheme="majorEastAsia" w:hAnsiTheme="majorEastAsia" w:eastAsiaTheme="majorEastAsia"/>
          <w:b/>
          <w:sz w:val="52"/>
          <w:szCs w:val="52"/>
        </w:rPr>
      </w:pPr>
      <w:r>
        <w:rPr>
          <w:rFonts w:hint="eastAsia" w:cs="隶书" w:asciiTheme="majorEastAsia" w:hAnsiTheme="majorEastAsia" w:eastAsiaTheme="majorEastAsia"/>
          <w:b/>
          <w:sz w:val="52"/>
          <w:szCs w:val="52"/>
        </w:rPr>
        <w:t>第二部分</w:t>
      </w:r>
    </w:p>
    <w:p>
      <w:pPr>
        <w:jc w:val="center"/>
        <w:rPr>
          <w:rFonts w:asciiTheme="majorEastAsia" w:hAnsiTheme="majorEastAsia" w:eastAsiaTheme="majorEastAsia" w:cstheme="majorEastAsia"/>
          <w:b/>
          <w:sz w:val="52"/>
          <w:szCs w:val="52"/>
        </w:rPr>
      </w:pPr>
      <w:r>
        <w:rPr>
          <w:rFonts w:hint="eastAsia" w:asciiTheme="majorEastAsia" w:hAnsiTheme="majorEastAsia" w:eastAsiaTheme="majorEastAsia" w:cstheme="majorEastAsia"/>
          <w:b/>
          <w:sz w:val="52"/>
          <w:szCs w:val="52"/>
          <w:lang w:eastAsia="zh-CN"/>
        </w:rPr>
        <w:t>中共信阳市浉河区纪律检查委员会</w:t>
      </w:r>
      <w:r>
        <w:rPr>
          <w:rFonts w:hint="eastAsia" w:asciiTheme="majorEastAsia" w:hAnsiTheme="majorEastAsia" w:eastAsiaTheme="majorEastAsia" w:cstheme="majorEastAsia"/>
          <w:b/>
          <w:sz w:val="52"/>
          <w:szCs w:val="52"/>
        </w:rPr>
        <w:t>2019年度部门</w:t>
      </w:r>
    </w:p>
    <w:p>
      <w:pPr>
        <w:jc w:val="center"/>
        <w:rPr>
          <w:rFonts w:asciiTheme="majorEastAsia" w:hAnsiTheme="majorEastAsia" w:eastAsiaTheme="majorEastAsia" w:cstheme="majorEastAsia"/>
          <w:b/>
          <w:sz w:val="52"/>
          <w:szCs w:val="52"/>
        </w:rPr>
      </w:pPr>
      <w:r>
        <w:rPr>
          <w:rFonts w:hint="eastAsia" w:asciiTheme="majorEastAsia" w:hAnsiTheme="majorEastAsia" w:eastAsiaTheme="majorEastAsia" w:cstheme="majorEastAsia"/>
          <w:b/>
          <w:sz w:val="52"/>
          <w:szCs w:val="52"/>
        </w:rPr>
        <w:t>预算表</w:t>
      </w:r>
    </w:p>
    <w:p>
      <w:pPr>
        <w:jc w:val="center"/>
        <w:rPr>
          <w:rFonts w:asciiTheme="majorEastAsia" w:hAnsiTheme="majorEastAsia" w:eastAsiaTheme="majorEastAsia" w:cstheme="majorEastAsia"/>
          <w:b/>
          <w:sz w:val="52"/>
          <w:szCs w:val="52"/>
        </w:rPr>
      </w:pPr>
    </w:p>
    <w:p>
      <w:pPr>
        <w:jc w:val="center"/>
        <w:rPr>
          <w:rFonts w:asciiTheme="majorEastAsia" w:hAnsiTheme="majorEastAsia" w:eastAsiaTheme="majorEastAsia" w:cstheme="majorEastAsia"/>
          <w:b/>
          <w:sz w:val="52"/>
          <w:szCs w:val="52"/>
        </w:rPr>
      </w:pPr>
    </w:p>
    <w:p>
      <w:pPr>
        <w:jc w:val="center"/>
        <w:rPr>
          <w:rFonts w:asciiTheme="majorEastAsia" w:hAnsiTheme="majorEastAsia" w:eastAsiaTheme="majorEastAsia" w:cstheme="majorEastAsia"/>
          <w:b/>
          <w:sz w:val="44"/>
          <w:szCs w:val="44"/>
        </w:rPr>
      </w:pPr>
    </w:p>
    <w:p>
      <w:pPr>
        <w:jc w:val="center"/>
        <w:rPr>
          <w:rFonts w:asciiTheme="majorEastAsia" w:hAnsiTheme="majorEastAsia" w:eastAsiaTheme="majorEastAsia" w:cstheme="majorEastAsia"/>
          <w:b/>
          <w:sz w:val="44"/>
          <w:szCs w:val="44"/>
        </w:rPr>
      </w:pPr>
    </w:p>
    <w:p>
      <w:pPr>
        <w:jc w:val="center"/>
        <w:rPr>
          <w:rFonts w:asciiTheme="majorEastAsia" w:hAnsiTheme="majorEastAsia" w:eastAsiaTheme="majorEastAsia" w:cstheme="majorEastAsia"/>
          <w:b/>
          <w:sz w:val="44"/>
          <w:szCs w:val="44"/>
        </w:rPr>
      </w:pPr>
    </w:p>
    <w:p>
      <w:pPr>
        <w:jc w:val="center"/>
        <w:rPr>
          <w:rFonts w:asciiTheme="majorEastAsia" w:hAnsiTheme="majorEastAsia" w:eastAsiaTheme="majorEastAsia" w:cstheme="majorEastAsia"/>
          <w:b/>
          <w:sz w:val="44"/>
          <w:szCs w:val="44"/>
        </w:rPr>
      </w:pPr>
    </w:p>
    <w:p>
      <w:pPr>
        <w:jc w:val="center"/>
        <w:rPr>
          <w:rFonts w:asciiTheme="majorEastAsia" w:hAnsiTheme="majorEastAsia" w:eastAsiaTheme="majorEastAsia" w:cstheme="majorEastAsia"/>
          <w:b/>
          <w:sz w:val="44"/>
          <w:szCs w:val="44"/>
        </w:rPr>
      </w:pPr>
    </w:p>
    <w:p>
      <w:pPr>
        <w:jc w:val="center"/>
        <w:rPr>
          <w:rFonts w:asciiTheme="majorEastAsia" w:hAnsiTheme="majorEastAsia" w:eastAsiaTheme="majorEastAsia" w:cstheme="majorEastAsia"/>
          <w:b/>
          <w:sz w:val="44"/>
          <w:szCs w:val="44"/>
        </w:rPr>
      </w:pPr>
    </w:p>
    <w:p>
      <w:pPr>
        <w:jc w:val="center"/>
        <w:rPr>
          <w:rFonts w:asciiTheme="majorEastAsia" w:hAnsiTheme="majorEastAsia" w:eastAsiaTheme="majorEastAsia" w:cstheme="majorEastAsia"/>
          <w:b/>
          <w:sz w:val="44"/>
          <w:szCs w:val="44"/>
        </w:rPr>
      </w:pPr>
    </w:p>
    <w:p>
      <w:pPr>
        <w:jc w:val="center"/>
        <w:rPr>
          <w:rFonts w:asciiTheme="majorEastAsia" w:hAnsiTheme="majorEastAsia" w:eastAsiaTheme="majorEastAsia" w:cstheme="majorEastAsia"/>
          <w:b/>
          <w:sz w:val="44"/>
          <w:szCs w:val="44"/>
        </w:rPr>
      </w:pPr>
      <w:bookmarkStart w:id="5" w:name="_GoBack"/>
      <w:bookmarkEnd w:id="5"/>
    </w:p>
    <w:tbl>
      <w:tblPr>
        <w:tblStyle w:val="5"/>
        <w:tblpPr w:leftFromText="180" w:rightFromText="180" w:vertAnchor="text" w:horzAnchor="margin" w:tblpXSpec="center" w:tblpY="331"/>
        <w:tblW w:w="10129" w:type="dxa"/>
        <w:tblInd w:w="0" w:type="dxa"/>
        <w:tblLayout w:type="fixed"/>
        <w:tblCellMar>
          <w:top w:w="0" w:type="dxa"/>
          <w:left w:w="108" w:type="dxa"/>
          <w:bottom w:w="0" w:type="dxa"/>
          <w:right w:w="108" w:type="dxa"/>
        </w:tblCellMar>
      </w:tblPr>
      <w:tblGrid>
        <w:gridCol w:w="2440"/>
        <w:gridCol w:w="716"/>
        <w:gridCol w:w="138"/>
        <w:gridCol w:w="854"/>
        <w:gridCol w:w="854"/>
        <w:gridCol w:w="542"/>
        <w:gridCol w:w="312"/>
        <w:gridCol w:w="538"/>
        <w:gridCol w:w="316"/>
        <w:gridCol w:w="109"/>
        <w:gridCol w:w="716"/>
        <w:gridCol w:w="29"/>
        <w:gridCol w:w="673"/>
        <w:gridCol w:w="181"/>
        <w:gridCol w:w="528"/>
        <w:gridCol w:w="567"/>
        <w:gridCol w:w="616"/>
      </w:tblGrid>
      <w:tr>
        <w:tblPrEx>
          <w:tblCellMar>
            <w:top w:w="0" w:type="dxa"/>
            <w:left w:w="108" w:type="dxa"/>
            <w:bottom w:w="0" w:type="dxa"/>
            <w:right w:w="108" w:type="dxa"/>
          </w:tblCellMar>
        </w:tblPrEx>
        <w:trPr>
          <w:trHeight w:val="510" w:hRule="atLeast"/>
        </w:trPr>
        <w:tc>
          <w:tcPr>
            <w:tcW w:w="10129" w:type="dxa"/>
            <w:gridSpan w:val="17"/>
            <w:tcBorders>
              <w:top w:val="nil"/>
              <w:left w:val="nil"/>
              <w:bottom w:val="nil"/>
              <w:right w:val="nil"/>
            </w:tcBorders>
            <w:shd w:val="clear" w:color="auto" w:fill="auto"/>
            <w:noWrap/>
            <w:vAlign w:val="center"/>
          </w:tcPr>
          <w:p>
            <w:pPr>
              <w:widowControl/>
              <w:ind w:firstLine="1783" w:firstLineChars="444"/>
              <w:rPr>
                <w:rFonts w:hint="eastAsia" w:ascii="宋体" w:hAnsi="宋体" w:cs="宋体"/>
                <w:b/>
                <w:bCs/>
                <w:kern w:val="0"/>
                <w:sz w:val="40"/>
                <w:szCs w:val="40"/>
              </w:rPr>
            </w:pPr>
          </w:p>
          <w:p>
            <w:pPr>
              <w:widowControl/>
              <w:ind w:firstLine="2586" w:firstLineChars="644"/>
              <w:jc w:val="left"/>
              <w:rPr>
                <w:rFonts w:ascii="宋体" w:hAnsi="宋体" w:cs="宋体"/>
                <w:b/>
                <w:bCs/>
                <w:kern w:val="0"/>
                <w:sz w:val="40"/>
                <w:szCs w:val="40"/>
              </w:rPr>
            </w:pPr>
            <w:r>
              <w:rPr>
                <w:rFonts w:hint="eastAsia" w:ascii="宋体" w:hAnsi="宋体" w:cs="宋体"/>
                <w:b/>
                <w:bCs/>
                <w:kern w:val="0"/>
                <w:sz w:val="40"/>
                <w:szCs w:val="40"/>
              </w:rPr>
              <w:t>2019年部门收支总体情况表</w:t>
            </w:r>
          </w:p>
        </w:tc>
      </w:tr>
      <w:tr>
        <w:tblPrEx>
          <w:tblCellMar>
            <w:top w:w="0" w:type="dxa"/>
            <w:left w:w="108" w:type="dxa"/>
            <w:bottom w:w="0" w:type="dxa"/>
            <w:right w:w="108" w:type="dxa"/>
          </w:tblCellMar>
        </w:tblPrEx>
        <w:trPr>
          <w:trHeight w:val="80" w:hRule="atLeast"/>
        </w:trPr>
        <w:tc>
          <w:tcPr>
            <w:tcW w:w="3294" w:type="dxa"/>
            <w:gridSpan w:val="3"/>
            <w:tcBorders>
              <w:top w:val="nil"/>
              <w:left w:val="nil"/>
              <w:bottom w:val="single" w:color="auto" w:sz="4" w:space="0"/>
              <w:right w:val="nil"/>
            </w:tcBorders>
            <w:shd w:val="clear" w:color="000000" w:fill="FFFFFF"/>
            <w:noWrap/>
            <w:vAlign w:val="bottom"/>
          </w:tcPr>
          <w:p>
            <w:pPr>
              <w:jc w:val="right"/>
            </w:pPr>
            <w:r>
              <w:rPr>
                <w:rFonts w:hint="eastAsia" w:ascii="宋体" w:hAnsi="宋体" w:cs="宋体"/>
                <w:kern w:val="0"/>
                <w:sz w:val="20"/>
                <w:szCs w:val="20"/>
              </w:rPr>
              <w:t>单位名称：</w:t>
            </w:r>
            <w:r>
              <w:rPr>
                <w:rFonts w:hint="eastAsia" w:ascii="宋体" w:hAnsi="宋体" w:cs="宋体"/>
                <w:kern w:val="0"/>
                <w:sz w:val="20"/>
                <w:szCs w:val="20"/>
                <w:lang w:eastAsia="zh-CN"/>
              </w:rPr>
              <w:t>中共信阳市浉河区纪律检查委员会</w:t>
            </w:r>
            <w:r>
              <w:rPr>
                <w:rFonts w:ascii="宋体" w:hAnsi="宋体" w:cs="宋体"/>
                <w:kern w:val="0"/>
                <w:sz w:val="20"/>
                <w:szCs w:val="20"/>
              </w:rPr>
              <w:t xml:space="preserve"> </w:t>
            </w:r>
          </w:p>
        </w:tc>
        <w:tc>
          <w:tcPr>
            <w:tcW w:w="854" w:type="dxa"/>
            <w:tcBorders>
              <w:top w:val="nil"/>
              <w:left w:val="nil"/>
              <w:bottom w:val="single" w:color="auto" w:sz="4" w:space="0"/>
              <w:right w:val="nil"/>
            </w:tcBorders>
            <w:shd w:val="clear" w:color="000000" w:fill="FFFFFF"/>
            <w:noWrap/>
            <w:vAlign w:val="bottom"/>
          </w:tcPr>
          <w:p>
            <w:pPr>
              <w:jc w:val="right"/>
              <w:rPr>
                <w:rFonts w:hint="eastAsia" w:ascii="宋体" w:hAnsi="宋体" w:cs="宋体"/>
                <w:kern w:val="0"/>
                <w:sz w:val="20"/>
                <w:szCs w:val="20"/>
              </w:rPr>
            </w:pPr>
          </w:p>
        </w:tc>
        <w:tc>
          <w:tcPr>
            <w:tcW w:w="854" w:type="dxa"/>
            <w:tcBorders>
              <w:top w:val="nil"/>
              <w:left w:val="nil"/>
              <w:bottom w:val="single" w:color="auto" w:sz="4" w:space="0"/>
              <w:right w:val="nil"/>
            </w:tcBorders>
            <w:shd w:val="clear" w:color="000000" w:fill="FFFFFF"/>
            <w:noWrap/>
            <w:vAlign w:val="bottom"/>
          </w:tcPr>
          <w:p>
            <w:pPr>
              <w:jc w:val="right"/>
              <w:rPr>
                <w:rFonts w:hint="eastAsia" w:ascii="宋体" w:hAnsi="宋体" w:cs="宋体"/>
                <w:kern w:val="0"/>
                <w:sz w:val="20"/>
                <w:szCs w:val="20"/>
              </w:rPr>
            </w:pPr>
          </w:p>
        </w:tc>
        <w:tc>
          <w:tcPr>
            <w:tcW w:w="854" w:type="dxa"/>
            <w:gridSpan w:val="2"/>
            <w:tcBorders>
              <w:top w:val="nil"/>
              <w:left w:val="nil"/>
              <w:bottom w:val="single" w:color="auto" w:sz="4" w:space="0"/>
              <w:right w:val="nil"/>
            </w:tcBorders>
            <w:shd w:val="clear" w:color="000000" w:fill="FFFFFF"/>
            <w:noWrap/>
            <w:vAlign w:val="bottom"/>
          </w:tcPr>
          <w:p>
            <w:pPr>
              <w:jc w:val="right"/>
              <w:rPr>
                <w:rFonts w:hint="eastAsia" w:ascii="宋体" w:hAnsi="宋体" w:cs="宋体"/>
                <w:kern w:val="0"/>
                <w:sz w:val="20"/>
                <w:szCs w:val="20"/>
              </w:rPr>
            </w:pPr>
          </w:p>
        </w:tc>
        <w:tc>
          <w:tcPr>
            <w:tcW w:w="854" w:type="dxa"/>
            <w:gridSpan w:val="2"/>
            <w:tcBorders>
              <w:top w:val="nil"/>
              <w:left w:val="nil"/>
              <w:bottom w:val="single" w:color="auto" w:sz="4" w:space="0"/>
              <w:right w:val="nil"/>
            </w:tcBorders>
            <w:shd w:val="clear" w:color="000000" w:fill="FFFFFF"/>
            <w:noWrap/>
            <w:vAlign w:val="bottom"/>
          </w:tcPr>
          <w:p>
            <w:pPr>
              <w:jc w:val="right"/>
              <w:rPr>
                <w:rFonts w:hint="eastAsia" w:ascii="宋体" w:hAnsi="宋体" w:cs="宋体"/>
                <w:kern w:val="0"/>
                <w:sz w:val="20"/>
                <w:szCs w:val="20"/>
              </w:rPr>
            </w:pPr>
          </w:p>
        </w:tc>
        <w:tc>
          <w:tcPr>
            <w:tcW w:w="854" w:type="dxa"/>
            <w:gridSpan w:val="3"/>
            <w:tcBorders>
              <w:top w:val="nil"/>
              <w:left w:val="nil"/>
              <w:bottom w:val="single" w:color="auto" w:sz="4" w:space="0"/>
              <w:right w:val="nil"/>
            </w:tcBorders>
            <w:shd w:val="clear" w:color="000000" w:fill="FFFFFF"/>
            <w:noWrap/>
            <w:vAlign w:val="bottom"/>
          </w:tcPr>
          <w:p>
            <w:pPr>
              <w:jc w:val="right"/>
              <w:rPr>
                <w:rFonts w:hint="eastAsia" w:ascii="宋体" w:hAnsi="宋体" w:cs="宋体"/>
                <w:kern w:val="0"/>
                <w:sz w:val="20"/>
                <w:szCs w:val="20"/>
              </w:rPr>
            </w:pPr>
          </w:p>
        </w:tc>
        <w:tc>
          <w:tcPr>
            <w:tcW w:w="854" w:type="dxa"/>
            <w:gridSpan w:val="2"/>
            <w:tcBorders>
              <w:top w:val="nil"/>
              <w:left w:val="nil"/>
              <w:bottom w:val="single" w:color="auto" w:sz="4" w:space="0"/>
              <w:right w:val="nil"/>
            </w:tcBorders>
            <w:shd w:val="clear" w:color="000000" w:fill="FFFFFF"/>
            <w:noWrap/>
            <w:vAlign w:val="bottom"/>
          </w:tcPr>
          <w:p>
            <w:pPr>
              <w:jc w:val="right"/>
              <w:rPr>
                <w:rFonts w:hint="eastAsia" w:ascii="宋体" w:hAnsi="宋体" w:cs="宋体"/>
                <w:kern w:val="0"/>
                <w:sz w:val="20"/>
                <w:szCs w:val="20"/>
              </w:rPr>
            </w:pPr>
          </w:p>
        </w:tc>
        <w:tc>
          <w:tcPr>
            <w:tcW w:w="1711" w:type="dxa"/>
            <w:gridSpan w:val="3"/>
            <w:tcBorders>
              <w:top w:val="nil"/>
              <w:left w:val="nil"/>
              <w:bottom w:val="single" w:color="auto" w:sz="4" w:space="0"/>
              <w:right w:val="nil"/>
            </w:tcBorders>
            <w:shd w:val="clear" w:color="000000" w:fill="FFFFFF"/>
            <w:noWrap/>
            <w:vAlign w:val="bottom"/>
          </w:tcPr>
          <w:p>
            <w:pPr>
              <w:jc w:val="right"/>
              <w:rPr>
                <w:rFonts w:hint="eastAsia" w:ascii="Calibri" w:hAnsi="Calibri" w:eastAsia="宋体" w:cs="Times New Roman"/>
                <w:kern w:val="2"/>
                <w:sz w:val="21"/>
                <w:szCs w:val="24"/>
                <w:lang w:val="en-US" w:eastAsia="zh-CN" w:bidi="ar-SA"/>
              </w:rPr>
            </w:pPr>
            <w:r>
              <w:rPr>
                <w:rFonts w:hint="eastAsia" w:ascii="宋体" w:hAnsi="宋体" w:cs="宋体"/>
                <w:kern w:val="0"/>
                <w:sz w:val="20"/>
                <w:szCs w:val="20"/>
              </w:rPr>
              <w:t>单</w:t>
            </w:r>
            <w:r>
              <w:rPr>
                <w:rFonts w:hint="eastAsia" w:ascii="宋体" w:hAnsi="宋体" w:cs="宋体"/>
                <w:kern w:val="0"/>
                <w:sz w:val="20"/>
                <w:szCs w:val="20"/>
                <w:lang w:val="en-US" w:eastAsia="zh-CN"/>
              </w:rPr>
              <w:t>位</w:t>
            </w:r>
            <w:r>
              <w:rPr>
                <w:rFonts w:hint="eastAsia" w:ascii="宋体" w:hAnsi="宋体" w:cs="宋体"/>
                <w:kern w:val="0"/>
                <w:sz w:val="20"/>
                <w:szCs w:val="20"/>
              </w:rPr>
              <w:t>：万元</w:t>
            </w:r>
          </w:p>
        </w:tc>
      </w:tr>
      <w:tr>
        <w:tblPrEx>
          <w:tblCellMar>
            <w:top w:w="0" w:type="dxa"/>
            <w:left w:w="108" w:type="dxa"/>
            <w:bottom w:w="0" w:type="dxa"/>
            <w:right w:w="108" w:type="dxa"/>
          </w:tblCellMar>
        </w:tblPrEx>
        <w:trPr>
          <w:trHeight w:val="420" w:hRule="atLeast"/>
        </w:trPr>
        <w:tc>
          <w:tcPr>
            <w:tcW w:w="24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     入</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238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                        出</w:t>
            </w:r>
          </w:p>
        </w:tc>
        <w:tc>
          <w:tcPr>
            <w:tcW w:w="850" w:type="dxa"/>
            <w:gridSpan w:val="2"/>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425" w:type="dxa"/>
            <w:gridSpan w:val="2"/>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1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62" w:hRule="atLeast"/>
        </w:trPr>
        <w:tc>
          <w:tcPr>
            <w:tcW w:w="24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　额</w:t>
            </w:r>
          </w:p>
        </w:tc>
        <w:tc>
          <w:tcPr>
            <w:tcW w:w="238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425"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上年结转</w:t>
            </w:r>
          </w:p>
        </w:tc>
        <w:tc>
          <w:tcPr>
            <w:tcW w:w="7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w:t>
            </w:r>
          </w:p>
        </w:tc>
        <w:tc>
          <w:tcPr>
            <w:tcW w:w="702" w:type="dxa"/>
            <w:gridSpan w:val="2"/>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w:t>
            </w:r>
          </w:p>
        </w:tc>
        <w:tc>
          <w:tcPr>
            <w:tcW w:w="709" w:type="dxa"/>
            <w:gridSpan w:val="2"/>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专户管理的教育收费</w:t>
            </w:r>
          </w:p>
        </w:tc>
        <w:tc>
          <w:tcPr>
            <w:tcW w:w="567"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事业经营收入</w:t>
            </w:r>
          </w:p>
        </w:tc>
        <w:tc>
          <w:tcPr>
            <w:tcW w:w="616" w:type="dxa"/>
            <w:tcBorders>
              <w:top w:val="nil"/>
              <w:left w:val="nil"/>
              <w:bottom w:val="nil"/>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其他收入</w:t>
            </w:r>
          </w:p>
        </w:tc>
      </w:tr>
      <w:tr>
        <w:tblPrEx>
          <w:tblCellMar>
            <w:top w:w="0" w:type="dxa"/>
            <w:left w:w="108" w:type="dxa"/>
            <w:bottom w:w="0" w:type="dxa"/>
            <w:right w:w="108" w:type="dxa"/>
          </w:tblCellMar>
        </w:tblPrEx>
        <w:trPr>
          <w:trHeight w:val="495" w:hRule="atLeast"/>
        </w:trPr>
        <w:tc>
          <w:tcPr>
            <w:tcW w:w="2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本年收入小计</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927.9 </w:t>
            </w:r>
          </w:p>
        </w:tc>
        <w:tc>
          <w:tcPr>
            <w:tcW w:w="2388" w:type="dxa"/>
            <w:gridSpan w:val="4"/>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一、基本支出</w:t>
            </w:r>
          </w:p>
        </w:tc>
        <w:tc>
          <w:tcPr>
            <w:tcW w:w="850"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612.9 </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612.9 </w:t>
            </w:r>
          </w:p>
        </w:tc>
        <w:tc>
          <w:tcPr>
            <w:tcW w:w="7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1、一般公共预算财政拨款</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927.9 </w:t>
            </w:r>
          </w:p>
        </w:tc>
        <w:tc>
          <w:tcPr>
            <w:tcW w:w="2388" w:type="dxa"/>
            <w:gridSpan w:val="4"/>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1、工资福利支出</w:t>
            </w:r>
          </w:p>
        </w:tc>
        <w:tc>
          <w:tcPr>
            <w:tcW w:w="850"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347.5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347.5 </w:t>
            </w:r>
          </w:p>
        </w:tc>
        <w:tc>
          <w:tcPr>
            <w:tcW w:w="70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2、政府性基金财政拨款</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388" w:type="dxa"/>
            <w:gridSpan w:val="4"/>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2、商品服务支出</w:t>
            </w:r>
          </w:p>
        </w:tc>
        <w:tc>
          <w:tcPr>
            <w:tcW w:w="850"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265.4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265.4 </w:t>
            </w:r>
          </w:p>
        </w:tc>
        <w:tc>
          <w:tcPr>
            <w:tcW w:w="70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44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3、专户管理的教育收费</w:t>
            </w:r>
          </w:p>
        </w:tc>
        <w:tc>
          <w:tcPr>
            <w:tcW w:w="7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388" w:type="dxa"/>
            <w:gridSpan w:val="4"/>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3、对个人和家庭的补助</w:t>
            </w:r>
          </w:p>
        </w:tc>
        <w:tc>
          <w:tcPr>
            <w:tcW w:w="850"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44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4、事业经营收入</w:t>
            </w:r>
          </w:p>
        </w:tc>
        <w:tc>
          <w:tcPr>
            <w:tcW w:w="7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388" w:type="dxa"/>
            <w:gridSpan w:val="4"/>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二、项目支出</w:t>
            </w:r>
          </w:p>
        </w:tc>
        <w:tc>
          <w:tcPr>
            <w:tcW w:w="850"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315.0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315.0 </w:t>
            </w:r>
          </w:p>
        </w:tc>
        <w:tc>
          <w:tcPr>
            <w:tcW w:w="70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44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5、其他收入</w:t>
            </w:r>
          </w:p>
        </w:tc>
        <w:tc>
          <w:tcPr>
            <w:tcW w:w="7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388" w:type="dxa"/>
            <w:gridSpan w:val="4"/>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1、专项业务费</w:t>
            </w:r>
          </w:p>
        </w:tc>
        <w:tc>
          <w:tcPr>
            <w:tcW w:w="850"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315.0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315.0 </w:t>
            </w:r>
          </w:p>
        </w:tc>
        <w:tc>
          <w:tcPr>
            <w:tcW w:w="70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388" w:type="dxa"/>
            <w:gridSpan w:val="4"/>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2、基本建设支出</w:t>
            </w:r>
          </w:p>
        </w:tc>
        <w:tc>
          <w:tcPr>
            <w:tcW w:w="850"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388"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3、事业发展专项支出</w:t>
            </w:r>
          </w:p>
        </w:tc>
        <w:tc>
          <w:tcPr>
            <w:tcW w:w="850"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上年结转</w:t>
            </w:r>
          </w:p>
        </w:tc>
        <w:tc>
          <w:tcPr>
            <w:tcW w:w="71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388" w:type="dxa"/>
            <w:gridSpan w:val="4"/>
            <w:tcBorders>
              <w:top w:val="single" w:color="auto" w:sz="4" w:space="0"/>
              <w:left w:val="nil"/>
              <w:bottom w:val="nil"/>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4、经济发展支出</w:t>
            </w:r>
          </w:p>
        </w:tc>
        <w:tc>
          <w:tcPr>
            <w:tcW w:w="850"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1、一般公共预算结转</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388" w:type="dxa"/>
            <w:gridSpan w:val="4"/>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5、债务项目支出</w:t>
            </w:r>
          </w:p>
        </w:tc>
        <w:tc>
          <w:tcPr>
            <w:tcW w:w="850"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2、政府性基金结转</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388" w:type="dxa"/>
            <w:gridSpan w:val="4"/>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6、其他各项支出</w:t>
            </w:r>
          </w:p>
        </w:tc>
        <w:tc>
          <w:tcPr>
            <w:tcW w:w="850"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388" w:type="dxa"/>
            <w:gridSpan w:val="4"/>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trPr>
        <w:tc>
          <w:tcPr>
            <w:tcW w:w="244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38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收  入  合  计</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927.9</w:t>
            </w:r>
            <w:r>
              <w:rPr>
                <w:rFonts w:hint="eastAsia" w:ascii="宋体" w:hAnsi="宋体" w:cs="宋体"/>
                <w:kern w:val="0"/>
                <w:sz w:val="20"/>
                <w:szCs w:val="20"/>
              </w:rPr>
              <w:t>　</w:t>
            </w:r>
          </w:p>
        </w:tc>
        <w:tc>
          <w:tcPr>
            <w:tcW w:w="238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支  出  合  计</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927.9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927.9 </w:t>
            </w:r>
          </w:p>
        </w:tc>
        <w:tc>
          <w:tcPr>
            <w:tcW w:w="70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244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71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2388"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50"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425"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71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702"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709"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567"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616"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bl>
    <w:p>
      <w:pPr>
        <w:jc w:val="center"/>
        <w:rPr>
          <w:rFonts w:asciiTheme="majorEastAsia" w:hAnsiTheme="majorEastAsia" w:eastAsiaTheme="majorEastAsia" w:cstheme="majorEastAsia"/>
          <w:b/>
          <w:sz w:val="44"/>
          <w:szCs w:val="44"/>
        </w:rPr>
      </w:pPr>
    </w:p>
    <w:p>
      <w:pPr>
        <w:jc w:val="center"/>
        <w:rPr>
          <w:rFonts w:asciiTheme="majorEastAsia" w:hAnsiTheme="majorEastAsia" w:eastAsiaTheme="majorEastAsia" w:cstheme="majorEastAsia"/>
          <w:b/>
          <w:sz w:val="44"/>
          <w:szCs w:val="44"/>
        </w:rPr>
      </w:pPr>
    </w:p>
    <w:p>
      <w:pPr>
        <w:jc w:val="center"/>
        <w:rPr>
          <w:rFonts w:asciiTheme="majorEastAsia" w:hAnsiTheme="majorEastAsia" w:eastAsiaTheme="majorEastAsia" w:cstheme="majorEastAsia"/>
          <w:b/>
          <w:sz w:val="44"/>
          <w:szCs w:val="44"/>
        </w:rPr>
      </w:pPr>
    </w:p>
    <w:p>
      <w:pPr>
        <w:jc w:val="center"/>
        <w:rPr>
          <w:rFonts w:asciiTheme="majorEastAsia" w:hAnsiTheme="majorEastAsia" w:eastAsiaTheme="majorEastAsia" w:cstheme="majorEastAsia"/>
          <w:b/>
          <w:sz w:val="44"/>
          <w:szCs w:val="44"/>
        </w:rPr>
      </w:pPr>
    </w:p>
    <w:tbl>
      <w:tblPr>
        <w:tblStyle w:val="5"/>
        <w:tblW w:w="13176" w:type="dxa"/>
        <w:tblInd w:w="93" w:type="dxa"/>
        <w:tblLayout w:type="fixed"/>
        <w:tblCellMar>
          <w:top w:w="0" w:type="dxa"/>
          <w:left w:w="108" w:type="dxa"/>
          <w:bottom w:w="0" w:type="dxa"/>
          <w:right w:w="108" w:type="dxa"/>
        </w:tblCellMar>
      </w:tblPr>
      <w:tblGrid>
        <w:gridCol w:w="1217"/>
        <w:gridCol w:w="755"/>
        <w:gridCol w:w="760"/>
        <w:gridCol w:w="1209"/>
        <w:gridCol w:w="992"/>
        <w:gridCol w:w="436"/>
        <w:gridCol w:w="131"/>
        <w:gridCol w:w="851"/>
        <w:gridCol w:w="425"/>
        <w:gridCol w:w="183"/>
        <w:gridCol w:w="526"/>
        <w:gridCol w:w="744"/>
        <w:gridCol w:w="532"/>
        <w:gridCol w:w="543"/>
        <w:gridCol w:w="988"/>
        <w:gridCol w:w="988"/>
        <w:gridCol w:w="1280"/>
        <w:gridCol w:w="616"/>
      </w:tblGrid>
      <w:tr>
        <w:tblPrEx>
          <w:tblCellMar>
            <w:top w:w="0" w:type="dxa"/>
            <w:left w:w="108" w:type="dxa"/>
            <w:bottom w:w="0" w:type="dxa"/>
            <w:right w:w="108" w:type="dxa"/>
          </w:tblCellMar>
        </w:tblPrEx>
        <w:trPr>
          <w:trHeight w:val="510" w:hRule="atLeast"/>
        </w:trPr>
        <w:tc>
          <w:tcPr>
            <w:tcW w:w="1217" w:type="dxa"/>
            <w:tcBorders>
              <w:top w:val="nil"/>
              <w:left w:val="nil"/>
              <w:bottom w:val="nil"/>
              <w:right w:val="nil"/>
            </w:tcBorders>
            <w:shd w:val="clear" w:color="auto" w:fill="auto"/>
            <w:noWrap/>
            <w:vAlign w:val="center"/>
          </w:tcPr>
          <w:p>
            <w:pPr>
              <w:widowControl/>
              <w:ind w:right="800"/>
              <w:rPr>
                <w:rFonts w:hint="eastAsia" w:ascii="宋体" w:hAnsi="宋体" w:cs="宋体"/>
                <w:kern w:val="0"/>
                <w:sz w:val="20"/>
                <w:szCs w:val="20"/>
              </w:rPr>
            </w:pPr>
            <w:bookmarkStart w:id="0" w:name="RANGE!A1:K21"/>
          </w:p>
          <w:p>
            <w:pPr>
              <w:widowControl/>
              <w:ind w:right="800"/>
              <w:rPr>
                <w:rFonts w:ascii="宋体" w:hAnsi="宋体" w:cs="宋体"/>
                <w:kern w:val="0"/>
                <w:sz w:val="20"/>
                <w:szCs w:val="20"/>
              </w:rPr>
            </w:pPr>
            <w:r>
              <w:rPr>
                <w:rFonts w:hint="eastAsia" w:ascii="宋体" w:hAnsi="宋体" w:cs="宋体"/>
                <w:kern w:val="0"/>
                <w:sz w:val="20"/>
                <w:szCs w:val="20"/>
              </w:rPr>
              <w:t>预</w:t>
            </w:r>
            <w:bookmarkEnd w:id="0"/>
            <w:r>
              <w:rPr>
                <w:rFonts w:hint="eastAsia" w:ascii="宋体" w:hAnsi="宋体" w:cs="宋体"/>
                <w:kern w:val="0"/>
                <w:sz w:val="20"/>
                <w:szCs w:val="20"/>
              </w:rPr>
              <w:t>算02表</w:t>
            </w:r>
          </w:p>
        </w:tc>
        <w:tc>
          <w:tcPr>
            <w:tcW w:w="755" w:type="dxa"/>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760" w:type="dxa"/>
            <w:tcBorders>
              <w:top w:val="nil"/>
              <w:left w:val="nil"/>
              <w:bottom w:val="nil"/>
              <w:right w:val="nil"/>
            </w:tcBorders>
            <w:shd w:val="clear" w:color="auto" w:fill="auto"/>
            <w:noWrap/>
            <w:vAlign w:val="center"/>
          </w:tcPr>
          <w:p>
            <w:pPr>
              <w:widowControl/>
              <w:jc w:val="center"/>
              <w:rPr>
                <w:rFonts w:ascii="宋体" w:hAnsi="宋体" w:cs="宋体"/>
                <w:kern w:val="0"/>
                <w:sz w:val="20"/>
                <w:szCs w:val="20"/>
              </w:rPr>
            </w:pPr>
          </w:p>
        </w:tc>
        <w:tc>
          <w:tcPr>
            <w:tcW w:w="2637" w:type="dxa"/>
            <w:gridSpan w:val="3"/>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90" w:type="dxa"/>
            <w:gridSpan w:val="4"/>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0" w:type="dxa"/>
            <w:gridSpan w:val="2"/>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75" w:type="dxa"/>
            <w:gridSpan w:val="2"/>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88"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88"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616" w:type="dxa"/>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gridAfter w:val="5"/>
          <w:wAfter w:w="4415" w:type="dxa"/>
          <w:trHeight w:val="510" w:hRule="atLeast"/>
        </w:trPr>
        <w:tc>
          <w:tcPr>
            <w:tcW w:w="8761" w:type="dxa"/>
            <w:gridSpan w:val="13"/>
            <w:tcBorders>
              <w:top w:val="nil"/>
              <w:left w:val="nil"/>
              <w:bottom w:val="nil"/>
              <w:right w:val="nil"/>
            </w:tcBorders>
            <w:shd w:val="clear" w:color="auto" w:fill="auto"/>
            <w:noWrap/>
            <w:vAlign w:val="center"/>
          </w:tcPr>
          <w:p>
            <w:pPr>
              <w:widowControl/>
              <w:ind w:firstLine="1606" w:firstLineChars="400"/>
              <w:rPr>
                <w:rFonts w:ascii="宋体" w:hAnsi="宋体" w:cs="宋体"/>
                <w:b/>
                <w:bCs/>
                <w:kern w:val="0"/>
                <w:sz w:val="40"/>
                <w:szCs w:val="40"/>
              </w:rPr>
            </w:pPr>
            <w:r>
              <w:rPr>
                <w:rFonts w:hint="eastAsia" w:ascii="宋体" w:hAnsi="宋体" w:cs="宋体"/>
                <w:b/>
                <w:bCs/>
                <w:kern w:val="0"/>
                <w:sz w:val="40"/>
                <w:szCs w:val="40"/>
              </w:rPr>
              <w:t>2019年部门收入总体情况表</w:t>
            </w:r>
          </w:p>
        </w:tc>
      </w:tr>
      <w:tr>
        <w:tblPrEx>
          <w:tblCellMar>
            <w:top w:w="0" w:type="dxa"/>
            <w:left w:w="108" w:type="dxa"/>
            <w:bottom w:w="0" w:type="dxa"/>
            <w:right w:w="108" w:type="dxa"/>
          </w:tblCellMar>
        </w:tblPrEx>
        <w:trPr>
          <w:trHeight w:val="80" w:hRule="atLeast"/>
        </w:trPr>
        <w:tc>
          <w:tcPr>
            <w:tcW w:w="8229" w:type="dxa"/>
            <w:gridSpan w:val="12"/>
            <w:tcBorders>
              <w:top w:val="nil"/>
              <w:left w:val="nil"/>
              <w:bottom w:val="single" w:color="auto" w:sz="4" w:space="0"/>
              <w:right w:val="nil"/>
            </w:tcBorders>
            <w:shd w:val="clear" w:color="000000" w:fill="FFFFFF"/>
            <w:noWrap/>
            <w:vAlign w:val="bottom"/>
          </w:tcPr>
          <w:p>
            <w:pPr>
              <w:widowControl/>
              <w:jc w:val="both"/>
              <w:rPr>
                <w:rFonts w:ascii="宋体" w:hAnsi="宋体" w:cs="宋体"/>
                <w:kern w:val="0"/>
                <w:sz w:val="20"/>
                <w:szCs w:val="20"/>
              </w:rPr>
            </w:pPr>
            <w:r>
              <w:rPr>
                <w:rFonts w:hint="eastAsia" w:ascii="宋体" w:hAnsi="宋体" w:cs="宋体"/>
                <w:kern w:val="0"/>
                <w:sz w:val="20"/>
                <w:szCs w:val="20"/>
              </w:rPr>
              <w:t>单位名称：</w:t>
            </w:r>
            <w:r>
              <w:rPr>
                <w:rFonts w:hint="eastAsia" w:ascii="宋体" w:hAnsi="宋体" w:cs="宋体"/>
                <w:kern w:val="0"/>
                <w:sz w:val="20"/>
                <w:szCs w:val="20"/>
                <w:lang w:eastAsia="zh-CN"/>
              </w:rPr>
              <w:t>中共信阳市浉河区纪律检查委员会</w:t>
            </w:r>
            <w:r>
              <w:rPr>
                <w:rFonts w:hint="eastAsia" w:ascii="宋体" w:hAnsi="宋体" w:cs="宋体"/>
                <w:kern w:val="0"/>
                <w:sz w:val="20"/>
                <w:szCs w:val="20"/>
              </w:rPr>
              <w:t>　　</w:t>
            </w:r>
            <w:r>
              <w:rPr>
                <w:rFonts w:hint="eastAsia" w:ascii="宋体" w:hAnsi="宋体" w:cs="宋体"/>
                <w:kern w:val="0"/>
                <w:sz w:val="20"/>
                <w:szCs w:val="20"/>
                <w:lang w:val="en-US" w:eastAsia="zh-CN"/>
              </w:rPr>
              <w:t xml:space="preserve">                                       </w:t>
            </w:r>
            <w:r>
              <w:rPr>
                <w:rFonts w:hint="eastAsia" w:ascii="宋体" w:hAnsi="宋体" w:cs="宋体"/>
                <w:kern w:val="0"/>
                <w:sz w:val="20"/>
                <w:szCs w:val="20"/>
              </w:rPr>
              <w:t>　单位：万元</w:t>
            </w:r>
          </w:p>
        </w:tc>
        <w:tc>
          <w:tcPr>
            <w:tcW w:w="1075" w:type="dxa"/>
            <w:gridSpan w:val="2"/>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88"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88"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616" w:type="dxa"/>
            <w:tcBorders>
              <w:top w:val="nil"/>
              <w:left w:val="nil"/>
              <w:bottom w:val="nil"/>
              <w:right w:val="nil"/>
            </w:tcBorders>
            <w:shd w:val="clear" w:color="000000" w:fill="FFFFFF"/>
            <w:noWrap/>
            <w:vAlign w:val="bottom"/>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gridAfter w:val="5"/>
          <w:wAfter w:w="4415" w:type="dxa"/>
          <w:trHeight w:val="462" w:hRule="atLeast"/>
        </w:trPr>
        <w:tc>
          <w:tcPr>
            <w:tcW w:w="12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7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4820"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gridAfter w:val="5"/>
          <w:wAfter w:w="4415" w:type="dxa"/>
          <w:trHeight w:val="612" w:hRule="atLeast"/>
        </w:trPr>
        <w:tc>
          <w:tcPr>
            <w:tcW w:w="12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760" w:type="dxa"/>
            <w:tcBorders>
              <w:top w:val="nil"/>
              <w:left w:val="nil"/>
              <w:bottom w:val="single" w:color="auto" w:sz="4" w:space="0"/>
              <w:right w:val="nil"/>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上年结转</w:t>
            </w:r>
          </w:p>
        </w:tc>
        <w:tc>
          <w:tcPr>
            <w:tcW w:w="851"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w:t>
            </w:r>
          </w:p>
        </w:tc>
        <w:tc>
          <w:tcPr>
            <w:tcW w:w="425"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w:t>
            </w:r>
          </w:p>
        </w:tc>
        <w:tc>
          <w:tcPr>
            <w:tcW w:w="709" w:type="dxa"/>
            <w:gridSpan w:val="2"/>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专户管理教育收费</w:t>
            </w:r>
          </w:p>
        </w:tc>
        <w:tc>
          <w:tcPr>
            <w:tcW w:w="744" w:type="dxa"/>
            <w:tcBorders>
              <w:top w:val="nil"/>
              <w:left w:val="nil"/>
              <w:bottom w:val="nil"/>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事业经营收入</w:t>
            </w:r>
          </w:p>
        </w:tc>
        <w:tc>
          <w:tcPr>
            <w:tcW w:w="532"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其他收入</w:t>
            </w:r>
          </w:p>
        </w:tc>
      </w:tr>
      <w:tr>
        <w:tblPrEx>
          <w:tblCellMar>
            <w:top w:w="0" w:type="dxa"/>
            <w:left w:w="108" w:type="dxa"/>
            <w:bottom w:w="0" w:type="dxa"/>
            <w:right w:w="108" w:type="dxa"/>
          </w:tblCellMar>
        </w:tblPrEx>
        <w:trPr>
          <w:gridAfter w:val="5"/>
          <w:wAfter w:w="4415" w:type="dxa"/>
          <w:trHeight w:val="300" w:hRule="atLeast"/>
        </w:trPr>
        <w:tc>
          <w:tcPr>
            <w:tcW w:w="1217"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755"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76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209"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927.9</w:t>
            </w:r>
          </w:p>
        </w:tc>
        <w:tc>
          <w:tcPr>
            <w:tcW w:w="5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927.9</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7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2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行政运行</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242.0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242.0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05</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离退休</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5.1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5.1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221</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02</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住房公积金</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36.7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36.7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05</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05</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养老金</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34.0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34.0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210</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医保金</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28.0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28.0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210</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99</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生育保险</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0.9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0.9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27</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02</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工伤保险</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0.4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0.4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公用经费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238.4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238.4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车补</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27.0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27.0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27</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失业保险</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0.4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0.4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作风督查</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15.0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15.0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99</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廉政基地建设</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300.0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300.0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469" w:hRule="atLeast"/>
        </w:trPr>
        <w:tc>
          <w:tcPr>
            <w:tcW w:w="12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5"/>
          <w:wAfter w:w="4415" w:type="dxa"/>
          <w:trHeight w:val="225" w:hRule="atLeast"/>
        </w:trPr>
        <w:tc>
          <w:tcPr>
            <w:tcW w:w="1217"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55"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6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209"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992"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567" w:type="dxa"/>
            <w:gridSpan w:val="2"/>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851"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425"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09" w:type="dxa"/>
            <w:gridSpan w:val="2"/>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44"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532"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gridAfter w:val="5"/>
          <w:wAfter w:w="4415" w:type="dxa"/>
          <w:trHeight w:val="225" w:hRule="atLeast"/>
        </w:trPr>
        <w:tc>
          <w:tcPr>
            <w:tcW w:w="1217"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55"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6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209"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992"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567" w:type="dxa"/>
            <w:gridSpan w:val="2"/>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851"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425"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09" w:type="dxa"/>
            <w:gridSpan w:val="2"/>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44"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532"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r>
    </w:tbl>
    <w:p>
      <w:pPr>
        <w:jc w:val="center"/>
        <w:outlineLvl w:val="0"/>
        <w:rPr>
          <w:rFonts w:ascii="仿宋" w:hAnsi="仿宋" w:eastAsia="仿宋" w:cs="隶书"/>
          <w:sz w:val="52"/>
          <w:szCs w:val="52"/>
        </w:rPr>
      </w:pPr>
    </w:p>
    <w:tbl>
      <w:tblPr>
        <w:tblStyle w:val="5"/>
        <w:tblW w:w="8662" w:type="dxa"/>
        <w:tblInd w:w="93" w:type="dxa"/>
        <w:tblLayout w:type="fixed"/>
        <w:tblCellMar>
          <w:top w:w="0" w:type="dxa"/>
          <w:left w:w="108" w:type="dxa"/>
          <w:bottom w:w="0" w:type="dxa"/>
          <w:right w:w="108" w:type="dxa"/>
        </w:tblCellMar>
      </w:tblPr>
      <w:tblGrid>
        <w:gridCol w:w="834"/>
        <w:gridCol w:w="760"/>
        <w:gridCol w:w="760"/>
        <w:gridCol w:w="1063"/>
        <w:gridCol w:w="851"/>
        <w:gridCol w:w="716"/>
        <w:gridCol w:w="843"/>
        <w:gridCol w:w="851"/>
        <w:gridCol w:w="66"/>
        <w:gridCol w:w="784"/>
        <w:gridCol w:w="1134"/>
      </w:tblGrid>
      <w:tr>
        <w:tblPrEx>
          <w:tblCellMar>
            <w:top w:w="0" w:type="dxa"/>
            <w:left w:w="108" w:type="dxa"/>
            <w:bottom w:w="0" w:type="dxa"/>
            <w:right w:w="108" w:type="dxa"/>
          </w:tblCellMar>
        </w:tblPrEx>
        <w:trPr>
          <w:trHeight w:val="510" w:hRule="atLeast"/>
        </w:trPr>
        <w:tc>
          <w:tcPr>
            <w:tcW w:w="834" w:type="dxa"/>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bookmarkStart w:id="1" w:name="RANGE!A1:J21"/>
          </w:p>
          <w:p>
            <w:pPr>
              <w:widowControl/>
              <w:jc w:val="right"/>
              <w:rPr>
                <w:rFonts w:ascii="宋体" w:hAnsi="宋体" w:cs="宋体"/>
                <w:kern w:val="0"/>
                <w:sz w:val="20"/>
                <w:szCs w:val="20"/>
              </w:rPr>
            </w:pPr>
          </w:p>
          <w:p>
            <w:pPr>
              <w:widowControl/>
              <w:jc w:val="right"/>
              <w:rPr>
                <w:rFonts w:ascii="宋体" w:hAnsi="宋体" w:cs="宋体"/>
                <w:kern w:val="0"/>
                <w:sz w:val="20"/>
                <w:szCs w:val="20"/>
              </w:rPr>
            </w:pPr>
            <w:r>
              <w:rPr>
                <w:rFonts w:hint="eastAsia" w:ascii="宋体" w:hAnsi="宋体" w:cs="宋体"/>
                <w:kern w:val="0"/>
                <w:sz w:val="20"/>
                <w:szCs w:val="20"/>
              </w:rPr>
              <w:t>预算03表</w:t>
            </w:r>
            <w:bookmarkEnd w:id="1"/>
          </w:p>
        </w:tc>
        <w:tc>
          <w:tcPr>
            <w:tcW w:w="760" w:type="dxa"/>
            <w:tcBorders>
              <w:top w:val="nil"/>
              <w:left w:val="nil"/>
              <w:bottom w:val="nil"/>
              <w:right w:val="nil"/>
            </w:tcBorders>
            <w:shd w:val="clear" w:color="auto" w:fill="auto"/>
            <w:noWrap/>
            <w:vAlign w:val="center"/>
          </w:tcPr>
          <w:p>
            <w:pPr>
              <w:widowControl/>
              <w:jc w:val="center"/>
              <w:rPr>
                <w:rFonts w:ascii="宋体" w:hAnsi="宋体" w:cs="宋体"/>
                <w:kern w:val="0"/>
                <w:sz w:val="20"/>
                <w:szCs w:val="20"/>
              </w:rPr>
            </w:pPr>
          </w:p>
        </w:tc>
        <w:tc>
          <w:tcPr>
            <w:tcW w:w="760" w:type="dxa"/>
            <w:tcBorders>
              <w:top w:val="nil"/>
              <w:left w:val="nil"/>
              <w:bottom w:val="nil"/>
              <w:right w:val="nil"/>
            </w:tcBorders>
            <w:shd w:val="clear" w:color="auto" w:fill="auto"/>
            <w:noWrap/>
            <w:vAlign w:val="center"/>
          </w:tcPr>
          <w:p>
            <w:pPr>
              <w:widowControl/>
              <w:jc w:val="center"/>
              <w:rPr>
                <w:rFonts w:ascii="宋体" w:hAnsi="宋体" w:cs="宋体"/>
                <w:kern w:val="0"/>
                <w:sz w:val="20"/>
                <w:szCs w:val="20"/>
              </w:rPr>
            </w:pPr>
          </w:p>
        </w:tc>
        <w:tc>
          <w:tcPr>
            <w:tcW w:w="2630" w:type="dxa"/>
            <w:gridSpan w:val="3"/>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760"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918"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10" w:hRule="atLeast"/>
        </w:trPr>
        <w:tc>
          <w:tcPr>
            <w:tcW w:w="8662" w:type="dxa"/>
            <w:gridSpan w:val="11"/>
            <w:tcBorders>
              <w:top w:val="nil"/>
              <w:left w:val="nil"/>
              <w:bottom w:val="nil"/>
              <w:right w:val="nil"/>
            </w:tcBorders>
            <w:shd w:val="clear" w:color="auto" w:fill="auto"/>
            <w:noWrap/>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2019年部门支出总体情况表</w:t>
            </w:r>
          </w:p>
        </w:tc>
      </w:tr>
      <w:tr>
        <w:tblPrEx>
          <w:tblCellMar>
            <w:top w:w="0" w:type="dxa"/>
            <w:left w:w="108" w:type="dxa"/>
            <w:bottom w:w="0" w:type="dxa"/>
            <w:right w:w="108" w:type="dxa"/>
          </w:tblCellMar>
        </w:tblPrEx>
        <w:trPr>
          <w:trHeight w:val="510" w:hRule="atLeast"/>
        </w:trPr>
        <w:tc>
          <w:tcPr>
            <w:tcW w:w="3417" w:type="dxa"/>
            <w:gridSpan w:val="4"/>
            <w:tcBorders>
              <w:top w:val="nil"/>
              <w:left w:val="nil"/>
              <w:bottom w:val="single" w:color="auto" w:sz="4" w:space="0"/>
              <w:right w:val="nil"/>
            </w:tcBorders>
            <w:shd w:val="clear" w:color="auto" w:fill="auto"/>
            <w:noWrap/>
            <w:vAlign w:val="bottom"/>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单位名称：</w:t>
            </w:r>
            <w:r>
              <w:rPr>
                <w:rFonts w:hint="eastAsia" w:ascii="宋体" w:hAnsi="宋体" w:cs="宋体"/>
                <w:kern w:val="0"/>
                <w:sz w:val="20"/>
                <w:szCs w:val="20"/>
                <w:lang w:eastAsia="zh-CN"/>
              </w:rPr>
              <w:t>中共信阳市浉河区纪律检查委员会</w:t>
            </w:r>
          </w:p>
        </w:tc>
        <w:tc>
          <w:tcPr>
            <w:tcW w:w="851"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4394" w:type="dxa"/>
            <w:gridSpan w:val="6"/>
            <w:tcBorders>
              <w:top w:val="nil"/>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单位：万元</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0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326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trHeight w:val="612" w:hRule="atLeast"/>
        </w:trPr>
        <w:tc>
          <w:tcPr>
            <w:tcW w:w="8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10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工资福利支出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商品服务支出</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对个人和家庭的补助</w:t>
            </w: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300" w:hRule="atLeast"/>
        </w:trPr>
        <w:tc>
          <w:tcPr>
            <w:tcW w:w="834"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76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76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3"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927.9</w:t>
            </w:r>
          </w:p>
        </w:tc>
        <w:tc>
          <w:tcPr>
            <w:tcW w:w="716"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612.9 </w:t>
            </w:r>
          </w:p>
        </w:tc>
        <w:tc>
          <w:tcPr>
            <w:tcW w:w="843"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347.5 </w:t>
            </w:r>
          </w:p>
        </w:tc>
        <w:tc>
          <w:tcPr>
            <w:tcW w:w="851"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265.4 </w:t>
            </w:r>
          </w:p>
        </w:tc>
        <w:tc>
          <w:tcPr>
            <w:tcW w:w="850" w:type="dxa"/>
            <w:gridSpan w:val="2"/>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315.0 </w:t>
            </w:r>
          </w:p>
        </w:tc>
      </w:tr>
      <w:tr>
        <w:tblPrEx>
          <w:tblCellMar>
            <w:top w:w="0" w:type="dxa"/>
            <w:left w:w="108" w:type="dxa"/>
            <w:bottom w:w="0" w:type="dxa"/>
            <w:right w:w="108" w:type="dxa"/>
          </w:tblCellMar>
        </w:tblPrEx>
        <w:trPr>
          <w:trHeight w:val="499"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行政运行</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242.0 </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242.0 </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05</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离退休</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5.1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5.1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221</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02</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住房公积金</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36.7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36.7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05</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养老金</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34.0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34.0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210</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医保金</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28.0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28.0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210</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99</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生育保险</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0.9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0.9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27</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02</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工伤保险</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0.4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0.4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公用经费</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238.4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238.4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车补</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27.0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27.0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27</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失业保险</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0.4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04</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作风督查</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15.0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15.0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99</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廉政基地建设</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300.0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300.0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5" w:hRule="atLeast"/>
        </w:trPr>
        <w:tc>
          <w:tcPr>
            <w:tcW w:w="834"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6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6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063"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851"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16"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843"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851"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850" w:type="dxa"/>
            <w:gridSpan w:val="2"/>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134"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r>
    </w:tbl>
    <w:p>
      <w:pPr>
        <w:jc w:val="center"/>
        <w:outlineLvl w:val="0"/>
        <w:rPr>
          <w:rFonts w:ascii="仿宋" w:hAnsi="仿宋" w:eastAsia="仿宋" w:cs="隶书"/>
          <w:sz w:val="52"/>
          <w:szCs w:val="52"/>
        </w:rPr>
      </w:pPr>
    </w:p>
    <w:tbl>
      <w:tblPr>
        <w:tblStyle w:val="5"/>
        <w:tblW w:w="16477" w:type="dxa"/>
        <w:tblInd w:w="-885" w:type="dxa"/>
        <w:tblLayout w:type="fixed"/>
        <w:tblCellMar>
          <w:top w:w="0" w:type="dxa"/>
          <w:left w:w="108" w:type="dxa"/>
          <w:bottom w:w="0" w:type="dxa"/>
          <w:right w:w="108" w:type="dxa"/>
        </w:tblCellMar>
      </w:tblPr>
      <w:tblGrid>
        <w:gridCol w:w="142"/>
        <w:gridCol w:w="425"/>
        <w:gridCol w:w="142"/>
        <w:gridCol w:w="568"/>
        <w:gridCol w:w="201"/>
        <w:gridCol w:w="366"/>
        <w:gridCol w:w="567"/>
        <w:gridCol w:w="157"/>
        <w:gridCol w:w="559"/>
        <w:gridCol w:w="134"/>
        <w:gridCol w:w="67"/>
        <w:gridCol w:w="630"/>
        <w:gridCol w:w="154"/>
        <w:gridCol w:w="82"/>
        <w:gridCol w:w="485"/>
        <w:gridCol w:w="40"/>
        <w:gridCol w:w="716"/>
        <w:gridCol w:w="378"/>
        <w:gridCol w:w="175"/>
        <w:gridCol w:w="250"/>
        <w:gridCol w:w="346"/>
        <w:gridCol w:w="221"/>
        <w:gridCol w:w="149"/>
        <w:gridCol w:w="702"/>
        <w:gridCol w:w="22"/>
        <w:gridCol w:w="545"/>
        <w:gridCol w:w="425"/>
        <w:gridCol w:w="142"/>
        <w:gridCol w:w="296"/>
        <w:gridCol w:w="112"/>
        <w:gridCol w:w="300"/>
        <w:gridCol w:w="426"/>
        <w:gridCol w:w="162"/>
        <w:gridCol w:w="263"/>
        <w:gridCol w:w="369"/>
        <w:gridCol w:w="1520"/>
        <w:gridCol w:w="83"/>
        <w:gridCol w:w="236"/>
        <w:gridCol w:w="153"/>
        <w:gridCol w:w="1048"/>
        <w:gridCol w:w="236"/>
        <w:gridCol w:w="327"/>
        <w:gridCol w:w="1000"/>
        <w:gridCol w:w="920"/>
        <w:gridCol w:w="236"/>
      </w:tblGrid>
      <w:tr>
        <w:tblPrEx>
          <w:tblCellMar>
            <w:top w:w="0" w:type="dxa"/>
            <w:left w:w="108" w:type="dxa"/>
            <w:bottom w:w="0" w:type="dxa"/>
            <w:right w:w="108" w:type="dxa"/>
          </w:tblCellMar>
        </w:tblPrEx>
        <w:trPr>
          <w:gridBefore w:val="1"/>
          <w:wBefore w:w="142" w:type="dxa"/>
          <w:trHeight w:val="342" w:hRule="atLeast"/>
        </w:trPr>
        <w:tc>
          <w:tcPr>
            <w:tcW w:w="3816" w:type="dxa"/>
            <w:gridSpan w:val="11"/>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bookmarkStart w:id="2" w:name="RANGE!A1:L23"/>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w:t>预算04表</w:t>
            </w:r>
            <w:bookmarkEnd w:id="2"/>
          </w:p>
        </w:tc>
        <w:tc>
          <w:tcPr>
            <w:tcW w:w="2626" w:type="dxa"/>
            <w:gridSpan w:val="9"/>
            <w:tcBorders>
              <w:top w:val="nil"/>
              <w:left w:val="nil"/>
              <w:bottom w:val="nil"/>
              <w:right w:val="nil"/>
            </w:tcBorders>
            <w:shd w:val="clear" w:color="auto" w:fill="auto"/>
            <w:noWrap/>
            <w:vAlign w:val="center"/>
          </w:tcPr>
          <w:p>
            <w:pPr>
              <w:widowControl/>
              <w:jc w:val="center"/>
              <w:rPr>
                <w:rFonts w:ascii="宋体" w:hAnsi="宋体" w:cs="宋体"/>
                <w:kern w:val="0"/>
                <w:sz w:val="20"/>
                <w:szCs w:val="20"/>
              </w:rPr>
            </w:pPr>
          </w:p>
        </w:tc>
        <w:tc>
          <w:tcPr>
            <w:tcW w:w="2502" w:type="dxa"/>
            <w:gridSpan w:val="8"/>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000"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263"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972"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236"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764"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000" w:type="dxa"/>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p>
        </w:tc>
        <w:tc>
          <w:tcPr>
            <w:tcW w:w="92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236"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gridBefore w:val="1"/>
          <w:gridAfter w:val="11"/>
          <w:wBefore w:w="142" w:type="dxa"/>
          <w:wAfter w:w="6128" w:type="dxa"/>
          <w:trHeight w:val="522" w:hRule="atLeast"/>
        </w:trPr>
        <w:tc>
          <w:tcPr>
            <w:tcW w:w="10207" w:type="dxa"/>
            <w:gridSpan w:val="33"/>
            <w:tcBorders>
              <w:top w:val="nil"/>
              <w:left w:val="nil"/>
              <w:bottom w:val="nil"/>
              <w:right w:val="nil"/>
            </w:tcBorders>
            <w:shd w:val="clear" w:color="auto" w:fill="auto"/>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2019年财政拨款收支总体情况表</w:t>
            </w:r>
          </w:p>
        </w:tc>
      </w:tr>
      <w:tr>
        <w:tblPrEx>
          <w:tblCellMar>
            <w:top w:w="0" w:type="dxa"/>
            <w:left w:w="108" w:type="dxa"/>
            <w:bottom w:w="0" w:type="dxa"/>
            <w:right w:w="108" w:type="dxa"/>
          </w:tblCellMar>
        </w:tblPrEx>
        <w:trPr>
          <w:gridBefore w:val="1"/>
          <w:gridAfter w:val="11"/>
          <w:wBefore w:w="142" w:type="dxa"/>
          <w:wAfter w:w="6128" w:type="dxa"/>
          <w:trHeight w:val="282" w:hRule="atLeast"/>
        </w:trPr>
        <w:tc>
          <w:tcPr>
            <w:tcW w:w="4052" w:type="dxa"/>
            <w:gridSpan w:val="13"/>
            <w:tcBorders>
              <w:top w:val="nil"/>
              <w:left w:val="nil"/>
              <w:bottom w:val="single" w:color="auto" w:sz="4" w:space="0"/>
              <w:right w:val="nil"/>
            </w:tcBorders>
            <w:shd w:val="clear" w:color="auto" w:fill="auto"/>
            <w:vAlign w:val="center"/>
          </w:tcPr>
          <w:p>
            <w:pPr>
              <w:widowControl/>
              <w:ind w:left="-519" w:leftChars="-247"/>
              <w:jc w:val="left"/>
              <w:rPr>
                <w:rFonts w:hint="eastAsia" w:ascii="宋体" w:hAnsi="宋体" w:eastAsia="宋体" w:cs="宋体"/>
                <w:kern w:val="0"/>
                <w:sz w:val="20"/>
                <w:szCs w:val="20"/>
                <w:lang w:eastAsia="zh-CN"/>
              </w:rPr>
            </w:pPr>
            <w:r>
              <w:rPr>
                <w:rFonts w:hint="eastAsia" w:ascii="宋体" w:hAnsi="宋体" w:cs="宋体"/>
                <w:kern w:val="0"/>
                <w:sz w:val="20"/>
                <w:szCs w:val="20"/>
              </w:rPr>
              <w:t>　</w:t>
            </w:r>
            <w:r>
              <w:rPr>
                <w:rFonts w:hint="eastAsia" w:ascii="宋体" w:hAnsi="宋体" w:cs="宋体"/>
                <w:kern w:val="0"/>
                <w:sz w:val="20"/>
                <w:szCs w:val="20"/>
                <w:lang w:val="en-US" w:eastAsia="zh-CN"/>
              </w:rPr>
              <w:t xml:space="preserve">    </w:t>
            </w:r>
            <w:r>
              <w:rPr>
                <w:rFonts w:hint="eastAsia" w:ascii="宋体" w:hAnsi="宋体" w:cs="宋体"/>
                <w:kern w:val="0"/>
                <w:sz w:val="20"/>
                <w:szCs w:val="20"/>
              </w:rPr>
              <w:t>单位名称：</w:t>
            </w:r>
            <w:r>
              <w:rPr>
                <w:rFonts w:hint="eastAsia" w:ascii="宋体" w:hAnsi="宋体" w:cs="宋体"/>
                <w:kern w:val="0"/>
                <w:sz w:val="20"/>
                <w:szCs w:val="20"/>
                <w:lang w:eastAsia="zh-CN"/>
              </w:rPr>
              <w:t>中共信阳市浉河区纪律检查委员会</w:t>
            </w:r>
          </w:p>
        </w:tc>
        <w:tc>
          <w:tcPr>
            <w:tcW w:w="6155" w:type="dxa"/>
            <w:gridSpan w:val="20"/>
            <w:tcBorders>
              <w:top w:val="nil"/>
              <w:left w:val="nil"/>
              <w:bottom w:val="single" w:color="auto" w:sz="4" w:space="0"/>
              <w:right w:val="nil"/>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r>
              <w:rPr>
                <w:rFonts w:hint="eastAsia" w:ascii="宋体" w:hAnsi="宋体" w:cs="宋体"/>
                <w:b/>
                <w:bCs/>
                <w:kern w:val="0"/>
                <w:sz w:val="40"/>
                <w:szCs w:val="40"/>
              </w:rPr>
              <w:t>　</w:t>
            </w:r>
            <w:r>
              <w:rPr>
                <w:rFonts w:hint="eastAsia" w:ascii="宋体" w:hAnsi="宋体" w:cs="宋体"/>
                <w:kern w:val="0"/>
                <w:sz w:val="20"/>
                <w:szCs w:val="20"/>
              </w:rPr>
              <w:t>单位：万元</w:t>
            </w:r>
          </w:p>
        </w:tc>
      </w:tr>
      <w:tr>
        <w:tblPrEx>
          <w:tblCellMar>
            <w:top w:w="0" w:type="dxa"/>
            <w:left w:w="108" w:type="dxa"/>
            <w:bottom w:w="0" w:type="dxa"/>
            <w:right w:w="108" w:type="dxa"/>
          </w:tblCellMar>
        </w:tblPrEx>
        <w:trPr>
          <w:gridBefore w:val="1"/>
          <w:gridAfter w:val="11"/>
          <w:wBefore w:w="142" w:type="dxa"/>
          <w:wAfter w:w="6128" w:type="dxa"/>
          <w:trHeight w:val="330" w:hRule="atLeast"/>
        </w:trPr>
        <w:tc>
          <w:tcPr>
            <w:tcW w:w="2985"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收入</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支出</w:t>
            </w:r>
          </w:p>
        </w:tc>
        <w:tc>
          <w:tcPr>
            <w:tcW w:w="716" w:type="dxa"/>
            <w:tcBorders>
              <w:top w:val="nil"/>
              <w:left w:val="nil"/>
              <w:bottom w:val="nil"/>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80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85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4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312" w:hRule="atLeast"/>
        </w:trPr>
        <w:tc>
          <w:tcPr>
            <w:tcW w:w="2269" w:type="dxa"/>
            <w:gridSpan w:val="6"/>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716" w:type="dxa"/>
            <w:gridSpan w:val="2"/>
            <w:vMerge w:val="restart"/>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　额</w:t>
            </w:r>
          </w:p>
        </w:tc>
        <w:tc>
          <w:tcPr>
            <w:tcW w:w="1592" w:type="dxa"/>
            <w:gridSpan w:val="7"/>
            <w:vMerge w:val="restart"/>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7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80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本年支出小计</w:t>
            </w:r>
          </w:p>
        </w:tc>
        <w:tc>
          <w:tcPr>
            <w:tcW w:w="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85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4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300" w:hRule="atLeast"/>
        </w:trPr>
        <w:tc>
          <w:tcPr>
            <w:tcW w:w="2269"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0"/>
                <w:szCs w:val="20"/>
              </w:rPr>
            </w:pPr>
          </w:p>
        </w:tc>
        <w:tc>
          <w:tcPr>
            <w:tcW w:w="716" w:type="dxa"/>
            <w:gridSpan w:val="2"/>
            <w:vMerge w:val="continue"/>
            <w:tcBorders>
              <w:top w:val="nil"/>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1592" w:type="dxa"/>
            <w:gridSpan w:val="7"/>
            <w:vMerge w:val="continue"/>
            <w:tcBorders>
              <w:top w:val="nil"/>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4489"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w:t>
            </w:r>
          </w:p>
        </w:tc>
        <w:tc>
          <w:tcPr>
            <w:tcW w:w="425"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w:t>
            </w:r>
          </w:p>
        </w:tc>
      </w:tr>
      <w:tr>
        <w:tblPrEx>
          <w:tblCellMar>
            <w:top w:w="0" w:type="dxa"/>
            <w:left w:w="108" w:type="dxa"/>
            <w:bottom w:w="0" w:type="dxa"/>
            <w:right w:w="108" w:type="dxa"/>
          </w:tblCellMar>
        </w:tblPrEx>
        <w:trPr>
          <w:gridBefore w:val="1"/>
          <w:gridAfter w:val="11"/>
          <w:wBefore w:w="142" w:type="dxa"/>
          <w:wAfter w:w="6128" w:type="dxa"/>
          <w:trHeight w:val="822" w:hRule="atLeast"/>
        </w:trPr>
        <w:tc>
          <w:tcPr>
            <w:tcW w:w="2269"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0"/>
                <w:szCs w:val="20"/>
              </w:rPr>
            </w:pPr>
          </w:p>
        </w:tc>
        <w:tc>
          <w:tcPr>
            <w:tcW w:w="716" w:type="dxa"/>
            <w:gridSpan w:val="2"/>
            <w:vMerge w:val="continue"/>
            <w:tcBorders>
              <w:top w:val="nil"/>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1592" w:type="dxa"/>
            <w:gridSpan w:val="7"/>
            <w:vMerge w:val="continue"/>
            <w:tcBorders>
              <w:top w:val="nil"/>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71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财政拨款</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专项转移支付</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缴入预算的行政事业性收费</w:t>
            </w:r>
          </w:p>
        </w:tc>
        <w:tc>
          <w:tcPr>
            <w:tcW w:w="850"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国有资产资源有偿使用收入</w:t>
            </w:r>
          </w:p>
        </w:tc>
        <w:tc>
          <w:tcPr>
            <w:tcW w:w="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其他收入</w:t>
            </w:r>
          </w:p>
        </w:tc>
        <w:tc>
          <w:tcPr>
            <w:tcW w:w="4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1844"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小计</w:t>
            </w:r>
          </w:p>
        </w:tc>
        <w:tc>
          <w:tcPr>
            <w:tcW w:w="7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927.9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一般公共服务支出</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927.9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927.9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927.9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844"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财政拨款</w:t>
            </w:r>
          </w:p>
        </w:tc>
        <w:tc>
          <w:tcPr>
            <w:tcW w:w="71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927.9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公共安全支出</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844"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专项转移支付</w:t>
            </w:r>
          </w:p>
        </w:tc>
        <w:tc>
          <w:tcPr>
            <w:tcW w:w="71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教育支出</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844"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缴入预算的行政事业性收费</w:t>
            </w:r>
          </w:p>
        </w:tc>
        <w:tc>
          <w:tcPr>
            <w:tcW w:w="71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科学技术支出</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844"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国有资产资源有偿使用收入</w:t>
            </w:r>
          </w:p>
        </w:tc>
        <w:tc>
          <w:tcPr>
            <w:tcW w:w="71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文化体育与传媒支出</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844"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其他收入</w:t>
            </w:r>
          </w:p>
        </w:tc>
        <w:tc>
          <w:tcPr>
            <w:tcW w:w="71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社会保障和就业</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22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政府性基金</w:t>
            </w:r>
          </w:p>
        </w:tc>
        <w:tc>
          <w:tcPr>
            <w:tcW w:w="71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医疗卫生与计划生育支出</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22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节能环保支出</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22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城乡社区事务支出</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22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农林水事务支出</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22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交通运输支出</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22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资源电力信息等事务支出</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22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6"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商业服务业事务</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1336" w:type="dxa"/>
            <w:gridSpan w:val="4"/>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住房保障支出</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1336" w:type="dxa"/>
            <w:gridSpan w:val="4"/>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粮油物资储备等事务</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1"/>
          <w:wBefore w:w="142" w:type="dxa"/>
          <w:wAfter w:w="6128" w:type="dxa"/>
          <w:trHeight w:val="450" w:hRule="atLeast"/>
        </w:trPr>
        <w:tc>
          <w:tcPr>
            <w:tcW w:w="2269"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收  入  合  计</w:t>
            </w:r>
          </w:p>
        </w:tc>
        <w:tc>
          <w:tcPr>
            <w:tcW w:w="71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lang w:val="en-US" w:eastAsia="zh-CN" w:bidi="ar-SA"/>
              </w:rPr>
            </w:pPr>
            <w:r>
              <w:rPr>
                <w:rFonts w:hint="eastAsia" w:ascii="宋体" w:hAnsi="宋体" w:cs="宋体"/>
                <w:kern w:val="0"/>
                <w:sz w:val="20"/>
                <w:szCs w:val="20"/>
              </w:rPr>
              <w:t xml:space="preserve">927.9 </w:t>
            </w:r>
          </w:p>
        </w:tc>
        <w:tc>
          <w:tcPr>
            <w:tcW w:w="1592"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支  出  合  计</w:t>
            </w:r>
          </w:p>
        </w:tc>
        <w:tc>
          <w:tcPr>
            <w:tcW w:w="7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927.9 </w:t>
            </w:r>
          </w:p>
        </w:tc>
        <w:tc>
          <w:tcPr>
            <w:tcW w:w="80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927.9 </w:t>
            </w:r>
          </w:p>
        </w:tc>
        <w:tc>
          <w:tcPr>
            <w:tcW w:w="71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927.9 </w:t>
            </w:r>
          </w:p>
        </w:tc>
        <w:tc>
          <w:tcPr>
            <w:tcW w:w="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5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2483" w:type="dxa"/>
          <w:trHeight w:val="510" w:hRule="atLeast"/>
        </w:trPr>
        <w:tc>
          <w:tcPr>
            <w:tcW w:w="2568" w:type="dxa"/>
            <w:gridSpan w:val="8"/>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bookmarkStart w:id="3" w:name="RANGE!A1:J22"/>
            <w:r>
              <w:rPr>
                <w:rFonts w:hint="eastAsia" w:ascii="宋体" w:hAnsi="宋体" w:cs="宋体"/>
                <w:kern w:val="0"/>
                <w:sz w:val="20"/>
                <w:szCs w:val="20"/>
              </w:rPr>
              <w:t>预算05表</w:t>
            </w:r>
            <w:bookmarkEnd w:id="3"/>
          </w:p>
        </w:tc>
        <w:tc>
          <w:tcPr>
            <w:tcW w:w="760"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0"/>
                <w:szCs w:val="20"/>
              </w:rPr>
            </w:pPr>
          </w:p>
        </w:tc>
        <w:tc>
          <w:tcPr>
            <w:tcW w:w="2660" w:type="dxa"/>
            <w:gridSpan w:val="8"/>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p>
        </w:tc>
        <w:tc>
          <w:tcPr>
            <w:tcW w:w="1690" w:type="dxa"/>
            <w:gridSpan w:val="6"/>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520" w:type="dxa"/>
            <w:gridSpan w:val="5"/>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520" w:type="dxa"/>
            <w:gridSpan w:val="5"/>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520"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520"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236"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7"/>
          <w:wAfter w:w="7687" w:type="dxa"/>
          <w:trHeight w:val="510" w:hRule="atLeast"/>
        </w:trPr>
        <w:tc>
          <w:tcPr>
            <w:tcW w:w="8790" w:type="dxa"/>
            <w:gridSpan w:val="28"/>
            <w:tcBorders>
              <w:top w:val="nil"/>
              <w:left w:val="nil"/>
              <w:bottom w:val="nil"/>
              <w:right w:val="nil"/>
            </w:tcBorders>
            <w:shd w:val="clear" w:color="auto" w:fill="auto"/>
            <w:noWrap/>
            <w:vAlign w:val="center"/>
          </w:tcPr>
          <w:p>
            <w:pPr>
              <w:widowControl/>
              <w:jc w:val="center"/>
              <w:rPr>
                <w:rFonts w:ascii="宋体" w:hAnsi="宋体" w:cs="宋体"/>
                <w:b/>
                <w:bCs/>
                <w:kern w:val="0"/>
                <w:sz w:val="40"/>
                <w:szCs w:val="40"/>
              </w:rPr>
            </w:pPr>
            <w:r>
              <w:rPr>
                <w:rFonts w:hint="eastAsia" w:ascii="宋体" w:hAnsi="宋体" w:cs="宋体"/>
                <w:b/>
                <w:bCs/>
                <w:kern w:val="0"/>
                <w:sz w:val="40"/>
                <w:szCs w:val="40"/>
                <w:lang w:val="en-US" w:eastAsia="zh-CN"/>
              </w:rPr>
              <w:t xml:space="preserve">   </w:t>
            </w:r>
            <w:r>
              <w:rPr>
                <w:rFonts w:hint="eastAsia" w:ascii="宋体" w:hAnsi="宋体" w:cs="宋体"/>
                <w:b/>
                <w:bCs/>
                <w:kern w:val="0"/>
                <w:sz w:val="40"/>
                <w:szCs w:val="40"/>
              </w:rPr>
              <w:t>2019年一般公共预算支出情况表（功能分类）</w:t>
            </w:r>
          </w:p>
        </w:tc>
      </w:tr>
      <w:tr>
        <w:tblPrEx>
          <w:tblCellMar>
            <w:top w:w="0" w:type="dxa"/>
            <w:left w:w="108" w:type="dxa"/>
            <w:bottom w:w="0" w:type="dxa"/>
            <w:right w:w="108" w:type="dxa"/>
          </w:tblCellMar>
        </w:tblPrEx>
        <w:trPr>
          <w:gridAfter w:val="6"/>
          <w:wAfter w:w="3767" w:type="dxa"/>
          <w:trHeight w:val="510" w:hRule="atLeast"/>
        </w:trPr>
        <w:tc>
          <w:tcPr>
            <w:tcW w:w="4112" w:type="dxa"/>
            <w:gridSpan w:val="13"/>
            <w:tcBorders>
              <w:top w:val="nil"/>
              <w:left w:val="nil"/>
              <w:bottom w:val="single" w:color="auto" w:sz="4" w:space="0"/>
              <w:right w:val="nil"/>
            </w:tcBorders>
            <w:shd w:val="clear" w:color="auto" w:fill="auto"/>
            <w:noWrap/>
            <w:vAlign w:val="bottom"/>
          </w:tcPr>
          <w:p>
            <w:pPr>
              <w:widowControl/>
              <w:jc w:val="both"/>
              <w:rPr>
                <w:rFonts w:hint="eastAsia" w:ascii="宋体" w:hAnsi="宋体" w:eastAsia="宋体" w:cs="宋体"/>
                <w:kern w:val="0"/>
                <w:sz w:val="20"/>
                <w:szCs w:val="20"/>
                <w:lang w:eastAsia="zh-CN"/>
              </w:rPr>
            </w:pPr>
            <w:r>
              <w:rPr>
                <w:rFonts w:hint="eastAsia" w:ascii="宋体" w:hAnsi="宋体" w:cs="宋体"/>
                <w:kern w:val="0"/>
                <w:sz w:val="20"/>
                <w:szCs w:val="20"/>
              </w:rPr>
              <w:t>单位名称：</w:t>
            </w:r>
            <w:r>
              <w:rPr>
                <w:rFonts w:hint="eastAsia" w:ascii="宋体" w:hAnsi="宋体" w:cs="宋体"/>
                <w:kern w:val="0"/>
                <w:sz w:val="20"/>
                <w:szCs w:val="20"/>
                <w:lang w:eastAsia="zh-CN"/>
              </w:rPr>
              <w:t>中共信阳市浉河区纪律检查委员会</w:t>
            </w:r>
          </w:p>
        </w:tc>
        <w:tc>
          <w:tcPr>
            <w:tcW w:w="5086" w:type="dxa"/>
            <w:gridSpan w:val="17"/>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单位：万元</w:t>
            </w:r>
          </w:p>
        </w:tc>
        <w:tc>
          <w:tcPr>
            <w:tcW w:w="3512" w:type="dxa"/>
            <w:gridSpan w:val="9"/>
            <w:tcBorders>
              <w:top w:val="nil"/>
              <w:lef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17"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851"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总计</w:t>
            </w:r>
          </w:p>
        </w:tc>
        <w:tc>
          <w:tcPr>
            <w:tcW w:w="4111" w:type="dxa"/>
            <w:gridSpan w:val="1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1701" w:type="dxa"/>
            <w:gridSpan w:val="6"/>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gridAfter w:val="13"/>
          <w:wAfter w:w="6553" w:type="dxa"/>
          <w:trHeight w:val="612" w:hRule="atLeast"/>
        </w:trPr>
        <w:tc>
          <w:tcPr>
            <w:tcW w:w="7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5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5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141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51"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工资福利支出</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商品服务支出</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对个人和家庭的补助</w:t>
            </w:r>
          </w:p>
        </w:tc>
        <w:tc>
          <w:tcPr>
            <w:tcW w:w="1701" w:type="dxa"/>
            <w:gridSpan w:val="6"/>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gridAfter w:val="13"/>
          <w:wAfter w:w="6553" w:type="dxa"/>
          <w:trHeight w:val="300" w:hRule="atLeast"/>
        </w:trPr>
        <w:tc>
          <w:tcPr>
            <w:tcW w:w="709" w:type="dxa"/>
            <w:gridSpan w:val="3"/>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568"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567" w:type="dxa"/>
            <w:gridSpan w:val="2"/>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1417" w:type="dxa"/>
            <w:gridSpan w:val="4"/>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927.9</w:t>
            </w:r>
          </w:p>
        </w:tc>
        <w:tc>
          <w:tcPr>
            <w:tcW w:w="567" w:type="dxa"/>
            <w:gridSpan w:val="2"/>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134" w:type="dxa"/>
            <w:gridSpan w:val="3"/>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347.5 </w:t>
            </w:r>
          </w:p>
        </w:tc>
        <w:tc>
          <w:tcPr>
            <w:tcW w:w="992" w:type="dxa"/>
            <w:gridSpan w:val="4"/>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xml:space="preserve">265.4 </w:t>
            </w:r>
          </w:p>
        </w:tc>
        <w:tc>
          <w:tcPr>
            <w:tcW w:w="1418" w:type="dxa"/>
            <w:gridSpan w:val="4"/>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701" w:type="dxa"/>
            <w:gridSpan w:val="6"/>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xml:space="preserve">315.0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5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41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行政运行</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242.0 </w:t>
            </w:r>
          </w:p>
        </w:tc>
        <w:tc>
          <w:tcPr>
            <w:tcW w:w="5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242.0 </w:t>
            </w:r>
          </w:p>
        </w:tc>
        <w:tc>
          <w:tcPr>
            <w:tcW w:w="992" w:type="dxa"/>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05</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离退休</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5.1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5.1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221</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02</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住房公积金</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36.7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36.7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05</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05</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养老保险</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34.0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34.0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210</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医疗保险</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28.0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28.0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210</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99</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其他医疗保险</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0.9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0.9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27</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02</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工伤保险</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0.4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0.4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行政运行</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238.4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238.4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行政运行</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27.0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27.0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27</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失业保险</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0.4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0.4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15.0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04</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大要案查处</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15.0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99</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其他纪检监察事务支出</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300.0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300.0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3"/>
          <w:wAfter w:w="6553" w:type="dxa"/>
          <w:trHeight w:val="462" w:hRule="atLeast"/>
        </w:trPr>
        <w:tc>
          <w:tcPr>
            <w:tcW w:w="70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141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bl>
    <w:p>
      <w:pPr>
        <w:jc w:val="center"/>
        <w:outlineLvl w:val="0"/>
        <w:rPr>
          <w:rFonts w:ascii="仿宋" w:hAnsi="仿宋" w:eastAsia="仿宋" w:cs="隶书"/>
          <w:sz w:val="52"/>
          <w:szCs w:val="52"/>
        </w:rPr>
      </w:pPr>
    </w:p>
    <w:p>
      <w:pPr>
        <w:jc w:val="center"/>
        <w:outlineLvl w:val="0"/>
        <w:rPr>
          <w:rFonts w:ascii="仿宋" w:hAnsi="仿宋" w:eastAsia="仿宋" w:cs="隶书"/>
          <w:sz w:val="10"/>
          <w:szCs w:val="10"/>
        </w:rPr>
      </w:pPr>
    </w:p>
    <w:tbl>
      <w:tblPr>
        <w:tblStyle w:val="5"/>
        <w:tblW w:w="10349" w:type="dxa"/>
        <w:tblInd w:w="-743" w:type="dxa"/>
        <w:tblLayout w:type="fixed"/>
        <w:tblCellMar>
          <w:top w:w="0" w:type="dxa"/>
          <w:left w:w="108" w:type="dxa"/>
          <w:bottom w:w="0" w:type="dxa"/>
          <w:right w:w="108" w:type="dxa"/>
        </w:tblCellMar>
      </w:tblPr>
      <w:tblGrid>
        <w:gridCol w:w="851"/>
        <w:gridCol w:w="625"/>
        <w:gridCol w:w="620"/>
        <w:gridCol w:w="1732"/>
        <w:gridCol w:w="568"/>
        <w:gridCol w:w="283"/>
        <w:gridCol w:w="567"/>
        <w:gridCol w:w="430"/>
        <w:gridCol w:w="137"/>
        <w:gridCol w:w="603"/>
        <w:gridCol w:w="236"/>
        <w:gridCol w:w="504"/>
        <w:gridCol w:w="1208"/>
        <w:gridCol w:w="1392"/>
        <w:gridCol w:w="593"/>
      </w:tblGrid>
      <w:tr>
        <w:tblPrEx>
          <w:tblCellMar>
            <w:top w:w="0" w:type="dxa"/>
            <w:left w:w="108" w:type="dxa"/>
            <w:bottom w:w="0" w:type="dxa"/>
            <w:right w:w="108" w:type="dxa"/>
          </w:tblCellMar>
        </w:tblPrEx>
        <w:trPr>
          <w:trHeight w:val="510" w:hRule="atLeast"/>
        </w:trPr>
        <w:tc>
          <w:tcPr>
            <w:tcW w:w="2096" w:type="dxa"/>
            <w:gridSpan w:val="3"/>
            <w:tcBorders>
              <w:top w:val="nil"/>
              <w:left w:val="nil"/>
              <w:bottom w:val="nil"/>
              <w:right w:val="nil"/>
            </w:tcBorders>
            <w:shd w:val="clear" w:color="auto" w:fill="auto"/>
            <w:vAlign w:val="center"/>
          </w:tcPr>
          <w:p>
            <w:pPr>
              <w:widowControl/>
              <w:jc w:val="left"/>
              <w:rPr>
                <w:rFonts w:ascii="宋体" w:hAnsi="宋体" w:cs="宋体"/>
                <w:kern w:val="0"/>
                <w:sz w:val="20"/>
                <w:szCs w:val="20"/>
              </w:rPr>
            </w:pPr>
            <w:bookmarkStart w:id="4" w:name="RANGE!A1:H34"/>
            <w:r>
              <w:rPr>
                <w:rFonts w:hint="eastAsia" w:ascii="宋体" w:hAnsi="宋体" w:cs="宋体"/>
                <w:kern w:val="0"/>
                <w:sz w:val="20"/>
                <w:szCs w:val="20"/>
              </w:rPr>
              <w:t>预算0</w:t>
            </w:r>
            <w:r>
              <w:rPr>
                <w:rFonts w:hint="eastAsia" w:ascii="宋体" w:hAnsi="宋体" w:cs="宋体"/>
                <w:kern w:val="0"/>
                <w:sz w:val="20"/>
                <w:szCs w:val="20"/>
                <w:lang w:val="en-US" w:eastAsia="zh-CN"/>
              </w:rPr>
              <w:t>6</w:t>
            </w:r>
            <w:r>
              <w:rPr>
                <w:rFonts w:hint="eastAsia" w:ascii="宋体" w:hAnsi="宋体" w:cs="宋体"/>
                <w:kern w:val="0"/>
                <w:sz w:val="20"/>
                <w:szCs w:val="20"/>
              </w:rPr>
              <w:t>表</w:t>
            </w:r>
            <w:bookmarkEnd w:id="4"/>
          </w:p>
        </w:tc>
        <w:tc>
          <w:tcPr>
            <w:tcW w:w="2300" w:type="dxa"/>
            <w:gridSpan w:val="2"/>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280" w:type="dxa"/>
            <w:gridSpan w:val="3"/>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40" w:type="dxa"/>
            <w:gridSpan w:val="2"/>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740" w:type="dxa"/>
            <w:gridSpan w:val="2"/>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2600"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5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10" w:hRule="atLeast"/>
        </w:trPr>
        <w:tc>
          <w:tcPr>
            <w:tcW w:w="10349" w:type="dxa"/>
            <w:gridSpan w:val="15"/>
            <w:tcBorders>
              <w:top w:val="nil"/>
              <w:left w:val="nil"/>
              <w:bottom w:val="nil"/>
              <w:right w:val="nil"/>
            </w:tcBorders>
            <w:shd w:val="clear" w:color="auto" w:fill="auto"/>
            <w:noWrap/>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2019年一般公共预算基本支出情况表（部门经济分类）</w:t>
            </w:r>
          </w:p>
        </w:tc>
      </w:tr>
      <w:tr>
        <w:tblPrEx>
          <w:tblCellMar>
            <w:top w:w="0" w:type="dxa"/>
            <w:left w:w="108" w:type="dxa"/>
            <w:bottom w:w="0" w:type="dxa"/>
            <w:right w:w="108" w:type="dxa"/>
          </w:tblCellMar>
        </w:tblPrEx>
        <w:trPr>
          <w:trHeight w:val="510" w:hRule="atLeast"/>
        </w:trPr>
        <w:tc>
          <w:tcPr>
            <w:tcW w:w="4396" w:type="dxa"/>
            <w:gridSpan w:val="5"/>
            <w:tcBorders>
              <w:top w:val="nil"/>
              <w:left w:val="nil"/>
              <w:bottom w:val="single" w:color="auto" w:sz="4" w:space="0"/>
              <w:right w:val="nil"/>
            </w:tcBorders>
            <w:shd w:val="clear" w:color="000000" w:fill="FFFFFF"/>
            <w:noWrap/>
            <w:vAlign w:val="bottom"/>
          </w:tcPr>
          <w:p>
            <w:pPr>
              <w:widowControl/>
              <w:jc w:val="left"/>
              <w:rPr>
                <w:rFonts w:ascii="宋体" w:hAnsi="宋体" w:cs="宋体"/>
                <w:kern w:val="0"/>
                <w:sz w:val="20"/>
                <w:szCs w:val="20"/>
              </w:rPr>
            </w:pPr>
            <w:r>
              <w:rPr>
                <w:rFonts w:hint="eastAsia" w:ascii="宋体" w:hAnsi="宋体" w:cs="宋体"/>
                <w:kern w:val="0"/>
                <w:sz w:val="20"/>
                <w:szCs w:val="20"/>
              </w:rPr>
              <w:t>　单位名称：</w:t>
            </w:r>
            <w:r>
              <w:rPr>
                <w:rFonts w:hint="eastAsia" w:ascii="宋体" w:hAnsi="宋体" w:cs="宋体"/>
                <w:kern w:val="0"/>
                <w:sz w:val="20"/>
                <w:szCs w:val="20"/>
                <w:lang w:eastAsia="zh-CN"/>
              </w:rPr>
              <w:t>中共信阳市浉河区纪律检查委员会</w:t>
            </w:r>
            <w:r>
              <w:rPr>
                <w:rFonts w:hint="eastAsia" w:ascii="宋体" w:hAnsi="宋体" w:cs="宋体"/>
                <w:kern w:val="0"/>
                <w:sz w:val="20"/>
                <w:szCs w:val="20"/>
              </w:rPr>
              <w:t>　</w:t>
            </w:r>
          </w:p>
        </w:tc>
        <w:tc>
          <w:tcPr>
            <w:tcW w:w="283" w:type="dxa"/>
            <w:tcBorders>
              <w:top w:val="nil"/>
              <w:left w:val="nil"/>
              <w:bottom w:val="single" w:color="auto" w:sz="4" w:space="0"/>
              <w:right w:val="nil"/>
            </w:tcBorders>
            <w:shd w:val="clear" w:color="000000" w:fill="FFFFFF"/>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737" w:type="dxa"/>
            <w:gridSpan w:val="4"/>
            <w:tcBorders>
              <w:top w:val="nil"/>
              <w:left w:val="nil"/>
              <w:bottom w:val="single" w:color="auto" w:sz="4" w:space="0"/>
              <w:right w:val="nil"/>
            </w:tcBorders>
            <w:shd w:val="clear" w:color="000000" w:fill="FFFFFF"/>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236"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3697" w:type="dxa"/>
            <w:gridSpan w:val="4"/>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50"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经济分类</w:t>
            </w:r>
          </w:p>
        </w:tc>
        <w:tc>
          <w:tcPr>
            <w:tcW w:w="320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人员经费</w:t>
            </w:r>
          </w:p>
        </w:tc>
        <w:tc>
          <w:tcPr>
            <w:tcW w:w="113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经济分类</w:t>
            </w:r>
          </w:p>
        </w:tc>
        <w:tc>
          <w:tcPr>
            <w:tcW w:w="453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公用经费</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23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金额</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科目名称</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金额</w:t>
            </w:r>
          </w:p>
        </w:tc>
      </w:tr>
      <w:tr>
        <w:tblPrEx>
          <w:tblCellMar>
            <w:top w:w="0" w:type="dxa"/>
            <w:left w:w="108" w:type="dxa"/>
            <w:bottom w:w="0" w:type="dxa"/>
            <w:right w:w="108" w:type="dxa"/>
          </w:tblCellMar>
        </w:tblPrEx>
        <w:trPr>
          <w:trHeight w:val="266" w:hRule="atLeast"/>
        </w:trPr>
        <w:tc>
          <w:tcPr>
            <w:tcW w:w="851"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347.5 </w:t>
            </w:r>
          </w:p>
        </w:tc>
        <w:tc>
          <w:tcPr>
            <w:tcW w:w="567"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265.4 </w:t>
            </w:r>
          </w:p>
        </w:tc>
      </w:tr>
      <w:tr>
        <w:tblPrEx>
          <w:tblCellMar>
            <w:top w:w="0" w:type="dxa"/>
            <w:left w:w="108" w:type="dxa"/>
            <w:bottom w:w="0" w:type="dxa"/>
            <w:right w:w="108" w:type="dxa"/>
          </w:tblCellMar>
        </w:tblPrEx>
        <w:trPr>
          <w:trHeight w:val="229"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3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347.5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265.4 </w:t>
            </w:r>
          </w:p>
        </w:tc>
      </w:tr>
      <w:tr>
        <w:tblPrEx>
          <w:tblCellMar>
            <w:top w:w="0" w:type="dxa"/>
            <w:left w:w="108" w:type="dxa"/>
            <w:bottom w:w="0" w:type="dxa"/>
            <w:right w:w="108" w:type="dxa"/>
          </w:tblCellMar>
        </w:tblPrEx>
        <w:trPr>
          <w:trHeight w:val="70"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基本工资</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152.0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办公费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62.6 </w:t>
            </w:r>
          </w:p>
        </w:tc>
      </w:tr>
      <w:tr>
        <w:tblPrEx>
          <w:tblCellMar>
            <w:top w:w="0" w:type="dxa"/>
            <w:left w:w="108" w:type="dxa"/>
            <w:bottom w:w="0" w:type="dxa"/>
            <w:right w:w="108" w:type="dxa"/>
          </w:tblCellMar>
        </w:tblPrEx>
        <w:trPr>
          <w:trHeight w:val="153"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津贴补贴</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90.0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印刷费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20.0 </w:t>
            </w:r>
          </w:p>
        </w:tc>
      </w:tr>
      <w:tr>
        <w:tblPrEx>
          <w:tblCellMar>
            <w:top w:w="0" w:type="dxa"/>
            <w:left w:w="108" w:type="dxa"/>
            <w:bottom w:w="0" w:type="dxa"/>
            <w:right w:w="108" w:type="dxa"/>
          </w:tblCellMar>
        </w:tblPrEx>
        <w:trPr>
          <w:trHeight w:val="70"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奖金</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5.1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咨询费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伙食补助费</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手续费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67"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绩效工资</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水费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基本养老保险缴费</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34.0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电费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3.0 </w:t>
            </w:r>
          </w:p>
        </w:tc>
      </w:tr>
      <w:tr>
        <w:tblPrEx>
          <w:tblCellMar>
            <w:top w:w="0" w:type="dxa"/>
            <w:left w:w="108" w:type="dxa"/>
            <w:bottom w:w="0" w:type="dxa"/>
            <w:right w:w="108" w:type="dxa"/>
          </w:tblCellMar>
        </w:tblPrEx>
        <w:trPr>
          <w:trHeight w:val="233"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职业年金缴费</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邮电费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15.0 </w:t>
            </w:r>
          </w:p>
        </w:tc>
      </w:tr>
      <w:tr>
        <w:tblPrEx>
          <w:tblCellMar>
            <w:top w:w="0" w:type="dxa"/>
            <w:left w:w="108" w:type="dxa"/>
            <w:bottom w:w="0" w:type="dxa"/>
            <w:right w:w="108" w:type="dxa"/>
          </w:tblCellMar>
        </w:tblPrEx>
        <w:trPr>
          <w:trHeight w:val="70"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基本医疗保险缴费</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28.0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取暖费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99"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公务员医疗补助缴费</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物业管理费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1"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其它社保缴费</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1.7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差旅费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36.0 </w:t>
            </w:r>
          </w:p>
        </w:tc>
      </w:tr>
      <w:tr>
        <w:tblPrEx>
          <w:tblCellMar>
            <w:top w:w="0" w:type="dxa"/>
            <w:left w:w="108" w:type="dxa"/>
            <w:bottom w:w="0" w:type="dxa"/>
            <w:right w:w="108" w:type="dxa"/>
          </w:tblCellMar>
        </w:tblPrEx>
        <w:trPr>
          <w:trHeight w:val="81"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住房公积金</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36.7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因公出国（境）费用</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医疗费</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维修（护）费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61"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其他工资福利支出</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租赁费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1" w:hRule="atLeast"/>
        </w:trPr>
        <w:tc>
          <w:tcPr>
            <w:tcW w:w="851"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会议费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1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3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培训费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20.0 </w:t>
            </w:r>
          </w:p>
        </w:tc>
      </w:tr>
      <w:tr>
        <w:tblPrEx>
          <w:tblCellMar>
            <w:top w:w="0" w:type="dxa"/>
            <w:left w:w="108" w:type="dxa"/>
            <w:bottom w:w="0" w:type="dxa"/>
            <w:right w:w="108" w:type="dxa"/>
          </w:tblCellMar>
        </w:tblPrEx>
        <w:trPr>
          <w:trHeight w:val="27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离休费</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公务招待费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22.3 </w:t>
            </w:r>
          </w:p>
        </w:tc>
      </w:tr>
      <w:tr>
        <w:tblPrEx>
          <w:tblCellMar>
            <w:top w:w="0" w:type="dxa"/>
            <w:left w:w="108" w:type="dxa"/>
            <w:bottom w:w="0" w:type="dxa"/>
            <w:right w:w="108" w:type="dxa"/>
          </w:tblCellMar>
        </w:tblPrEx>
        <w:trPr>
          <w:trHeight w:val="27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退休费</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专用材料费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退职（役）费</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被装购置费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0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抚恤金</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专用燃料费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92"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生活补助</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劳务费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2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救济费</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委托业务费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5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医疗费补助</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工会经费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50.0 </w:t>
            </w:r>
          </w:p>
        </w:tc>
      </w:tr>
      <w:tr>
        <w:tblPrEx>
          <w:tblCellMar>
            <w:top w:w="0" w:type="dxa"/>
            <w:left w:w="108" w:type="dxa"/>
            <w:bottom w:w="0" w:type="dxa"/>
            <w:right w:w="108" w:type="dxa"/>
          </w:tblCellMar>
        </w:tblPrEx>
        <w:trPr>
          <w:trHeight w:val="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助学金</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福利费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奖励金</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公务用车运行维护费</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9.5 </w:t>
            </w:r>
          </w:p>
        </w:tc>
      </w:tr>
      <w:tr>
        <w:tblPrEx>
          <w:tblCellMar>
            <w:top w:w="0" w:type="dxa"/>
            <w:left w:w="108" w:type="dxa"/>
            <w:bottom w:w="0" w:type="dxa"/>
            <w:right w:w="108" w:type="dxa"/>
          </w:tblCellMar>
        </w:tblPrEx>
        <w:trPr>
          <w:trHeight w:val="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个人农业生产补贴</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其他交通费用</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27.0 </w:t>
            </w:r>
          </w:p>
        </w:tc>
      </w:tr>
      <w:tr>
        <w:tblPrEx>
          <w:tblCellMar>
            <w:top w:w="0" w:type="dxa"/>
            <w:left w:w="108" w:type="dxa"/>
            <w:bottom w:w="0" w:type="dxa"/>
            <w:right w:w="108" w:type="dxa"/>
          </w:tblCellMar>
        </w:tblPrEx>
        <w:trPr>
          <w:trHeight w:val="30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352" w:type="dxa"/>
            <w:gridSpan w:val="2"/>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其他补助支出</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税金及附加费用</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8" w:hRule="atLeast"/>
        </w:trPr>
        <w:tc>
          <w:tcPr>
            <w:tcW w:w="85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352"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85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551" w:type="dxa"/>
            <w:gridSpan w:val="4"/>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其他商品和服务支出</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jc w:val="center"/>
        <w:outlineLvl w:val="0"/>
        <w:rPr>
          <w:rFonts w:ascii="仿宋" w:hAnsi="仿宋" w:eastAsia="仿宋" w:cs="隶书"/>
          <w:sz w:val="52"/>
          <w:szCs w:val="52"/>
        </w:rPr>
      </w:pPr>
    </w:p>
    <w:p>
      <w:pPr>
        <w:jc w:val="center"/>
        <w:outlineLvl w:val="0"/>
        <w:rPr>
          <w:rFonts w:ascii="仿宋" w:hAnsi="仿宋" w:eastAsia="仿宋" w:cs="隶书"/>
          <w:sz w:val="52"/>
          <w:szCs w:val="52"/>
        </w:rPr>
      </w:pPr>
    </w:p>
    <w:tbl>
      <w:tblPr>
        <w:tblStyle w:val="5"/>
        <w:tblW w:w="9639" w:type="dxa"/>
        <w:tblInd w:w="-459" w:type="dxa"/>
        <w:tblLayout w:type="fixed"/>
        <w:tblCellMar>
          <w:top w:w="0" w:type="dxa"/>
          <w:left w:w="108" w:type="dxa"/>
          <w:bottom w:w="0" w:type="dxa"/>
          <w:right w:w="108" w:type="dxa"/>
        </w:tblCellMar>
      </w:tblPr>
      <w:tblGrid>
        <w:gridCol w:w="3969"/>
        <w:gridCol w:w="883"/>
        <w:gridCol w:w="4787"/>
      </w:tblGrid>
      <w:tr>
        <w:tblPrEx>
          <w:tblCellMar>
            <w:top w:w="0" w:type="dxa"/>
            <w:left w:w="108" w:type="dxa"/>
            <w:bottom w:w="0" w:type="dxa"/>
            <w:right w:w="108" w:type="dxa"/>
          </w:tblCellMar>
        </w:tblPrEx>
        <w:trPr>
          <w:trHeight w:val="510" w:hRule="atLeast"/>
        </w:trPr>
        <w:tc>
          <w:tcPr>
            <w:tcW w:w="4852"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预算0</w:t>
            </w:r>
            <w:r>
              <w:rPr>
                <w:rFonts w:hint="eastAsia" w:ascii="宋体" w:hAnsi="宋体" w:cs="宋体"/>
                <w:kern w:val="0"/>
                <w:sz w:val="20"/>
                <w:szCs w:val="20"/>
                <w:lang w:val="en-US" w:eastAsia="zh-CN"/>
              </w:rPr>
              <w:t>7</w:t>
            </w:r>
            <w:r>
              <w:rPr>
                <w:rFonts w:hint="eastAsia" w:ascii="宋体" w:hAnsi="宋体" w:cs="宋体"/>
                <w:kern w:val="0"/>
                <w:sz w:val="20"/>
                <w:szCs w:val="20"/>
              </w:rPr>
              <w:t>表</w:t>
            </w:r>
          </w:p>
        </w:tc>
        <w:tc>
          <w:tcPr>
            <w:tcW w:w="4787" w:type="dxa"/>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10" w:hRule="atLeast"/>
        </w:trPr>
        <w:tc>
          <w:tcPr>
            <w:tcW w:w="9639" w:type="dxa"/>
            <w:gridSpan w:val="3"/>
            <w:tcBorders>
              <w:top w:val="nil"/>
              <w:left w:val="nil"/>
              <w:bottom w:val="nil"/>
              <w:right w:val="nil"/>
            </w:tcBorders>
            <w:shd w:val="clear" w:color="auto" w:fill="auto"/>
            <w:noWrap/>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2019年一般公共预算“三公”经费支出情况表</w:t>
            </w:r>
          </w:p>
        </w:tc>
      </w:tr>
      <w:tr>
        <w:tblPrEx>
          <w:tblCellMar>
            <w:top w:w="0" w:type="dxa"/>
            <w:left w:w="108" w:type="dxa"/>
            <w:bottom w:w="0" w:type="dxa"/>
            <w:right w:w="108" w:type="dxa"/>
          </w:tblCellMar>
        </w:tblPrEx>
        <w:trPr>
          <w:trHeight w:val="510" w:hRule="atLeast"/>
        </w:trPr>
        <w:tc>
          <w:tcPr>
            <w:tcW w:w="3969" w:type="dxa"/>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单位名称：</w:t>
            </w:r>
            <w:r>
              <w:rPr>
                <w:rFonts w:hint="eastAsia" w:ascii="宋体" w:hAnsi="宋体" w:cs="宋体"/>
                <w:kern w:val="0"/>
                <w:sz w:val="20"/>
                <w:szCs w:val="20"/>
                <w:lang w:eastAsia="zh-CN"/>
              </w:rPr>
              <w:t>中共信阳市浉河区纪律检查委员会</w:t>
            </w:r>
          </w:p>
        </w:tc>
        <w:tc>
          <w:tcPr>
            <w:tcW w:w="5670" w:type="dxa"/>
            <w:gridSpan w:val="2"/>
            <w:tcBorders>
              <w:top w:val="nil"/>
              <w:left w:val="nil"/>
              <w:bottom w:val="nil"/>
              <w:right w:val="nil"/>
            </w:tcBorders>
            <w:shd w:val="clear" w:color="auto" w:fill="auto"/>
            <w:noWrap/>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600" w:hRule="atLeast"/>
        </w:trPr>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56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“三公”经费预算数</w:t>
            </w:r>
          </w:p>
        </w:tc>
      </w:tr>
      <w:tr>
        <w:tblPrEx>
          <w:tblCellMar>
            <w:top w:w="0" w:type="dxa"/>
            <w:left w:w="108" w:type="dxa"/>
            <w:bottom w:w="0" w:type="dxa"/>
            <w:right w:w="108" w:type="dxa"/>
          </w:tblCellMar>
        </w:tblPrEx>
        <w:trPr>
          <w:trHeight w:val="600" w:hRule="atLeast"/>
        </w:trPr>
        <w:tc>
          <w:tcPr>
            <w:tcW w:w="39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共计</w:t>
            </w:r>
          </w:p>
        </w:tc>
        <w:tc>
          <w:tcPr>
            <w:tcW w:w="56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50.1 </w:t>
            </w:r>
          </w:p>
        </w:tc>
      </w:tr>
      <w:tr>
        <w:tblPrEx>
          <w:tblCellMar>
            <w:top w:w="0" w:type="dxa"/>
            <w:left w:w="108" w:type="dxa"/>
            <w:bottom w:w="0" w:type="dxa"/>
            <w:right w:w="108" w:type="dxa"/>
          </w:tblCellMar>
        </w:tblPrEx>
        <w:trPr>
          <w:trHeight w:val="600" w:hRule="atLeast"/>
        </w:trPr>
        <w:tc>
          <w:tcPr>
            <w:tcW w:w="396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1、因公出国（境）费用</w:t>
            </w:r>
          </w:p>
        </w:tc>
        <w:tc>
          <w:tcPr>
            <w:tcW w:w="56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00" w:hRule="atLeast"/>
        </w:trPr>
        <w:tc>
          <w:tcPr>
            <w:tcW w:w="396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2、公务接待费</w:t>
            </w:r>
          </w:p>
        </w:tc>
        <w:tc>
          <w:tcPr>
            <w:tcW w:w="56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22.3 </w:t>
            </w:r>
          </w:p>
        </w:tc>
      </w:tr>
      <w:tr>
        <w:tblPrEx>
          <w:tblCellMar>
            <w:top w:w="0" w:type="dxa"/>
            <w:left w:w="108" w:type="dxa"/>
            <w:bottom w:w="0" w:type="dxa"/>
            <w:right w:w="108" w:type="dxa"/>
          </w:tblCellMar>
        </w:tblPrEx>
        <w:trPr>
          <w:trHeight w:val="600" w:hRule="atLeast"/>
        </w:trPr>
        <w:tc>
          <w:tcPr>
            <w:tcW w:w="396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3、公务用车费</w:t>
            </w:r>
          </w:p>
        </w:tc>
        <w:tc>
          <w:tcPr>
            <w:tcW w:w="56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27.8 </w:t>
            </w:r>
          </w:p>
        </w:tc>
      </w:tr>
      <w:tr>
        <w:tblPrEx>
          <w:tblCellMar>
            <w:top w:w="0" w:type="dxa"/>
            <w:left w:w="108" w:type="dxa"/>
            <w:bottom w:w="0" w:type="dxa"/>
            <w:right w:w="108" w:type="dxa"/>
          </w:tblCellMar>
        </w:tblPrEx>
        <w:trPr>
          <w:trHeight w:val="600" w:hRule="atLeast"/>
        </w:trPr>
        <w:tc>
          <w:tcPr>
            <w:tcW w:w="396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其中：（1）公务用车运行维护费</w:t>
            </w:r>
          </w:p>
        </w:tc>
        <w:tc>
          <w:tcPr>
            <w:tcW w:w="56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9.5 </w:t>
            </w:r>
          </w:p>
        </w:tc>
      </w:tr>
      <w:tr>
        <w:tblPrEx>
          <w:tblCellMar>
            <w:top w:w="0" w:type="dxa"/>
            <w:left w:w="108" w:type="dxa"/>
            <w:bottom w:w="0" w:type="dxa"/>
            <w:right w:w="108" w:type="dxa"/>
          </w:tblCellMar>
        </w:tblPrEx>
        <w:trPr>
          <w:trHeight w:val="600" w:hRule="atLeast"/>
        </w:trPr>
        <w:tc>
          <w:tcPr>
            <w:tcW w:w="396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（2）公务用车购置</w:t>
            </w:r>
          </w:p>
        </w:tc>
        <w:tc>
          <w:tcPr>
            <w:tcW w:w="56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18.3 </w:t>
            </w:r>
          </w:p>
        </w:tc>
      </w:tr>
      <w:tr>
        <w:tblPrEx>
          <w:tblCellMar>
            <w:top w:w="0" w:type="dxa"/>
            <w:left w:w="108" w:type="dxa"/>
            <w:bottom w:w="0" w:type="dxa"/>
            <w:right w:w="108" w:type="dxa"/>
          </w:tblCellMar>
        </w:tblPrEx>
        <w:trPr>
          <w:trHeight w:val="600" w:hRule="atLeast"/>
        </w:trPr>
        <w:tc>
          <w:tcPr>
            <w:tcW w:w="396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jc w:val="center"/>
        <w:outlineLvl w:val="0"/>
        <w:rPr>
          <w:rFonts w:ascii="仿宋" w:hAnsi="仿宋" w:eastAsia="仿宋" w:cs="隶书"/>
          <w:sz w:val="52"/>
          <w:szCs w:val="52"/>
        </w:rPr>
      </w:pPr>
    </w:p>
    <w:p>
      <w:pPr>
        <w:jc w:val="center"/>
        <w:outlineLvl w:val="0"/>
        <w:rPr>
          <w:rFonts w:ascii="仿宋" w:hAnsi="仿宋" w:eastAsia="仿宋" w:cs="隶书"/>
          <w:sz w:val="52"/>
          <w:szCs w:val="52"/>
        </w:rPr>
      </w:pPr>
    </w:p>
    <w:p>
      <w:pPr>
        <w:jc w:val="center"/>
        <w:outlineLvl w:val="0"/>
        <w:rPr>
          <w:rFonts w:ascii="仿宋" w:hAnsi="仿宋" w:eastAsia="仿宋" w:cs="隶书"/>
          <w:sz w:val="52"/>
          <w:szCs w:val="52"/>
        </w:rPr>
      </w:pPr>
    </w:p>
    <w:p>
      <w:pPr>
        <w:jc w:val="center"/>
        <w:outlineLvl w:val="0"/>
        <w:rPr>
          <w:rFonts w:ascii="仿宋" w:hAnsi="仿宋" w:eastAsia="仿宋" w:cs="隶书"/>
          <w:sz w:val="52"/>
          <w:szCs w:val="52"/>
        </w:rPr>
      </w:pPr>
    </w:p>
    <w:tbl>
      <w:tblPr>
        <w:tblStyle w:val="5"/>
        <w:tblW w:w="13568" w:type="dxa"/>
        <w:tblInd w:w="-459" w:type="dxa"/>
        <w:tblLayout w:type="fixed"/>
        <w:tblCellMar>
          <w:top w:w="0" w:type="dxa"/>
          <w:left w:w="108" w:type="dxa"/>
          <w:bottom w:w="0" w:type="dxa"/>
          <w:right w:w="108" w:type="dxa"/>
        </w:tblCellMar>
      </w:tblPr>
      <w:tblGrid>
        <w:gridCol w:w="1386"/>
        <w:gridCol w:w="757"/>
        <w:gridCol w:w="760"/>
        <w:gridCol w:w="641"/>
        <w:gridCol w:w="425"/>
        <w:gridCol w:w="567"/>
        <w:gridCol w:w="1027"/>
        <w:gridCol w:w="107"/>
        <w:gridCol w:w="993"/>
        <w:gridCol w:w="589"/>
        <w:gridCol w:w="1112"/>
        <w:gridCol w:w="408"/>
        <w:gridCol w:w="1151"/>
        <w:gridCol w:w="369"/>
        <w:gridCol w:w="1520"/>
        <w:gridCol w:w="1520"/>
        <w:gridCol w:w="236"/>
      </w:tblGrid>
      <w:tr>
        <w:tblPrEx>
          <w:tblCellMar>
            <w:top w:w="0" w:type="dxa"/>
            <w:left w:w="108" w:type="dxa"/>
            <w:bottom w:w="0" w:type="dxa"/>
            <w:right w:w="108" w:type="dxa"/>
          </w:tblCellMar>
        </w:tblPrEx>
        <w:trPr>
          <w:trHeight w:val="510" w:hRule="atLeast"/>
        </w:trPr>
        <w:tc>
          <w:tcPr>
            <w:tcW w:w="2143"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预算0</w:t>
            </w:r>
            <w:r>
              <w:rPr>
                <w:rFonts w:hint="eastAsia" w:ascii="宋体" w:hAnsi="宋体" w:cs="宋体"/>
                <w:kern w:val="0"/>
                <w:sz w:val="20"/>
                <w:szCs w:val="20"/>
                <w:lang w:val="en-US" w:eastAsia="zh-CN"/>
              </w:rPr>
              <w:t>8</w:t>
            </w:r>
            <w:r>
              <w:rPr>
                <w:rFonts w:hint="eastAsia" w:ascii="宋体" w:hAnsi="宋体" w:cs="宋体"/>
                <w:kern w:val="0"/>
                <w:sz w:val="20"/>
                <w:szCs w:val="20"/>
              </w:rPr>
              <w:t>表</w:t>
            </w:r>
          </w:p>
        </w:tc>
        <w:tc>
          <w:tcPr>
            <w:tcW w:w="760" w:type="dxa"/>
            <w:tcBorders>
              <w:top w:val="nil"/>
              <w:left w:val="nil"/>
              <w:bottom w:val="nil"/>
              <w:right w:val="nil"/>
            </w:tcBorders>
            <w:shd w:val="clear" w:color="auto" w:fill="auto"/>
            <w:noWrap/>
            <w:vAlign w:val="center"/>
          </w:tcPr>
          <w:p>
            <w:pPr>
              <w:widowControl/>
              <w:jc w:val="center"/>
              <w:rPr>
                <w:rFonts w:ascii="宋体" w:hAnsi="宋体" w:cs="宋体"/>
                <w:kern w:val="0"/>
                <w:sz w:val="20"/>
                <w:szCs w:val="20"/>
              </w:rPr>
            </w:pPr>
          </w:p>
        </w:tc>
        <w:tc>
          <w:tcPr>
            <w:tcW w:w="2660" w:type="dxa"/>
            <w:gridSpan w:val="4"/>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p>
        </w:tc>
        <w:tc>
          <w:tcPr>
            <w:tcW w:w="1689" w:type="dxa"/>
            <w:gridSpan w:val="3"/>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520"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520"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520"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520"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236"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4"/>
          <w:wAfter w:w="3645" w:type="dxa"/>
          <w:trHeight w:val="510" w:hRule="atLeast"/>
        </w:trPr>
        <w:tc>
          <w:tcPr>
            <w:tcW w:w="9923" w:type="dxa"/>
            <w:gridSpan w:val="13"/>
            <w:tcBorders>
              <w:top w:val="nil"/>
              <w:left w:val="nil"/>
              <w:bottom w:val="nil"/>
              <w:right w:val="nil"/>
            </w:tcBorders>
            <w:shd w:val="clear" w:color="auto" w:fill="auto"/>
            <w:noWrap/>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2019年政府性基金支出情况表</w:t>
            </w:r>
          </w:p>
        </w:tc>
      </w:tr>
      <w:tr>
        <w:tblPrEx>
          <w:tblCellMar>
            <w:top w:w="0" w:type="dxa"/>
            <w:left w:w="108" w:type="dxa"/>
            <w:bottom w:w="0" w:type="dxa"/>
            <w:right w:w="108" w:type="dxa"/>
          </w:tblCellMar>
        </w:tblPrEx>
        <w:trPr>
          <w:gridAfter w:val="4"/>
          <w:wAfter w:w="3645" w:type="dxa"/>
          <w:trHeight w:val="510" w:hRule="atLeast"/>
        </w:trPr>
        <w:tc>
          <w:tcPr>
            <w:tcW w:w="3969" w:type="dxa"/>
            <w:gridSpan w:val="5"/>
            <w:tcBorders>
              <w:top w:val="nil"/>
              <w:left w:val="nil"/>
              <w:bottom w:val="single" w:color="auto" w:sz="4" w:space="0"/>
              <w:right w:val="nil"/>
            </w:tcBorders>
            <w:shd w:val="clear" w:color="auto" w:fill="auto"/>
            <w:noWrap/>
            <w:vAlign w:val="bottom"/>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单位名称：</w:t>
            </w:r>
            <w:r>
              <w:rPr>
                <w:rFonts w:hint="eastAsia" w:ascii="宋体" w:hAnsi="宋体" w:cs="宋体"/>
                <w:kern w:val="0"/>
                <w:sz w:val="20"/>
                <w:szCs w:val="20"/>
                <w:lang w:eastAsia="zh-CN"/>
              </w:rPr>
              <w:t>中共信阳市浉河区纪律检查委员会</w:t>
            </w:r>
          </w:p>
        </w:tc>
        <w:tc>
          <w:tcPr>
            <w:tcW w:w="4803" w:type="dxa"/>
            <w:gridSpan w:val="7"/>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c>
          <w:tcPr>
            <w:tcW w:w="1151"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7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总计</w:t>
            </w:r>
          </w:p>
        </w:tc>
        <w:tc>
          <w:tcPr>
            <w:tcW w:w="4395"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1559"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gridAfter w:val="4"/>
          <w:wAfter w:w="3645" w:type="dxa"/>
          <w:trHeight w:val="612" w:hRule="atLeast"/>
        </w:trPr>
        <w:tc>
          <w:tcPr>
            <w:tcW w:w="1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6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工资福利支出</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商品服务支出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对个人和家庭的补助</w:t>
            </w:r>
          </w:p>
        </w:tc>
        <w:tc>
          <w:tcPr>
            <w:tcW w:w="155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gridAfter w:val="4"/>
          <w:wAfter w:w="3645" w:type="dxa"/>
          <w:trHeight w:val="300" w:hRule="atLeast"/>
        </w:trPr>
        <w:tc>
          <w:tcPr>
            <w:tcW w:w="1386"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757"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76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641"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42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67"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gridSpan w:val="2"/>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93"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701" w:type="dxa"/>
            <w:gridSpan w:val="2"/>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559" w:type="dxa"/>
            <w:gridSpan w:val="2"/>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tabs>
                <w:tab w:val="center" w:pos="104"/>
                <w:tab w:val="right" w:pos="529"/>
              </w:tabs>
              <w:jc w:val="left"/>
              <w:rPr>
                <w:rFonts w:ascii="宋体" w:hAnsi="宋体" w:cs="宋体"/>
                <w:kern w:val="0"/>
                <w:sz w:val="20"/>
                <w:szCs w:val="20"/>
              </w:rPr>
            </w:pPr>
            <w:r>
              <w:rPr>
                <w:rFonts w:hint="eastAsia" w:ascii="宋体" w:hAnsi="宋体" w:cs="宋体"/>
                <w:kern w:val="0"/>
                <w:sz w:val="20"/>
                <w:szCs w:val="20"/>
                <w:lang w:eastAsia="zh-CN"/>
              </w:rPr>
              <w:tab/>
            </w:r>
            <w:r>
              <w:rPr>
                <w:rFonts w:hint="eastAsia" w:ascii="宋体" w:hAnsi="宋体" w:cs="宋体"/>
                <w:kern w:val="0"/>
                <w:sz w:val="20"/>
                <w:szCs w:val="20"/>
                <w:lang w:val="en-US" w:eastAsia="zh-CN"/>
              </w:rPr>
              <w:t>0</w:t>
            </w:r>
            <w:r>
              <w:rPr>
                <w:rFonts w:hint="eastAsia" w:ascii="宋体" w:hAnsi="宋体" w:cs="宋体"/>
                <w:kern w:val="0"/>
                <w:sz w:val="20"/>
                <w:szCs w:val="20"/>
                <w:lang w:eastAsia="zh-CN"/>
              </w:rPr>
              <w:tab/>
            </w:r>
            <w:r>
              <w:rPr>
                <w:rFonts w:hint="eastAsia" w:ascii="宋体" w:hAnsi="宋体" w:cs="宋体"/>
                <w:kern w:val="0"/>
                <w:sz w:val="20"/>
                <w:szCs w:val="20"/>
              </w:rPr>
              <w:t>　</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4"/>
          <w:wAfter w:w="3645" w:type="dxa"/>
          <w:trHeight w:val="462" w:hRule="atLeast"/>
        </w:trPr>
        <w:tc>
          <w:tcPr>
            <w:tcW w:w="13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jc w:val="center"/>
        <w:outlineLvl w:val="0"/>
        <w:rPr>
          <w:rFonts w:ascii="仿宋" w:hAnsi="仿宋" w:eastAsia="仿宋" w:cs="隶书"/>
          <w:sz w:val="52"/>
          <w:szCs w:val="52"/>
        </w:rPr>
      </w:pPr>
      <w:r>
        <w:rPr>
          <w:rFonts w:hint="eastAsia" w:ascii="仿宋" w:hAnsi="仿宋" w:eastAsia="仿宋" w:cs="宋体"/>
          <w:b/>
          <w:color w:val="FF0000"/>
          <w:kern w:val="0"/>
          <w:sz w:val="20"/>
          <w:szCs w:val="20"/>
        </w:rPr>
        <w:t>说明：没有政府性基金收入，也没有使用政府性基金安排的支出，故本表无数据。</w:t>
      </w:r>
    </w:p>
    <w:p>
      <w:pPr>
        <w:jc w:val="center"/>
        <w:outlineLvl w:val="0"/>
        <w:rPr>
          <w:rFonts w:ascii="仿宋" w:hAnsi="仿宋" w:eastAsia="仿宋" w:cs="隶书"/>
          <w:sz w:val="52"/>
          <w:szCs w:val="52"/>
        </w:rPr>
      </w:pPr>
    </w:p>
    <w:p>
      <w:pPr>
        <w:jc w:val="center"/>
        <w:outlineLvl w:val="0"/>
        <w:rPr>
          <w:rFonts w:ascii="仿宋" w:hAnsi="仿宋" w:eastAsia="仿宋" w:cs="隶书"/>
          <w:sz w:val="52"/>
          <w:szCs w:val="52"/>
        </w:rPr>
      </w:pPr>
    </w:p>
    <w:p>
      <w:pPr>
        <w:jc w:val="center"/>
        <w:outlineLvl w:val="0"/>
        <w:rPr>
          <w:rFonts w:ascii="仿宋" w:hAnsi="仿宋" w:eastAsia="仿宋" w:cs="隶书"/>
          <w:sz w:val="52"/>
          <w:szCs w:val="52"/>
        </w:rPr>
      </w:pPr>
    </w:p>
    <w:p>
      <w:pPr>
        <w:jc w:val="center"/>
        <w:outlineLvl w:val="0"/>
        <w:rPr>
          <w:rFonts w:ascii="仿宋" w:hAnsi="仿宋" w:eastAsia="仿宋" w:cs="隶书"/>
          <w:sz w:val="52"/>
          <w:szCs w:val="52"/>
        </w:rPr>
      </w:pPr>
    </w:p>
    <w:p>
      <w:pPr>
        <w:jc w:val="center"/>
        <w:outlineLvl w:val="0"/>
        <w:rPr>
          <w:rFonts w:ascii="仿宋" w:hAnsi="仿宋" w:eastAsia="仿宋" w:cs="隶书"/>
          <w:sz w:val="52"/>
          <w:szCs w:val="52"/>
        </w:rPr>
      </w:pPr>
    </w:p>
    <w:p>
      <w:pPr>
        <w:jc w:val="center"/>
        <w:outlineLvl w:val="0"/>
        <w:rPr>
          <w:rFonts w:ascii="仿宋" w:hAnsi="仿宋" w:eastAsia="仿宋" w:cs="隶书"/>
          <w:sz w:val="52"/>
          <w:szCs w:val="52"/>
        </w:rPr>
      </w:pPr>
    </w:p>
    <w:p>
      <w:pPr>
        <w:jc w:val="center"/>
        <w:outlineLvl w:val="0"/>
        <w:rPr>
          <w:rFonts w:cs="隶书" w:asciiTheme="majorEastAsia" w:hAnsiTheme="majorEastAsia" w:eastAsiaTheme="majorEastAsia"/>
          <w:sz w:val="52"/>
          <w:szCs w:val="52"/>
        </w:rPr>
      </w:pPr>
    </w:p>
    <w:p>
      <w:pPr>
        <w:jc w:val="center"/>
        <w:outlineLvl w:val="0"/>
        <w:rPr>
          <w:rFonts w:cs="隶书" w:asciiTheme="majorEastAsia" w:hAnsiTheme="majorEastAsia" w:eastAsiaTheme="majorEastAsia"/>
          <w:sz w:val="52"/>
          <w:szCs w:val="52"/>
        </w:rPr>
      </w:pPr>
      <w:r>
        <w:rPr>
          <w:rFonts w:hint="eastAsia" w:cs="隶书" w:asciiTheme="majorEastAsia" w:hAnsiTheme="majorEastAsia" w:eastAsiaTheme="majorEastAsia"/>
          <w:sz w:val="52"/>
          <w:szCs w:val="52"/>
        </w:rPr>
        <w:t>第三部分</w:t>
      </w:r>
    </w:p>
    <w:p>
      <w:pPr>
        <w:jc w:val="center"/>
        <w:rPr>
          <w:rFonts w:hint="eastAsia" w:cs="黑体" w:asciiTheme="majorEastAsia" w:hAnsiTheme="majorEastAsia" w:eastAsiaTheme="majorEastAsia"/>
          <w:sz w:val="52"/>
          <w:szCs w:val="52"/>
          <w:lang w:eastAsia="zh-CN"/>
        </w:rPr>
      </w:pPr>
      <w:r>
        <w:rPr>
          <w:rFonts w:hint="eastAsia" w:cs="隶书" w:asciiTheme="majorEastAsia" w:hAnsiTheme="majorEastAsia" w:eastAsiaTheme="majorEastAsia"/>
          <w:sz w:val="52"/>
          <w:szCs w:val="52"/>
          <w:lang w:eastAsia="zh-CN"/>
        </w:rPr>
        <w:t>中共信阳市浉河区纪律检查委员会</w:t>
      </w:r>
    </w:p>
    <w:p>
      <w:pPr>
        <w:jc w:val="center"/>
        <w:rPr>
          <w:rFonts w:cs="隶书" w:asciiTheme="majorEastAsia" w:hAnsiTheme="majorEastAsia" w:eastAsiaTheme="majorEastAsia"/>
          <w:sz w:val="52"/>
          <w:szCs w:val="52"/>
        </w:rPr>
        <w:sectPr>
          <w:pgSz w:w="11906" w:h="16838"/>
          <w:pgMar w:top="1440" w:right="1800" w:bottom="1440" w:left="1800" w:header="851" w:footer="992" w:gutter="0"/>
          <w:pgNumType w:fmt="numberInDash"/>
          <w:cols w:space="425" w:num="1"/>
          <w:docGrid w:type="lines" w:linePitch="312" w:charSpace="0"/>
        </w:sectPr>
      </w:pPr>
      <w:r>
        <w:rPr>
          <w:rFonts w:cs="隶书" w:asciiTheme="majorEastAsia" w:hAnsiTheme="majorEastAsia" w:eastAsiaTheme="majorEastAsia"/>
          <w:sz w:val="52"/>
          <w:szCs w:val="52"/>
        </w:rPr>
        <w:t>201</w:t>
      </w:r>
      <w:r>
        <w:rPr>
          <w:rFonts w:hint="eastAsia" w:cs="隶书" w:asciiTheme="majorEastAsia" w:hAnsiTheme="majorEastAsia" w:eastAsiaTheme="majorEastAsia"/>
          <w:sz w:val="52"/>
          <w:szCs w:val="52"/>
        </w:rPr>
        <w:t>9年度部门预算情况说明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Theme="majorEastAsia" w:hAnsiTheme="majorEastAsia" w:eastAsiaTheme="majorEastAsia"/>
          <w:sz w:val="32"/>
          <w:szCs w:val="32"/>
        </w:rPr>
      </w:pPr>
      <w:r>
        <w:rPr>
          <w:rFonts w:hint="eastAsia" w:asciiTheme="majorEastAsia" w:hAnsiTheme="majorEastAsia" w:eastAsiaTheme="majorEastAsia"/>
          <w:sz w:val="32"/>
          <w:szCs w:val="32"/>
        </w:rPr>
        <w:t>一、关于收入支出预算总体情况说明</w:t>
      </w:r>
    </w:p>
    <w:p>
      <w:pPr>
        <w:adjustRightInd w:val="0"/>
        <w:snapToGrid w:val="0"/>
        <w:spacing w:line="360" w:lineRule="auto"/>
        <w:ind w:firstLine="640" w:firstLineChars="200"/>
        <w:rPr>
          <w:rFonts w:hint="eastAsia" w:eastAsia="仿宋" w:cs="Courier New" w:asciiTheme="majorEastAsia" w:hAnsiTheme="majorEastAsia"/>
          <w:sz w:val="32"/>
          <w:szCs w:val="32"/>
          <w:lang w:eastAsia="zh-CN"/>
        </w:rPr>
      </w:pP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9</w:t>
      </w:r>
      <w:r>
        <w:rPr>
          <w:rFonts w:hint="eastAsia" w:cs="宋体" w:asciiTheme="majorEastAsia" w:hAnsiTheme="majorEastAsia" w:eastAsiaTheme="majorEastAsia"/>
          <w:sz w:val="32"/>
          <w:szCs w:val="32"/>
        </w:rPr>
        <w:t>年度收入总计</w:t>
      </w:r>
      <w:r>
        <w:rPr>
          <w:rFonts w:hint="eastAsia" w:cs="Courier New" w:asciiTheme="majorEastAsia" w:hAnsiTheme="majorEastAsia" w:eastAsiaTheme="majorEastAsia"/>
          <w:sz w:val="32"/>
          <w:szCs w:val="32"/>
        </w:rPr>
        <w:t>927.9</w:t>
      </w:r>
      <w:r>
        <w:rPr>
          <w:rFonts w:hint="eastAsia" w:cs="宋体" w:asciiTheme="majorEastAsia" w:hAnsiTheme="majorEastAsia" w:eastAsiaTheme="majorEastAsia"/>
          <w:sz w:val="32"/>
          <w:szCs w:val="32"/>
        </w:rPr>
        <w:t>万元，支出总计</w:t>
      </w:r>
      <w:r>
        <w:rPr>
          <w:rFonts w:hint="eastAsia" w:cs="Courier New" w:asciiTheme="majorEastAsia" w:hAnsiTheme="majorEastAsia" w:eastAsiaTheme="majorEastAsia"/>
          <w:sz w:val="32"/>
          <w:szCs w:val="32"/>
        </w:rPr>
        <w:t>927.9</w:t>
      </w:r>
      <w:r>
        <w:rPr>
          <w:rFonts w:hint="eastAsia" w:cs="宋体" w:asciiTheme="majorEastAsia" w:hAnsiTheme="majorEastAsia" w:eastAsiaTheme="majorEastAsia"/>
          <w:sz w:val="32"/>
          <w:szCs w:val="32"/>
        </w:rPr>
        <w:t>万元，与</w:t>
      </w: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8</w:t>
      </w:r>
      <w:r>
        <w:rPr>
          <w:rFonts w:hint="eastAsia" w:cs="宋体" w:asciiTheme="majorEastAsia" w:hAnsiTheme="majorEastAsia" w:eastAsiaTheme="majorEastAsia"/>
          <w:sz w:val="32"/>
          <w:szCs w:val="32"/>
        </w:rPr>
        <w:t>年相比，收入</w:t>
      </w:r>
      <w:r>
        <w:rPr>
          <w:rFonts w:hint="eastAsia" w:cs="Courier New" w:asciiTheme="majorEastAsia" w:hAnsiTheme="majorEastAsia" w:eastAsiaTheme="majorEastAsia"/>
          <w:sz w:val="32"/>
          <w:szCs w:val="32"/>
        </w:rPr>
        <w:t>增加126.4</w:t>
      </w:r>
      <w:r>
        <w:rPr>
          <w:rFonts w:hint="eastAsia" w:cs="宋体" w:asciiTheme="majorEastAsia" w:hAnsiTheme="majorEastAsia" w:eastAsiaTheme="majorEastAsia"/>
          <w:sz w:val="32"/>
          <w:szCs w:val="32"/>
        </w:rPr>
        <w:t>万元，</w:t>
      </w:r>
      <w:r>
        <w:rPr>
          <w:rFonts w:hint="eastAsia" w:cs="Courier New" w:asciiTheme="majorEastAsia" w:hAnsiTheme="majorEastAsia" w:eastAsiaTheme="majorEastAsia"/>
          <w:sz w:val="32"/>
          <w:szCs w:val="32"/>
        </w:rPr>
        <w:t>支出增加126.4</w:t>
      </w:r>
      <w:r>
        <w:rPr>
          <w:rFonts w:hint="eastAsia" w:cs="宋体" w:asciiTheme="majorEastAsia" w:hAnsiTheme="majorEastAsia" w:eastAsiaTheme="majorEastAsia"/>
          <w:sz w:val="32"/>
          <w:szCs w:val="32"/>
        </w:rPr>
        <w:t>万元，</w:t>
      </w:r>
      <w:r>
        <w:rPr>
          <w:rFonts w:hint="eastAsia" w:cs="Courier New" w:asciiTheme="majorEastAsia" w:hAnsiTheme="majorEastAsia" w:eastAsiaTheme="majorEastAsia"/>
          <w:sz w:val="32"/>
          <w:szCs w:val="32"/>
        </w:rPr>
        <w:t>增加16</w:t>
      </w:r>
      <w:r>
        <w:rPr>
          <w:rFonts w:cs="Courier New" w:asciiTheme="majorEastAsia" w:hAnsiTheme="majorEastAsia" w:eastAsiaTheme="majorEastAsia"/>
          <w:sz w:val="32"/>
          <w:szCs w:val="32"/>
        </w:rPr>
        <w:t>%</w:t>
      </w:r>
      <w:r>
        <w:rPr>
          <w:rFonts w:hint="eastAsia" w:cs="宋体" w:asciiTheme="majorEastAsia" w:hAnsiTheme="majorEastAsia" w:eastAsiaTheme="majorEastAsia"/>
          <w:sz w:val="32"/>
          <w:szCs w:val="32"/>
        </w:rPr>
        <w:t>。</w:t>
      </w:r>
      <w:r>
        <w:rPr>
          <w:rFonts w:hint="eastAsia" w:ascii="仿宋" w:hAnsi="仿宋" w:eastAsia="仿宋"/>
          <w:color w:val="000000"/>
          <w:sz w:val="32"/>
          <w:szCs w:val="32"/>
        </w:rPr>
        <w:t>主要原因：廉政基地建设费用增加</w:t>
      </w:r>
      <w:r>
        <w:rPr>
          <w:rFonts w:hint="eastAsia" w:ascii="仿宋" w:hAnsi="仿宋" w:eastAsia="仿宋"/>
          <w:color w:val="000000"/>
          <w:sz w:val="32"/>
          <w:szCs w:val="32"/>
          <w:lang w:eastAsia="zh-CN"/>
        </w:rPr>
        <w:t>。</w:t>
      </w:r>
    </w:p>
    <w:p>
      <w:pPr>
        <w:adjustRightInd w:val="0"/>
        <w:snapToGrid w:val="0"/>
        <w:spacing w:line="360" w:lineRule="auto"/>
        <w:ind w:firstLine="640" w:firstLineChars="200"/>
        <w:outlineLvl w:val="1"/>
        <w:rPr>
          <w:rFonts w:asciiTheme="majorEastAsia" w:hAnsiTheme="majorEastAsia" w:eastAsiaTheme="majorEastAsia"/>
          <w:sz w:val="32"/>
          <w:szCs w:val="32"/>
        </w:rPr>
      </w:pPr>
      <w:r>
        <w:rPr>
          <w:rFonts w:hint="eastAsia" w:asciiTheme="majorEastAsia" w:hAnsiTheme="majorEastAsia" w:eastAsiaTheme="majorEastAsia"/>
          <w:sz w:val="32"/>
          <w:szCs w:val="32"/>
        </w:rPr>
        <w:t>二、关于收入预算情况说明</w:t>
      </w:r>
    </w:p>
    <w:p>
      <w:pPr>
        <w:adjustRightInd w:val="0"/>
        <w:snapToGrid w:val="0"/>
        <w:spacing w:line="360" w:lineRule="auto"/>
        <w:ind w:firstLine="640" w:firstLineChars="200"/>
        <w:rPr>
          <w:rFonts w:asciiTheme="majorEastAsia" w:hAnsiTheme="majorEastAsia" w:eastAsiaTheme="majorEastAsia"/>
          <w:sz w:val="32"/>
          <w:szCs w:val="32"/>
        </w:rPr>
      </w:pP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9</w:t>
      </w:r>
      <w:r>
        <w:rPr>
          <w:rFonts w:hint="eastAsia" w:cs="宋体" w:asciiTheme="majorEastAsia" w:hAnsiTheme="majorEastAsia" w:eastAsiaTheme="majorEastAsia"/>
          <w:sz w:val="32"/>
          <w:szCs w:val="32"/>
        </w:rPr>
        <w:t>年度收入合计</w:t>
      </w:r>
      <w:r>
        <w:rPr>
          <w:rFonts w:hint="eastAsia" w:cs="Courier New" w:asciiTheme="majorEastAsia" w:hAnsiTheme="majorEastAsia" w:eastAsiaTheme="majorEastAsia"/>
          <w:sz w:val="32"/>
          <w:szCs w:val="32"/>
        </w:rPr>
        <w:t>927.9</w:t>
      </w:r>
      <w:r>
        <w:rPr>
          <w:rFonts w:hint="eastAsia" w:cs="宋体" w:asciiTheme="majorEastAsia" w:hAnsiTheme="majorEastAsia" w:eastAsiaTheme="majorEastAsia"/>
          <w:sz w:val="32"/>
          <w:szCs w:val="32"/>
        </w:rPr>
        <w:t>万元，其中：财政拨款收入</w:t>
      </w:r>
      <w:r>
        <w:rPr>
          <w:rFonts w:hint="eastAsia" w:cs="Courier New" w:asciiTheme="majorEastAsia" w:hAnsiTheme="majorEastAsia" w:eastAsiaTheme="majorEastAsia"/>
          <w:sz w:val="32"/>
          <w:szCs w:val="32"/>
        </w:rPr>
        <w:t>927.9</w:t>
      </w:r>
      <w:r>
        <w:rPr>
          <w:rFonts w:hint="eastAsia" w:cs="宋体" w:asciiTheme="majorEastAsia" w:hAnsiTheme="majorEastAsia" w:eastAsiaTheme="majorEastAsia"/>
          <w:sz w:val="32"/>
          <w:szCs w:val="32"/>
        </w:rPr>
        <w:t>万元，占</w:t>
      </w:r>
      <w:r>
        <w:rPr>
          <w:rFonts w:asciiTheme="majorEastAsia" w:hAnsiTheme="majorEastAsia" w:eastAsiaTheme="majorEastAsia"/>
          <w:sz w:val="32"/>
          <w:szCs w:val="32"/>
        </w:rPr>
        <w:t>100 %</w:t>
      </w:r>
      <w:r>
        <w:rPr>
          <w:rFonts w:hint="eastAsia" w:cs="宋体" w:asciiTheme="majorEastAsia" w:hAnsiTheme="majorEastAsia" w:eastAsiaTheme="majorEastAsia"/>
          <w:sz w:val="32"/>
          <w:szCs w:val="32"/>
        </w:rPr>
        <w:t>；事业收入</w:t>
      </w:r>
      <w:r>
        <w:rPr>
          <w:rFonts w:asciiTheme="majorEastAsia" w:hAnsiTheme="majorEastAsia" w:eastAsiaTheme="majorEastAsia"/>
          <w:sz w:val="32"/>
          <w:szCs w:val="32"/>
        </w:rPr>
        <w:t xml:space="preserve">0 </w:t>
      </w:r>
      <w:r>
        <w:rPr>
          <w:rFonts w:hint="eastAsia" w:cs="宋体" w:asciiTheme="majorEastAsia" w:hAnsiTheme="majorEastAsia" w:eastAsiaTheme="majorEastAsia"/>
          <w:sz w:val="32"/>
          <w:szCs w:val="32"/>
        </w:rPr>
        <w:t>万元，占</w:t>
      </w:r>
      <w:r>
        <w:rPr>
          <w:rFonts w:asciiTheme="majorEastAsia" w:hAnsiTheme="majorEastAsia" w:eastAsiaTheme="majorEastAsia"/>
          <w:sz w:val="32"/>
          <w:szCs w:val="32"/>
        </w:rPr>
        <w:t xml:space="preserve"> 0 %</w:t>
      </w:r>
      <w:r>
        <w:rPr>
          <w:rFonts w:hint="eastAsia" w:cs="宋体" w:asciiTheme="majorEastAsia" w:hAnsiTheme="majorEastAsia" w:eastAsiaTheme="majorEastAsia"/>
          <w:sz w:val="32"/>
          <w:szCs w:val="32"/>
        </w:rPr>
        <w:t>；经营收入</w:t>
      </w:r>
      <w:r>
        <w:rPr>
          <w:rFonts w:asciiTheme="majorEastAsia" w:hAnsiTheme="majorEastAsia" w:eastAsiaTheme="majorEastAsia"/>
          <w:sz w:val="32"/>
          <w:szCs w:val="32"/>
        </w:rPr>
        <w:t>0</w:t>
      </w:r>
      <w:r>
        <w:rPr>
          <w:rFonts w:hint="eastAsia" w:cs="宋体" w:asciiTheme="majorEastAsia" w:hAnsiTheme="majorEastAsia" w:eastAsiaTheme="majorEastAsia"/>
          <w:sz w:val="32"/>
          <w:szCs w:val="32"/>
        </w:rPr>
        <w:t>万元，占</w:t>
      </w:r>
      <w:r>
        <w:rPr>
          <w:rFonts w:asciiTheme="majorEastAsia" w:hAnsiTheme="majorEastAsia" w:eastAsiaTheme="majorEastAsia"/>
          <w:sz w:val="32"/>
          <w:szCs w:val="32"/>
        </w:rPr>
        <w:t xml:space="preserve"> 0 %</w:t>
      </w:r>
      <w:r>
        <w:rPr>
          <w:rFonts w:hint="eastAsia" w:cs="宋体" w:asciiTheme="majorEastAsia" w:hAnsiTheme="majorEastAsia" w:eastAsiaTheme="majorEastAsia"/>
          <w:sz w:val="32"/>
          <w:szCs w:val="32"/>
        </w:rPr>
        <w:t>；其他收入</w:t>
      </w:r>
      <w:r>
        <w:rPr>
          <w:rFonts w:asciiTheme="majorEastAsia" w:hAnsiTheme="majorEastAsia" w:eastAsiaTheme="majorEastAsia"/>
          <w:sz w:val="32"/>
          <w:szCs w:val="32"/>
        </w:rPr>
        <w:t>0</w:t>
      </w:r>
      <w:r>
        <w:rPr>
          <w:rFonts w:hint="eastAsia" w:cs="宋体" w:asciiTheme="majorEastAsia" w:hAnsiTheme="majorEastAsia" w:eastAsiaTheme="majorEastAsia"/>
          <w:sz w:val="32"/>
          <w:szCs w:val="32"/>
        </w:rPr>
        <w:t>万元，占</w:t>
      </w:r>
      <w:r>
        <w:rPr>
          <w:rFonts w:asciiTheme="majorEastAsia" w:hAnsiTheme="majorEastAsia" w:eastAsiaTheme="majorEastAsia"/>
          <w:sz w:val="32"/>
          <w:szCs w:val="32"/>
        </w:rPr>
        <w:t>0 %</w:t>
      </w:r>
      <w:r>
        <w:rPr>
          <w:rFonts w:hint="eastAsia" w:cs="宋体" w:asciiTheme="majorEastAsia" w:hAnsiTheme="majorEastAsia" w:eastAsiaTheme="majorEastAsia"/>
          <w:sz w:val="32"/>
          <w:szCs w:val="32"/>
        </w:rPr>
        <w:t>。</w:t>
      </w:r>
    </w:p>
    <w:p>
      <w:pPr>
        <w:adjustRightInd w:val="0"/>
        <w:snapToGrid w:val="0"/>
        <w:spacing w:line="360" w:lineRule="auto"/>
        <w:ind w:firstLine="640" w:firstLineChars="200"/>
        <w:outlineLvl w:val="1"/>
        <w:rPr>
          <w:rFonts w:asciiTheme="majorEastAsia" w:hAnsiTheme="majorEastAsia" w:eastAsiaTheme="majorEastAsia"/>
          <w:sz w:val="32"/>
          <w:szCs w:val="32"/>
        </w:rPr>
      </w:pPr>
      <w:r>
        <w:rPr>
          <w:rFonts w:hint="eastAsia" w:asciiTheme="majorEastAsia" w:hAnsiTheme="majorEastAsia" w:eastAsiaTheme="majorEastAsia"/>
          <w:sz w:val="32"/>
          <w:szCs w:val="32"/>
        </w:rPr>
        <w:t>三、关于支出预算情况说明</w:t>
      </w:r>
    </w:p>
    <w:p>
      <w:pPr>
        <w:adjustRightInd w:val="0"/>
        <w:snapToGrid w:val="0"/>
        <w:spacing w:line="360" w:lineRule="auto"/>
        <w:ind w:firstLine="640" w:firstLineChars="200"/>
        <w:rPr>
          <w:rFonts w:cs="Courier New" w:asciiTheme="majorEastAsia" w:hAnsiTheme="majorEastAsia" w:eastAsiaTheme="majorEastAsia"/>
          <w:sz w:val="32"/>
          <w:szCs w:val="32"/>
        </w:rPr>
      </w:pP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9</w:t>
      </w:r>
      <w:r>
        <w:rPr>
          <w:rFonts w:hint="eastAsia" w:cs="宋体" w:asciiTheme="majorEastAsia" w:hAnsiTheme="majorEastAsia" w:eastAsiaTheme="majorEastAsia"/>
          <w:sz w:val="32"/>
          <w:szCs w:val="32"/>
        </w:rPr>
        <w:t>年度支出合计</w:t>
      </w:r>
      <w:r>
        <w:rPr>
          <w:rFonts w:hint="eastAsia" w:cs="Courier New" w:asciiTheme="majorEastAsia" w:hAnsiTheme="majorEastAsia" w:eastAsiaTheme="majorEastAsia"/>
          <w:sz w:val="32"/>
          <w:szCs w:val="32"/>
        </w:rPr>
        <w:t>927.9</w:t>
      </w:r>
      <w:r>
        <w:rPr>
          <w:rFonts w:hint="eastAsia" w:cs="宋体" w:asciiTheme="majorEastAsia" w:hAnsiTheme="majorEastAsia" w:eastAsiaTheme="majorEastAsia"/>
          <w:sz w:val="32"/>
          <w:szCs w:val="32"/>
        </w:rPr>
        <w:t>万元，其中：基本支出</w:t>
      </w:r>
      <w:r>
        <w:rPr>
          <w:rFonts w:hint="eastAsia" w:cs="Courier New" w:asciiTheme="majorEastAsia" w:hAnsiTheme="majorEastAsia" w:eastAsiaTheme="majorEastAsia"/>
          <w:sz w:val="32"/>
          <w:szCs w:val="32"/>
        </w:rPr>
        <w:t>612.9</w:t>
      </w:r>
      <w:r>
        <w:rPr>
          <w:rFonts w:hint="eastAsia" w:cs="宋体" w:asciiTheme="majorEastAsia" w:hAnsiTheme="majorEastAsia" w:eastAsiaTheme="majorEastAsia"/>
          <w:sz w:val="32"/>
          <w:szCs w:val="32"/>
        </w:rPr>
        <w:t>万元，占</w:t>
      </w:r>
      <w:r>
        <w:rPr>
          <w:rFonts w:hint="eastAsia" w:cs="Courier New" w:asciiTheme="majorEastAsia" w:hAnsiTheme="majorEastAsia" w:eastAsiaTheme="majorEastAsia"/>
          <w:sz w:val="32"/>
          <w:szCs w:val="32"/>
        </w:rPr>
        <w:t>66</w:t>
      </w:r>
      <w:r>
        <w:rPr>
          <w:rFonts w:cs="Courier New" w:asciiTheme="majorEastAsia" w:hAnsiTheme="majorEastAsia" w:eastAsiaTheme="majorEastAsia"/>
          <w:sz w:val="32"/>
          <w:szCs w:val="32"/>
        </w:rPr>
        <w:t>%</w:t>
      </w:r>
      <w:r>
        <w:rPr>
          <w:rFonts w:hint="eastAsia" w:cs="宋体" w:asciiTheme="majorEastAsia" w:hAnsiTheme="majorEastAsia" w:eastAsiaTheme="majorEastAsia"/>
          <w:sz w:val="32"/>
          <w:szCs w:val="32"/>
        </w:rPr>
        <w:t>；项目支出</w:t>
      </w:r>
      <w:r>
        <w:rPr>
          <w:rFonts w:hint="eastAsia" w:cs="Courier New" w:asciiTheme="majorEastAsia" w:hAnsiTheme="majorEastAsia" w:eastAsiaTheme="majorEastAsia"/>
          <w:sz w:val="32"/>
          <w:szCs w:val="32"/>
        </w:rPr>
        <w:t>315</w:t>
      </w:r>
      <w:r>
        <w:rPr>
          <w:rFonts w:hint="eastAsia" w:cs="宋体" w:asciiTheme="majorEastAsia" w:hAnsiTheme="majorEastAsia" w:eastAsiaTheme="majorEastAsia"/>
          <w:sz w:val="32"/>
          <w:szCs w:val="32"/>
        </w:rPr>
        <w:t>万元，占</w:t>
      </w:r>
      <w:r>
        <w:rPr>
          <w:rFonts w:hint="eastAsia" w:cs="Courier New" w:asciiTheme="majorEastAsia" w:hAnsiTheme="majorEastAsia" w:eastAsiaTheme="majorEastAsia"/>
          <w:sz w:val="32"/>
          <w:szCs w:val="32"/>
        </w:rPr>
        <w:t>34</w:t>
      </w:r>
      <w:r>
        <w:rPr>
          <w:rFonts w:cs="Courier New" w:asciiTheme="majorEastAsia" w:hAnsiTheme="majorEastAsia" w:eastAsiaTheme="majorEastAsia"/>
          <w:sz w:val="32"/>
          <w:szCs w:val="32"/>
        </w:rPr>
        <w:t>%</w:t>
      </w:r>
      <w:r>
        <w:rPr>
          <w:rFonts w:hint="eastAsia" w:cs="宋体" w:asciiTheme="majorEastAsia" w:hAnsiTheme="majorEastAsia" w:eastAsiaTheme="majorEastAsia"/>
          <w:sz w:val="32"/>
          <w:szCs w:val="32"/>
        </w:rPr>
        <w:t>；经营支出</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万元，占</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w:t>
      </w:r>
    </w:p>
    <w:p>
      <w:pPr>
        <w:adjustRightInd w:val="0"/>
        <w:snapToGrid w:val="0"/>
        <w:spacing w:line="360" w:lineRule="auto"/>
        <w:ind w:firstLine="640" w:firstLineChars="200"/>
        <w:outlineLvl w:val="1"/>
        <w:rPr>
          <w:rFonts w:asciiTheme="majorEastAsia" w:hAnsiTheme="majorEastAsia" w:eastAsiaTheme="majorEastAsia"/>
          <w:sz w:val="32"/>
          <w:szCs w:val="32"/>
        </w:rPr>
      </w:pPr>
      <w:r>
        <w:rPr>
          <w:rFonts w:hint="eastAsia" w:asciiTheme="majorEastAsia" w:hAnsiTheme="majorEastAsia" w:eastAsiaTheme="majorEastAsia"/>
          <w:sz w:val="32"/>
          <w:szCs w:val="32"/>
        </w:rPr>
        <w:t>四、关于财政拨款收入支出预算总体情况说明</w:t>
      </w:r>
    </w:p>
    <w:p>
      <w:pPr>
        <w:adjustRightInd w:val="0"/>
        <w:snapToGrid w:val="0"/>
        <w:spacing w:line="360" w:lineRule="auto"/>
        <w:ind w:firstLine="640" w:firstLineChars="200"/>
        <w:rPr>
          <w:rFonts w:cs="Courier New" w:asciiTheme="majorEastAsia" w:hAnsiTheme="majorEastAsia" w:eastAsiaTheme="majorEastAsia"/>
          <w:sz w:val="32"/>
          <w:szCs w:val="32"/>
        </w:rPr>
      </w:pP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9</w:t>
      </w:r>
      <w:r>
        <w:rPr>
          <w:rFonts w:hint="eastAsia" w:cs="宋体" w:asciiTheme="majorEastAsia" w:hAnsiTheme="majorEastAsia" w:eastAsiaTheme="majorEastAsia"/>
          <w:sz w:val="32"/>
          <w:szCs w:val="32"/>
        </w:rPr>
        <w:t>年财政拨款收支总</w:t>
      </w:r>
      <w:r>
        <w:rPr>
          <w:rFonts w:hint="eastAsia" w:cs="Courier New" w:asciiTheme="majorEastAsia" w:hAnsiTheme="majorEastAsia" w:eastAsiaTheme="majorEastAsia"/>
          <w:sz w:val="32"/>
          <w:szCs w:val="32"/>
        </w:rPr>
        <w:t>预</w:t>
      </w:r>
      <w:r>
        <w:rPr>
          <w:rFonts w:hint="eastAsia" w:cs="宋体" w:asciiTheme="majorEastAsia" w:hAnsiTheme="majorEastAsia" w:eastAsiaTheme="majorEastAsia"/>
          <w:sz w:val="32"/>
          <w:szCs w:val="32"/>
        </w:rPr>
        <w:t>算</w:t>
      </w:r>
      <w:r>
        <w:rPr>
          <w:rFonts w:hint="eastAsia" w:cs="Courier New" w:asciiTheme="majorEastAsia" w:hAnsiTheme="majorEastAsia" w:eastAsiaTheme="majorEastAsia"/>
          <w:sz w:val="32"/>
          <w:szCs w:val="32"/>
        </w:rPr>
        <w:t>927.9</w:t>
      </w:r>
      <w:r>
        <w:rPr>
          <w:rFonts w:hint="eastAsia" w:cs="宋体" w:asciiTheme="majorEastAsia" w:hAnsiTheme="majorEastAsia" w:eastAsiaTheme="majorEastAsia"/>
          <w:sz w:val="32"/>
          <w:szCs w:val="32"/>
        </w:rPr>
        <w:t>万元。与</w:t>
      </w: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8</w:t>
      </w:r>
      <w:r>
        <w:rPr>
          <w:rFonts w:hint="eastAsia" w:cs="宋体" w:asciiTheme="majorEastAsia" w:hAnsiTheme="majorEastAsia" w:eastAsiaTheme="majorEastAsia"/>
          <w:sz w:val="32"/>
          <w:szCs w:val="32"/>
        </w:rPr>
        <w:t>年相比，财政拨款收、支总计</w:t>
      </w:r>
      <w:r>
        <w:rPr>
          <w:rFonts w:hint="eastAsia" w:cs="Courier New" w:asciiTheme="majorEastAsia" w:hAnsiTheme="majorEastAsia" w:eastAsiaTheme="majorEastAsia"/>
          <w:sz w:val="32"/>
          <w:szCs w:val="32"/>
        </w:rPr>
        <w:t>增加126.4</w:t>
      </w:r>
      <w:r>
        <w:rPr>
          <w:rFonts w:cs="宋体" w:asciiTheme="majorEastAsia" w:hAnsiTheme="majorEastAsia" w:eastAsiaTheme="majorEastAsia"/>
          <w:color w:val="333333"/>
          <w:sz w:val="32"/>
          <w:szCs w:val="32"/>
          <w:shd w:val="clear" w:color="auto" w:fill="FFFFFF"/>
        </w:rPr>
        <w:t xml:space="preserve"> </w:t>
      </w:r>
      <w:r>
        <w:rPr>
          <w:rFonts w:hint="eastAsia" w:cs="宋体" w:asciiTheme="majorEastAsia" w:hAnsiTheme="majorEastAsia" w:eastAsiaTheme="majorEastAsia"/>
          <w:sz w:val="32"/>
          <w:szCs w:val="32"/>
        </w:rPr>
        <w:t>万元，</w:t>
      </w:r>
      <w:r>
        <w:rPr>
          <w:rFonts w:hint="eastAsia" w:cs="Courier New" w:asciiTheme="majorEastAsia" w:hAnsiTheme="majorEastAsia" w:eastAsiaTheme="majorEastAsia"/>
          <w:sz w:val="32"/>
          <w:szCs w:val="32"/>
        </w:rPr>
        <w:t>增加16</w:t>
      </w:r>
      <w:r>
        <w:rPr>
          <w:rFonts w:cs="Courier New" w:asciiTheme="majorEastAsia" w:hAnsiTheme="majorEastAsia" w:eastAsiaTheme="majorEastAsia"/>
          <w:sz w:val="32"/>
          <w:szCs w:val="32"/>
        </w:rPr>
        <w:t>%</w:t>
      </w:r>
      <w:r>
        <w:rPr>
          <w:rFonts w:hint="eastAsia" w:cs="宋体" w:asciiTheme="majorEastAsia" w:hAnsiTheme="majorEastAsia" w:eastAsiaTheme="majorEastAsia"/>
          <w:sz w:val="32"/>
          <w:szCs w:val="32"/>
        </w:rPr>
        <w:t>。</w:t>
      </w:r>
      <w:r>
        <w:rPr>
          <w:rFonts w:hint="eastAsia" w:cs="Courier New" w:asciiTheme="majorEastAsia" w:hAnsiTheme="majorEastAsia" w:eastAsiaTheme="majorEastAsia"/>
          <w:sz w:val="32"/>
          <w:szCs w:val="32"/>
        </w:rPr>
        <w:t>因为廉政教育基地项目建设加大资金投入。</w:t>
      </w:r>
    </w:p>
    <w:p>
      <w:pPr>
        <w:adjustRightInd w:val="0"/>
        <w:snapToGrid w:val="0"/>
        <w:spacing w:line="360" w:lineRule="auto"/>
        <w:ind w:firstLine="640" w:firstLineChars="200"/>
        <w:outlineLvl w:val="1"/>
        <w:rPr>
          <w:rFonts w:hint="eastAsia" w:asciiTheme="majorEastAsia" w:hAnsiTheme="majorEastAsia" w:eastAsiaTheme="majorEastAsia"/>
          <w:sz w:val="32"/>
          <w:szCs w:val="32"/>
        </w:rPr>
      </w:pPr>
      <w:r>
        <w:rPr>
          <w:rFonts w:hint="eastAsia" w:asciiTheme="majorEastAsia" w:hAnsiTheme="majorEastAsia" w:eastAsiaTheme="majorEastAsia"/>
          <w:sz w:val="32"/>
          <w:szCs w:val="32"/>
        </w:rPr>
        <w:t>五、一般公共预算支出预算情况说明</w:t>
      </w:r>
    </w:p>
    <w:p>
      <w:pPr>
        <w:adjustRightInd w:val="0"/>
        <w:snapToGrid w:val="0"/>
        <w:spacing w:line="360" w:lineRule="auto"/>
        <w:ind w:firstLine="640" w:firstLineChars="200"/>
        <w:outlineLvl w:val="1"/>
        <w:rPr>
          <w:rFonts w:hint="eastAsia" w:asciiTheme="majorEastAsia" w:hAnsiTheme="majorEastAsia" w:eastAsiaTheme="majorEastAsia"/>
          <w:sz w:val="32"/>
          <w:szCs w:val="32"/>
        </w:rPr>
      </w:pPr>
      <w:r>
        <w:rPr>
          <w:rFonts w:hint="eastAsia" w:asciiTheme="majorEastAsia" w:hAnsiTheme="majorEastAsia" w:eastAsiaTheme="majorEastAsia"/>
          <w:sz w:val="32"/>
          <w:szCs w:val="32"/>
        </w:rPr>
        <w:t>2019年一般公共预算支出年初预算</w:t>
      </w:r>
      <w:r>
        <w:rPr>
          <w:rFonts w:hint="eastAsia" w:cs="Courier New" w:asciiTheme="majorEastAsia" w:hAnsiTheme="majorEastAsia" w:eastAsiaTheme="majorEastAsia"/>
          <w:sz w:val="32"/>
          <w:szCs w:val="32"/>
        </w:rPr>
        <w:t>927.9</w:t>
      </w:r>
      <w:r>
        <w:rPr>
          <w:rFonts w:hint="eastAsia" w:asciiTheme="majorEastAsia" w:hAnsiTheme="majorEastAsia" w:eastAsiaTheme="majorEastAsia"/>
          <w:sz w:val="32"/>
          <w:szCs w:val="32"/>
        </w:rPr>
        <w:t>万元,增加126.4万元，增加16%。主要原因：廉政基地建设费用增加</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rPr>
        <w:t>其中，</w:t>
      </w:r>
      <w:r>
        <w:rPr>
          <w:rFonts w:hint="eastAsia" w:cs="宋体" w:asciiTheme="majorEastAsia" w:hAnsiTheme="majorEastAsia" w:eastAsiaTheme="majorEastAsia"/>
          <w:sz w:val="32"/>
          <w:szCs w:val="32"/>
        </w:rPr>
        <w:t>基本支出</w:t>
      </w:r>
      <w:r>
        <w:rPr>
          <w:rFonts w:hint="eastAsia" w:cs="Courier New" w:asciiTheme="majorEastAsia" w:hAnsiTheme="majorEastAsia" w:eastAsiaTheme="majorEastAsia"/>
          <w:sz w:val="32"/>
          <w:szCs w:val="32"/>
        </w:rPr>
        <w:t>612.9</w:t>
      </w:r>
      <w:r>
        <w:rPr>
          <w:rFonts w:hint="eastAsia" w:cs="宋体" w:asciiTheme="majorEastAsia" w:hAnsiTheme="majorEastAsia" w:eastAsiaTheme="majorEastAsia"/>
          <w:sz w:val="32"/>
          <w:szCs w:val="32"/>
        </w:rPr>
        <w:t>万元，占</w:t>
      </w:r>
      <w:r>
        <w:rPr>
          <w:rFonts w:hint="eastAsia" w:cs="Courier New" w:asciiTheme="majorEastAsia" w:hAnsiTheme="majorEastAsia" w:eastAsiaTheme="majorEastAsia"/>
          <w:sz w:val="32"/>
          <w:szCs w:val="32"/>
        </w:rPr>
        <w:t>66</w:t>
      </w:r>
      <w:r>
        <w:rPr>
          <w:rFonts w:cs="Courier New" w:asciiTheme="majorEastAsia" w:hAnsiTheme="majorEastAsia" w:eastAsiaTheme="majorEastAsia"/>
          <w:sz w:val="32"/>
          <w:szCs w:val="32"/>
        </w:rPr>
        <w:t>%</w:t>
      </w:r>
      <w:r>
        <w:rPr>
          <w:rFonts w:hint="eastAsia" w:cs="宋体" w:asciiTheme="majorEastAsia" w:hAnsiTheme="majorEastAsia" w:eastAsiaTheme="majorEastAsia"/>
          <w:sz w:val="32"/>
          <w:szCs w:val="32"/>
        </w:rPr>
        <w:t>；项目支出</w:t>
      </w:r>
      <w:r>
        <w:rPr>
          <w:rFonts w:hint="eastAsia" w:cs="Courier New" w:asciiTheme="majorEastAsia" w:hAnsiTheme="majorEastAsia" w:eastAsiaTheme="majorEastAsia"/>
          <w:sz w:val="32"/>
          <w:szCs w:val="32"/>
        </w:rPr>
        <w:t>315</w:t>
      </w:r>
      <w:r>
        <w:rPr>
          <w:rFonts w:hint="eastAsia" w:cs="宋体" w:asciiTheme="majorEastAsia" w:hAnsiTheme="majorEastAsia" w:eastAsiaTheme="majorEastAsia"/>
          <w:sz w:val="32"/>
          <w:szCs w:val="32"/>
        </w:rPr>
        <w:t>万元，占</w:t>
      </w:r>
      <w:r>
        <w:rPr>
          <w:rFonts w:hint="eastAsia" w:cs="Courier New" w:asciiTheme="majorEastAsia" w:hAnsiTheme="majorEastAsia" w:eastAsiaTheme="majorEastAsia"/>
          <w:sz w:val="32"/>
          <w:szCs w:val="32"/>
        </w:rPr>
        <w:t>34</w:t>
      </w:r>
      <w:r>
        <w:rPr>
          <w:rFonts w:cs="Courier New" w:asciiTheme="majorEastAsia" w:hAnsiTheme="majorEastAsia" w:eastAsiaTheme="majorEastAsia"/>
          <w:sz w:val="32"/>
          <w:szCs w:val="32"/>
        </w:rPr>
        <w:t>%</w:t>
      </w:r>
      <w:r>
        <w:rPr>
          <w:rFonts w:hint="eastAsia" w:asciiTheme="majorEastAsia" w:hAnsiTheme="majorEastAsia" w:eastAsiaTheme="majorEastAsia"/>
          <w:sz w:val="32"/>
          <w:szCs w:val="32"/>
        </w:rPr>
        <w:t>。</w:t>
      </w:r>
    </w:p>
    <w:p>
      <w:pPr>
        <w:adjustRightInd w:val="0"/>
        <w:snapToGrid w:val="0"/>
        <w:spacing w:line="360" w:lineRule="auto"/>
        <w:ind w:firstLine="640" w:firstLineChars="200"/>
        <w:outlineLvl w:val="1"/>
        <w:rPr>
          <w:rFonts w:hint="eastAsia" w:asciiTheme="majorEastAsia" w:hAnsiTheme="majorEastAsia" w:eastAsiaTheme="majorEastAsia"/>
          <w:sz w:val="32"/>
          <w:szCs w:val="32"/>
        </w:rPr>
      </w:pPr>
      <w:r>
        <w:rPr>
          <w:rFonts w:hint="eastAsia" w:asciiTheme="majorEastAsia" w:hAnsiTheme="majorEastAsia" w:eastAsiaTheme="majorEastAsia"/>
          <w:sz w:val="32"/>
          <w:szCs w:val="32"/>
        </w:rPr>
        <w:t>六、一般公共预算基本支出预算情况说明</w:t>
      </w:r>
    </w:p>
    <w:p>
      <w:pPr>
        <w:adjustRightInd w:val="0"/>
        <w:snapToGrid w:val="0"/>
        <w:spacing w:line="360" w:lineRule="auto"/>
        <w:ind w:firstLine="640" w:firstLineChars="200"/>
        <w:outlineLvl w:val="1"/>
        <w:rPr>
          <w:rFonts w:asciiTheme="majorEastAsia" w:hAnsiTheme="majorEastAsia" w:eastAsiaTheme="majorEastAsia"/>
          <w:sz w:val="32"/>
          <w:szCs w:val="32"/>
        </w:rPr>
      </w:pPr>
      <w:r>
        <w:rPr>
          <w:rFonts w:hint="eastAsia" w:asciiTheme="majorEastAsia" w:hAnsiTheme="majorEastAsia" w:eastAsiaTheme="majorEastAsia"/>
          <w:sz w:val="32"/>
          <w:szCs w:val="32"/>
        </w:rPr>
        <w:t>2019年一般公共预算基本支出</w:t>
      </w:r>
      <w:r>
        <w:rPr>
          <w:rFonts w:hint="eastAsia" w:cs="Courier New" w:asciiTheme="majorEastAsia" w:hAnsiTheme="majorEastAsia" w:eastAsiaTheme="majorEastAsia"/>
          <w:sz w:val="32"/>
          <w:szCs w:val="32"/>
        </w:rPr>
        <w:t>612.9</w:t>
      </w:r>
      <w:r>
        <w:rPr>
          <w:rFonts w:hint="eastAsia" w:asciiTheme="majorEastAsia" w:hAnsiTheme="majorEastAsia" w:eastAsiaTheme="majorEastAsia"/>
          <w:sz w:val="32"/>
          <w:szCs w:val="32"/>
        </w:rPr>
        <w:t>万元，其中：人员经费支出347.5万元，主要包括：基本工资、津贴补贴、奖金、社会保障缴费、伙食补助费、绩效工资、其他工资福利支出、医疗费，奖励金、住房公积金、提租补贴、购房补贴、其他对个人和家庭的补助支出；公用经费支出265.4万元，主要包括：办公费、印刷费、咨询费、手续费、水费、电费、邮电费、取暖费、、差旅费、维 修（护）费、会议费、培训费、公务接待费、劳务费、、工会经费、福利费、公务用车运行维护费、其他交通费用、税金及附加费用、其他商品和服务支出、办公设备购置、专用设备购置、大型修缮、信息网络及软件购置更新、其他资本性支出。</w:t>
      </w:r>
    </w:p>
    <w:p>
      <w:pPr>
        <w:adjustRightInd w:val="0"/>
        <w:snapToGrid w:val="0"/>
        <w:spacing w:line="360" w:lineRule="auto"/>
        <w:ind w:firstLine="640" w:firstLineChars="200"/>
        <w:outlineLvl w:val="1"/>
        <w:rPr>
          <w:rFonts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七</w:t>
      </w:r>
      <w:r>
        <w:rPr>
          <w:rFonts w:hint="eastAsia" w:asciiTheme="majorEastAsia" w:hAnsiTheme="majorEastAsia" w:eastAsiaTheme="majorEastAsia"/>
          <w:sz w:val="32"/>
          <w:szCs w:val="32"/>
        </w:rPr>
        <w:t>、关于“三公”经费支出预算情况说明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cs="宋体" w:asciiTheme="majorEastAsia" w:hAnsiTheme="majorEastAsia" w:eastAsiaTheme="majorEastAsia"/>
          <w:sz w:val="32"/>
          <w:szCs w:val="32"/>
        </w:rPr>
      </w:pP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9</w:t>
      </w:r>
      <w:r>
        <w:rPr>
          <w:rFonts w:hint="eastAsia" w:cs="宋体" w:asciiTheme="majorEastAsia" w:hAnsiTheme="majorEastAsia" w:eastAsiaTheme="majorEastAsia"/>
          <w:sz w:val="32"/>
          <w:szCs w:val="32"/>
        </w:rPr>
        <w:t>年度</w:t>
      </w:r>
      <w:r>
        <w:rPr>
          <w:rFonts w:cs="Courier New" w:asciiTheme="majorEastAsia" w:hAnsiTheme="majorEastAsia" w:eastAsiaTheme="majorEastAsia"/>
          <w:sz w:val="32"/>
          <w:szCs w:val="32"/>
        </w:rPr>
        <w:t>“</w:t>
      </w:r>
      <w:r>
        <w:rPr>
          <w:rFonts w:hint="eastAsia" w:cs="宋体" w:asciiTheme="majorEastAsia" w:hAnsiTheme="majorEastAsia" w:eastAsiaTheme="majorEastAsia"/>
          <w:sz w:val="32"/>
          <w:szCs w:val="32"/>
        </w:rPr>
        <w:t>三公</w:t>
      </w:r>
      <w:r>
        <w:rPr>
          <w:rFonts w:cs="Courier New" w:asciiTheme="majorEastAsia" w:hAnsiTheme="majorEastAsia" w:eastAsiaTheme="majorEastAsia"/>
          <w:sz w:val="32"/>
          <w:szCs w:val="32"/>
        </w:rPr>
        <w:t>”</w:t>
      </w:r>
      <w:r>
        <w:rPr>
          <w:rFonts w:hint="eastAsia" w:cs="宋体" w:asciiTheme="majorEastAsia" w:hAnsiTheme="majorEastAsia" w:eastAsiaTheme="majorEastAsia"/>
          <w:sz w:val="32"/>
          <w:szCs w:val="32"/>
        </w:rPr>
        <w:t>经费财政拨款支出预算为</w:t>
      </w:r>
      <w:r>
        <w:rPr>
          <w:rFonts w:hint="eastAsia" w:cs="Courier New" w:asciiTheme="majorEastAsia" w:hAnsiTheme="majorEastAsia" w:eastAsiaTheme="majorEastAsia"/>
          <w:sz w:val="32"/>
          <w:szCs w:val="32"/>
        </w:rPr>
        <w:t>50.1</w:t>
      </w:r>
      <w:r>
        <w:rPr>
          <w:rFonts w:hint="eastAsia" w:cs="宋体" w:asciiTheme="majorEastAsia" w:hAnsiTheme="majorEastAsia" w:eastAsiaTheme="majorEastAsia"/>
          <w:sz w:val="32"/>
          <w:szCs w:val="32"/>
        </w:rPr>
        <w:t>万元，其中：因公出国（境）费支出</w:t>
      </w:r>
      <w:r>
        <w:rPr>
          <w:rFonts w:hint="eastAsia" w:cs="Courier New" w:asciiTheme="majorEastAsia" w:hAnsiTheme="majorEastAsia" w:eastAsiaTheme="majorEastAsia"/>
          <w:sz w:val="32"/>
          <w:szCs w:val="32"/>
        </w:rPr>
        <w:t>预算</w:t>
      </w:r>
      <w:r>
        <w:rPr>
          <w:rFonts w:hint="eastAsia" w:cs="宋体" w:asciiTheme="majorEastAsia" w:hAnsiTheme="majorEastAsia" w:eastAsiaTheme="majorEastAsia"/>
          <w:sz w:val="32"/>
          <w:szCs w:val="32"/>
        </w:rPr>
        <w:t>为</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万元；公务用车购置为18.3万元（含购车费和税费）；运行维护费支出</w:t>
      </w:r>
      <w:r>
        <w:rPr>
          <w:rFonts w:hint="eastAsia" w:cs="Courier New" w:asciiTheme="majorEastAsia" w:hAnsiTheme="majorEastAsia" w:eastAsiaTheme="majorEastAsia"/>
          <w:sz w:val="32"/>
          <w:szCs w:val="32"/>
        </w:rPr>
        <w:t>预</w:t>
      </w:r>
      <w:r>
        <w:rPr>
          <w:rFonts w:hint="eastAsia" w:cs="宋体" w:asciiTheme="majorEastAsia" w:hAnsiTheme="majorEastAsia" w:eastAsiaTheme="majorEastAsia"/>
          <w:sz w:val="32"/>
          <w:szCs w:val="32"/>
        </w:rPr>
        <w:t>算为</w:t>
      </w:r>
      <w:r>
        <w:rPr>
          <w:rFonts w:hint="eastAsia" w:cs="Courier New" w:asciiTheme="majorEastAsia" w:hAnsiTheme="majorEastAsia" w:eastAsiaTheme="majorEastAsia"/>
          <w:sz w:val="32"/>
          <w:szCs w:val="32"/>
        </w:rPr>
        <w:t>9.5</w:t>
      </w:r>
      <w:r>
        <w:rPr>
          <w:rFonts w:hint="eastAsia" w:cs="宋体" w:asciiTheme="majorEastAsia" w:hAnsiTheme="majorEastAsia" w:eastAsiaTheme="majorEastAsia"/>
          <w:sz w:val="32"/>
          <w:szCs w:val="32"/>
        </w:rPr>
        <w:t>万元；公务接待费支出</w:t>
      </w:r>
      <w:r>
        <w:rPr>
          <w:rFonts w:hint="eastAsia" w:cs="Courier New" w:asciiTheme="majorEastAsia" w:hAnsiTheme="majorEastAsia" w:eastAsiaTheme="majorEastAsia"/>
          <w:sz w:val="32"/>
          <w:szCs w:val="32"/>
        </w:rPr>
        <w:t>预</w:t>
      </w:r>
      <w:r>
        <w:rPr>
          <w:rFonts w:hint="eastAsia" w:cs="宋体" w:asciiTheme="majorEastAsia" w:hAnsiTheme="majorEastAsia" w:eastAsiaTheme="majorEastAsia"/>
          <w:sz w:val="32"/>
          <w:szCs w:val="32"/>
        </w:rPr>
        <w:t>算为</w:t>
      </w:r>
      <w:r>
        <w:rPr>
          <w:rFonts w:hint="eastAsia" w:cs="Courier New" w:asciiTheme="majorEastAsia" w:hAnsiTheme="majorEastAsia" w:eastAsiaTheme="majorEastAsia"/>
          <w:sz w:val="32"/>
          <w:szCs w:val="32"/>
        </w:rPr>
        <w:t>22.3</w:t>
      </w:r>
      <w:r>
        <w:rPr>
          <w:rFonts w:hint="eastAsia" w:cs="宋体" w:asciiTheme="majorEastAsia" w:hAnsiTheme="majorEastAsia" w:eastAsiaTheme="majorEastAsia"/>
          <w:sz w:val="32"/>
          <w:szCs w:val="32"/>
        </w:rPr>
        <w:t>万元。三公经费比去年增加44％.增加的主要</w:t>
      </w:r>
      <w:r>
        <w:rPr>
          <w:rFonts w:hint="eastAsia" w:cs="宋体" w:asciiTheme="majorEastAsia" w:hAnsiTheme="majorEastAsia" w:eastAsiaTheme="majorEastAsia"/>
          <w:b/>
          <w:sz w:val="32"/>
          <w:szCs w:val="32"/>
        </w:rPr>
        <w:t>原因</w:t>
      </w:r>
      <w:r>
        <w:rPr>
          <w:rFonts w:hint="eastAsia" w:cs="宋体" w:asciiTheme="majorEastAsia" w:hAnsiTheme="majorEastAsia" w:eastAsiaTheme="majorEastAsia"/>
          <w:sz w:val="32"/>
          <w:szCs w:val="32"/>
        </w:rPr>
        <w:t>是：</w:t>
      </w: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9</w:t>
      </w:r>
      <w:r>
        <w:rPr>
          <w:rFonts w:hint="eastAsia" w:cs="宋体" w:asciiTheme="majorEastAsia" w:hAnsiTheme="majorEastAsia" w:eastAsiaTheme="majorEastAsia"/>
          <w:sz w:val="32"/>
          <w:szCs w:val="32"/>
        </w:rPr>
        <w:t>年单位新购置执法执纪车辆一辆，购置费</w:t>
      </w:r>
      <w:r>
        <w:rPr>
          <w:rFonts w:hint="eastAsia" w:cs="楷体_GB2312" w:asciiTheme="majorEastAsia" w:hAnsiTheme="majorEastAsia" w:eastAsiaTheme="majorEastAsia"/>
          <w:sz w:val="32"/>
          <w:szCs w:val="32"/>
        </w:rPr>
        <w:t xml:space="preserve"> </w:t>
      </w:r>
      <w:r>
        <w:rPr>
          <w:rFonts w:hint="eastAsia" w:cs="宋体" w:asciiTheme="majorEastAsia" w:hAnsiTheme="majorEastAsia" w:eastAsiaTheme="majorEastAsia"/>
          <w:sz w:val="32"/>
          <w:szCs w:val="32"/>
        </w:rPr>
        <w:t>18.3万元（含购车费和税费）</w:t>
      </w:r>
    </w:p>
    <w:p>
      <w:pPr>
        <w:kinsoku w:val="0"/>
        <w:overflowPunct w:val="0"/>
        <w:autoSpaceDE w:val="0"/>
        <w:autoSpaceDN w:val="0"/>
        <w:adjustRightInd w:val="0"/>
        <w:snapToGrid w:val="0"/>
        <w:spacing w:line="360" w:lineRule="auto"/>
        <w:ind w:firstLine="640" w:firstLineChars="200"/>
        <w:rPr>
          <w:rFonts w:cs="楷体_GB2312" w:asciiTheme="majorEastAsia" w:hAnsiTheme="majorEastAsia" w:eastAsiaTheme="majorEastAsia"/>
          <w:sz w:val="32"/>
          <w:szCs w:val="32"/>
        </w:rPr>
      </w:pPr>
      <w:r>
        <w:rPr>
          <w:rFonts w:hint="eastAsia" w:cs="宋体" w:asciiTheme="majorEastAsia" w:hAnsiTheme="majorEastAsia" w:eastAsiaTheme="majorEastAsia"/>
          <w:sz w:val="32"/>
          <w:szCs w:val="32"/>
        </w:rPr>
        <w:t>（二）</w:t>
      </w:r>
      <w:r>
        <w:rPr>
          <w:rFonts w:hint="eastAsia" w:cs="楷体_GB2312" w:asciiTheme="majorEastAsia" w:hAnsiTheme="majorEastAsia" w:eastAsiaTheme="majorEastAsia"/>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cs="Courier New" w:asciiTheme="majorEastAsia" w:hAnsiTheme="majorEastAsia" w:eastAsiaTheme="majorEastAsia"/>
          <w:sz w:val="32"/>
          <w:szCs w:val="32"/>
        </w:rPr>
      </w:pP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9</w:t>
      </w:r>
      <w:r>
        <w:rPr>
          <w:rFonts w:hint="eastAsia" w:cs="宋体" w:asciiTheme="majorEastAsia" w:hAnsiTheme="majorEastAsia" w:eastAsiaTheme="majorEastAsia"/>
          <w:sz w:val="32"/>
          <w:szCs w:val="32"/>
        </w:rPr>
        <w:t>年度</w:t>
      </w:r>
      <w:r>
        <w:rPr>
          <w:rFonts w:cs="Courier New" w:asciiTheme="majorEastAsia" w:hAnsiTheme="majorEastAsia" w:eastAsiaTheme="majorEastAsia"/>
          <w:sz w:val="32"/>
          <w:szCs w:val="32"/>
        </w:rPr>
        <w:t>“</w:t>
      </w:r>
      <w:r>
        <w:rPr>
          <w:rFonts w:hint="eastAsia" w:cs="宋体" w:asciiTheme="majorEastAsia" w:hAnsiTheme="majorEastAsia" w:eastAsiaTheme="majorEastAsia"/>
          <w:sz w:val="32"/>
          <w:szCs w:val="32"/>
        </w:rPr>
        <w:t>三公</w:t>
      </w:r>
      <w:r>
        <w:rPr>
          <w:rFonts w:cs="Courier New" w:asciiTheme="majorEastAsia" w:hAnsiTheme="majorEastAsia" w:eastAsiaTheme="majorEastAsia"/>
          <w:sz w:val="32"/>
          <w:szCs w:val="32"/>
        </w:rPr>
        <w:t>”</w:t>
      </w:r>
      <w:r>
        <w:rPr>
          <w:rFonts w:hint="eastAsia" w:cs="宋体" w:asciiTheme="majorEastAsia" w:hAnsiTheme="majorEastAsia" w:eastAsiaTheme="majorEastAsia"/>
          <w:sz w:val="32"/>
          <w:szCs w:val="32"/>
        </w:rPr>
        <w:t>经费财政拨款支出</w:t>
      </w:r>
      <w:r>
        <w:rPr>
          <w:rFonts w:hint="eastAsia" w:cs="Courier New" w:asciiTheme="majorEastAsia" w:hAnsiTheme="majorEastAsia" w:eastAsiaTheme="majorEastAsia"/>
          <w:sz w:val="32"/>
          <w:szCs w:val="32"/>
        </w:rPr>
        <w:t>预</w:t>
      </w:r>
      <w:r>
        <w:rPr>
          <w:rFonts w:hint="eastAsia" w:cs="宋体" w:asciiTheme="majorEastAsia" w:hAnsiTheme="majorEastAsia" w:eastAsiaTheme="majorEastAsia"/>
          <w:sz w:val="32"/>
          <w:szCs w:val="32"/>
        </w:rPr>
        <w:t>算中，因公出国（境）费支出</w:t>
      </w:r>
      <w:r>
        <w:rPr>
          <w:rFonts w:hint="eastAsia" w:cs="Courier New" w:asciiTheme="majorEastAsia" w:hAnsiTheme="majorEastAsia" w:eastAsiaTheme="majorEastAsia"/>
          <w:sz w:val="32"/>
          <w:szCs w:val="32"/>
        </w:rPr>
        <w:t>预</w:t>
      </w:r>
      <w:r>
        <w:rPr>
          <w:rFonts w:hint="eastAsia" w:cs="宋体" w:asciiTheme="majorEastAsia" w:hAnsiTheme="majorEastAsia" w:eastAsiaTheme="majorEastAsia"/>
          <w:sz w:val="32"/>
          <w:szCs w:val="32"/>
        </w:rPr>
        <w:t>算</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万元，占</w:t>
      </w:r>
      <w:r>
        <w:rPr>
          <w:rFonts w:cs="Courier New" w:asciiTheme="majorEastAsia" w:hAnsiTheme="majorEastAsia" w:eastAsiaTheme="majorEastAsia"/>
          <w:sz w:val="32"/>
          <w:szCs w:val="32"/>
        </w:rPr>
        <w:t>0 %</w:t>
      </w:r>
      <w:r>
        <w:rPr>
          <w:rFonts w:hint="eastAsia" w:cs="宋体" w:asciiTheme="majorEastAsia" w:hAnsiTheme="majorEastAsia" w:eastAsiaTheme="majorEastAsia"/>
          <w:sz w:val="32"/>
          <w:szCs w:val="32"/>
        </w:rPr>
        <w:t>；公务用车购置18.3万元；运行费支出</w:t>
      </w:r>
      <w:r>
        <w:rPr>
          <w:rFonts w:hint="eastAsia" w:cs="Courier New" w:asciiTheme="majorEastAsia" w:hAnsiTheme="majorEastAsia" w:eastAsiaTheme="majorEastAsia"/>
          <w:sz w:val="32"/>
          <w:szCs w:val="32"/>
        </w:rPr>
        <w:t>预</w:t>
      </w:r>
      <w:r>
        <w:rPr>
          <w:rFonts w:hint="eastAsia" w:cs="宋体" w:asciiTheme="majorEastAsia" w:hAnsiTheme="majorEastAsia" w:eastAsiaTheme="majorEastAsia"/>
          <w:sz w:val="32"/>
          <w:szCs w:val="32"/>
        </w:rPr>
        <w:t>算</w:t>
      </w:r>
      <w:r>
        <w:rPr>
          <w:rFonts w:hint="eastAsia" w:cs="Courier New" w:asciiTheme="majorEastAsia" w:hAnsiTheme="majorEastAsia" w:eastAsiaTheme="majorEastAsia"/>
          <w:sz w:val="32"/>
          <w:szCs w:val="32"/>
        </w:rPr>
        <w:t>9.5</w:t>
      </w:r>
      <w:r>
        <w:rPr>
          <w:rFonts w:hint="eastAsia" w:cs="宋体" w:asciiTheme="majorEastAsia" w:hAnsiTheme="majorEastAsia" w:eastAsiaTheme="majorEastAsia"/>
          <w:sz w:val="32"/>
          <w:szCs w:val="32"/>
        </w:rPr>
        <w:t>万元，公务接待费支出</w:t>
      </w:r>
      <w:r>
        <w:rPr>
          <w:rFonts w:hint="eastAsia" w:cs="Courier New" w:asciiTheme="majorEastAsia" w:hAnsiTheme="majorEastAsia" w:eastAsiaTheme="majorEastAsia"/>
          <w:sz w:val="32"/>
          <w:szCs w:val="32"/>
        </w:rPr>
        <w:t>预</w:t>
      </w:r>
      <w:r>
        <w:rPr>
          <w:rFonts w:hint="eastAsia" w:cs="宋体" w:asciiTheme="majorEastAsia" w:hAnsiTheme="majorEastAsia" w:eastAsiaTheme="majorEastAsia"/>
          <w:sz w:val="32"/>
          <w:szCs w:val="32"/>
        </w:rPr>
        <w:t>算</w:t>
      </w:r>
      <w:r>
        <w:rPr>
          <w:rFonts w:hint="eastAsia" w:cs="Courier New" w:asciiTheme="majorEastAsia" w:hAnsiTheme="majorEastAsia" w:eastAsiaTheme="majorEastAsia"/>
          <w:sz w:val="32"/>
          <w:szCs w:val="32"/>
        </w:rPr>
        <w:t>22.3</w:t>
      </w:r>
      <w:r>
        <w:rPr>
          <w:rFonts w:hint="eastAsia" w:cs="宋体" w:asciiTheme="majorEastAsia" w:hAnsiTheme="majorEastAsia" w:eastAsiaTheme="majorEastAsia"/>
          <w:sz w:val="32"/>
          <w:szCs w:val="32"/>
        </w:rPr>
        <w:t>万元</w:t>
      </w:r>
      <w:r>
        <w:rPr>
          <w:rFonts w:hint="eastAsia" w:cs="Courier New" w:asciiTheme="majorEastAsia" w:hAnsiTheme="majorEastAsia" w:eastAsiaTheme="majorEastAsia"/>
          <w:sz w:val="32"/>
          <w:szCs w:val="32"/>
        </w:rPr>
        <w:t>，</w:t>
      </w:r>
      <w:r>
        <w:rPr>
          <w:rFonts w:hint="eastAsia" w:cs="宋体" w:asciiTheme="majorEastAsia" w:hAnsiTheme="majorEastAsia" w:eastAsiaTheme="majorEastAsia"/>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cs="Courier New" w:asciiTheme="majorEastAsia" w:hAnsiTheme="majorEastAsia" w:eastAsiaTheme="majorEastAsia"/>
          <w:b/>
          <w:bCs/>
          <w:sz w:val="32"/>
          <w:szCs w:val="32"/>
        </w:rPr>
      </w:pPr>
      <w:r>
        <w:rPr>
          <w:rFonts w:hint="eastAsia" w:cs="宋体" w:asciiTheme="majorEastAsia" w:hAnsiTheme="majorEastAsia" w:eastAsiaTheme="majorEastAsia"/>
          <w:b/>
          <w:bCs/>
          <w:sz w:val="32"/>
          <w:szCs w:val="32"/>
        </w:rPr>
        <w:t>因公出国（境）费</w:t>
      </w:r>
      <w:r>
        <w:rPr>
          <w:rFonts w:hint="eastAsia" w:cs="宋体" w:asciiTheme="majorEastAsia" w:hAnsiTheme="majorEastAsia" w:eastAsiaTheme="majorEastAsia"/>
          <w:sz w:val="32"/>
          <w:szCs w:val="32"/>
        </w:rPr>
        <w:t>支出</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万元。全年安排机关单位因公出国（境）团组</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个，累计</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人次。开支内容包括：</w:t>
      </w:r>
    </w:p>
    <w:p>
      <w:pPr>
        <w:kinsoku w:val="0"/>
        <w:overflowPunct w:val="0"/>
        <w:autoSpaceDE w:val="0"/>
        <w:autoSpaceDN w:val="0"/>
        <w:adjustRightInd w:val="0"/>
        <w:snapToGrid w:val="0"/>
        <w:spacing w:line="360" w:lineRule="auto"/>
        <w:ind w:firstLine="643" w:firstLineChars="200"/>
        <w:rPr>
          <w:rFonts w:cs="Courier New" w:asciiTheme="majorEastAsia" w:hAnsiTheme="majorEastAsia" w:eastAsiaTheme="majorEastAsia"/>
          <w:sz w:val="32"/>
          <w:szCs w:val="32"/>
        </w:rPr>
      </w:pPr>
      <w:r>
        <w:rPr>
          <w:rFonts w:hint="eastAsia" w:cs="宋体" w:asciiTheme="majorEastAsia" w:hAnsiTheme="majorEastAsia" w:eastAsiaTheme="majorEastAsia"/>
          <w:b/>
          <w:bCs/>
          <w:sz w:val="32"/>
          <w:szCs w:val="32"/>
        </w:rPr>
        <w:t>出国谈判、工作磋商</w:t>
      </w:r>
      <w:r>
        <w:rPr>
          <w:rFonts w:hint="eastAsia" w:cs="宋体" w:asciiTheme="majorEastAsia" w:hAnsiTheme="majorEastAsia" w:eastAsiaTheme="majorEastAsia"/>
          <w:sz w:val="32"/>
          <w:szCs w:val="32"/>
        </w:rPr>
        <w:t>支出</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cs="Courier New" w:asciiTheme="majorEastAsia" w:hAnsiTheme="majorEastAsia" w:eastAsiaTheme="majorEastAsia"/>
          <w:sz w:val="32"/>
          <w:szCs w:val="32"/>
        </w:rPr>
      </w:pPr>
      <w:r>
        <w:rPr>
          <w:rFonts w:hint="eastAsia" w:cs="宋体" w:asciiTheme="majorEastAsia" w:hAnsiTheme="majorEastAsia" w:eastAsiaTheme="majorEastAsia"/>
          <w:b/>
          <w:bCs/>
          <w:sz w:val="32"/>
          <w:szCs w:val="32"/>
        </w:rPr>
        <w:t>境外业务培训</w:t>
      </w:r>
      <w:r>
        <w:rPr>
          <w:rFonts w:cs="Courier New" w:asciiTheme="majorEastAsia" w:hAnsiTheme="majorEastAsia" w:eastAsiaTheme="majorEastAsia"/>
          <w:b/>
          <w:bCs/>
          <w:sz w:val="32"/>
          <w:szCs w:val="32"/>
        </w:rPr>
        <w:t xml:space="preserve"> </w:t>
      </w:r>
      <w:r>
        <w:rPr>
          <w:rFonts w:hint="eastAsia" w:cs="宋体" w:asciiTheme="majorEastAsia" w:hAnsiTheme="majorEastAsia" w:eastAsiaTheme="majorEastAsia"/>
          <w:sz w:val="32"/>
          <w:szCs w:val="32"/>
        </w:rPr>
        <w:t>支出支出</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万元。</w:t>
      </w:r>
    </w:p>
    <w:p>
      <w:pPr>
        <w:numPr>
          <w:ilvl w:val="0"/>
          <w:numId w:val="5"/>
        </w:numPr>
        <w:kinsoku w:val="0"/>
        <w:overflowPunct w:val="0"/>
        <w:autoSpaceDE w:val="0"/>
        <w:autoSpaceDN w:val="0"/>
        <w:adjustRightInd w:val="0"/>
        <w:snapToGrid w:val="0"/>
        <w:spacing w:line="360" w:lineRule="auto"/>
        <w:ind w:firstLine="643" w:firstLineChars="200"/>
        <w:rPr>
          <w:rFonts w:cs="Courier New" w:asciiTheme="majorEastAsia" w:hAnsiTheme="majorEastAsia" w:eastAsiaTheme="majorEastAsia"/>
          <w:b/>
          <w:bCs/>
          <w:sz w:val="32"/>
          <w:szCs w:val="32"/>
        </w:rPr>
      </w:pPr>
      <w:r>
        <w:rPr>
          <w:rFonts w:hint="eastAsia" w:asciiTheme="majorEastAsia" w:hAnsiTheme="majorEastAsia" w:eastAsiaTheme="majorEastAsia"/>
          <w:b/>
          <w:bCs/>
          <w:sz w:val="32"/>
          <w:szCs w:val="32"/>
        </w:rPr>
        <w:t>公务</w:t>
      </w:r>
      <w:r>
        <w:rPr>
          <w:rFonts w:hint="eastAsia" w:cs="宋体" w:asciiTheme="majorEastAsia" w:hAnsiTheme="majorEastAsia" w:eastAsiaTheme="majorEastAsia"/>
          <w:b/>
          <w:bCs/>
          <w:sz w:val="32"/>
          <w:szCs w:val="32"/>
        </w:rPr>
        <w:t>用车费为27.8</w:t>
      </w:r>
      <w:r>
        <w:rPr>
          <w:rFonts w:hint="eastAsia" w:cs="宋体" w:asciiTheme="majorEastAsia" w:hAnsiTheme="majorEastAsia" w:eastAsiaTheme="majorEastAsia"/>
          <w:sz w:val="32"/>
          <w:szCs w:val="32"/>
        </w:rPr>
        <w:t>万元。其中：</w:t>
      </w:r>
    </w:p>
    <w:p>
      <w:pPr>
        <w:kinsoku w:val="0"/>
        <w:overflowPunct w:val="0"/>
        <w:autoSpaceDE w:val="0"/>
        <w:autoSpaceDN w:val="0"/>
        <w:adjustRightInd w:val="0"/>
        <w:snapToGrid w:val="0"/>
        <w:spacing w:line="360" w:lineRule="auto"/>
        <w:ind w:firstLine="643" w:firstLineChars="200"/>
        <w:rPr>
          <w:rFonts w:hint="eastAsia" w:cs="宋体" w:asciiTheme="majorEastAsia" w:hAnsiTheme="majorEastAsia" w:eastAsiaTheme="majorEastAsia"/>
          <w:sz w:val="32"/>
          <w:szCs w:val="32"/>
          <w:lang w:eastAsia="zh-CN"/>
        </w:rPr>
      </w:pPr>
      <w:r>
        <w:rPr>
          <w:rFonts w:hint="eastAsia" w:cs="Courier New" w:asciiTheme="majorEastAsia" w:hAnsiTheme="majorEastAsia" w:eastAsiaTheme="majorEastAsia"/>
          <w:b/>
          <w:bCs/>
          <w:sz w:val="32"/>
          <w:szCs w:val="32"/>
          <w:lang w:val="en-US" w:eastAsia="zh-CN"/>
        </w:rPr>
        <w:t>公务</w:t>
      </w:r>
      <w:r>
        <w:rPr>
          <w:rFonts w:hint="eastAsia" w:cs="宋体" w:asciiTheme="majorEastAsia" w:hAnsiTheme="majorEastAsia" w:eastAsiaTheme="majorEastAsia"/>
          <w:b/>
          <w:bCs/>
          <w:sz w:val="32"/>
          <w:szCs w:val="32"/>
        </w:rPr>
        <w:t>用车购置</w:t>
      </w:r>
      <w:r>
        <w:rPr>
          <w:rFonts w:hint="eastAsia" w:cs="宋体" w:asciiTheme="majorEastAsia" w:hAnsiTheme="majorEastAsia" w:eastAsiaTheme="majorEastAsia"/>
          <w:sz w:val="32"/>
          <w:szCs w:val="32"/>
        </w:rPr>
        <w:t>支出为</w:t>
      </w:r>
      <w:r>
        <w:rPr>
          <w:rFonts w:hint="eastAsia" w:cs="Courier New" w:asciiTheme="majorEastAsia" w:hAnsiTheme="majorEastAsia" w:eastAsiaTheme="majorEastAsia"/>
          <w:sz w:val="32"/>
          <w:szCs w:val="32"/>
        </w:rPr>
        <w:t>18.3</w:t>
      </w:r>
      <w:r>
        <w:rPr>
          <w:rFonts w:hint="eastAsia" w:cs="宋体" w:asciiTheme="majorEastAsia" w:hAnsiTheme="majorEastAsia" w:eastAsiaTheme="majorEastAsia"/>
          <w:sz w:val="32"/>
          <w:szCs w:val="32"/>
        </w:rPr>
        <w:t>万元。</w:t>
      </w:r>
      <w:r>
        <w:rPr>
          <w:rFonts w:hint="eastAsia" w:cs="宋体" w:asciiTheme="majorEastAsia" w:hAnsiTheme="majorEastAsia" w:eastAsiaTheme="majorEastAsia"/>
          <w:sz w:val="32"/>
          <w:szCs w:val="32"/>
          <w:lang w:eastAsia="zh-CN"/>
        </w:rPr>
        <w:t>车辆购置数为一辆。</w:t>
      </w:r>
    </w:p>
    <w:p>
      <w:pPr>
        <w:kinsoku w:val="0"/>
        <w:overflowPunct w:val="0"/>
        <w:autoSpaceDE w:val="0"/>
        <w:autoSpaceDN w:val="0"/>
        <w:adjustRightInd w:val="0"/>
        <w:snapToGrid w:val="0"/>
        <w:spacing w:line="360" w:lineRule="auto"/>
        <w:ind w:firstLine="643" w:firstLineChars="200"/>
        <w:rPr>
          <w:rFonts w:cs="Courier New" w:asciiTheme="majorEastAsia" w:hAnsiTheme="majorEastAsia" w:eastAsiaTheme="majorEastAsia"/>
          <w:sz w:val="32"/>
          <w:szCs w:val="32"/>
        </w:rPr>
      </w:pPr>
      <w:r>
        <w:rPr>
          <w:rFonts w:hint="eastAsia" w:cs="Courier New" w:asciiTheme="majorEastAsia" w:hAnsiTheme="majorEastAsia" w:eastAsiaTheme="majorEastAsia"/>
          <w:b/>
          <w:bCs/>
          <w:sz w:val="32"/>
          <w:szCs w:val="32"/>
          <w:lang w:val="en-US" w:eastAsia="zh-CN"/>
        </w:rPr>
        <w:t>公务</w:t>
      </w:r>
      <w:r>
        <w:rPr>
          <w:rFonts w:hint="eastAsia" w:cs="宋体" w:asciiTheme="majorEastAsia" w:hAnsiTheme="majorEastAsia" w:eastAsiaTheme="majorEastAsia"/>
          <w:b/>
          <w:bCs/>
          <w:sz w:val="32"/>
          <w:szCs w:val="32"/>
        </w:rPr>
        <w:t>用车运行</w:t>
      </w:r>
      <w:r>
        <w:rPr>
          <w:rFonts w:hint="eastAsia" w:cs="宋体" w:asciiTheme="majorEastAsia" w:hAnsiTheme="majorEastAsia" w:eastAsiaTheme="majorEastAsia"/>
          <w:sz w:val="32"/>
          <w:szCs w:val="32"/>
        </w:rPr>
        <w:t>支出</w:t>
      </w:r>
      <w:r>
        <w:rPr>
          <w:rFonts w:hint="eastAsia" w:cs="Courier New" w:asciiTheme="majorEastAsia" w:hAnsiTheme="majorEastAsia" w:eastAsiaTheme="majorEastAsia"/>
          <w:sz w:val="32"/>
          <w:szCs w:val="32"/>
        </w:rPr>
        <w:t>9.5</w:t>
      </w:r>
      <w:r>
        <w:rPr>
          <w:rFonts w:hint="eastAsia" w:cs="宋体" w:asciiTheme="majorEastAsia" w:hAnsiTheme="majorEastAsia" w:eastAsiaTheme="majorEastAsia"/>
          <w:sz w:val="32"/>
          <w:szCs w:val="32"/>
        </w:rPr>
        <w:t>万元。</w:t>
      </w:r>
      <w:r>
        <w:rPr>
          <w:rFonts w:hint="eastAsia" w:cs="Courier New" w:asciiTheme="majorEastAsia" w:hAnsiTheme="majorEastAsia" w:eastAsiaTheme="majorEastAsia"/>
          <w:sz w:val="32"/>
          <w:szCs w:val="32"/>
        </w:rPr>
        <w:t>现有执法用车叁辆，</w:t>
      </w:r>
      <w:r>
        <w:rPr>
          <w:rFonts w:hint="eastAsia" w:cs="宋体" w:asciiTheme="majorEastAsia" w:hAnsiTheme="majorEastAsia" w:eastAsiaTheme="majorEastAsia"/>
          <w:sz w:val="32"/>
          <w:szCs w:val="32"/>
        </w:rPr>
        <w:t>主要用于车辆</w:t>
      </w:r>
      <w:r>
        <w:rPr>
          <w:rFonts w:hint="eastAsia" w:cs="Courier New" w:asciiTheme="majorEastAsia" w:hAnsiTheme="majorEastAsia" w:eastAsiaTheme="majorEastAsia"/>
          <w:sz w:val="32"/>
          <w:szCs w:val="32"/>
        </w:rPr>
        <w:t>保险、</w:t>
      </w:r>
      <w:r>
        <w:rPr>
          <w:rFonts w:hint="eastAsia" w:cs="宋体" w:asciiTheme="majorEastAsia" w:hAnsiTheme="majorEastAsia" w:eastAsiaTheme="majorEastAsia"/>
          <w:sz w:val="32"/>
          <w:szCs w:val="32"/>
        </w:rPr>
        <w:t>维修和加油费。</w:t>
      </w:r>
    </w:p>
    <w:p>
      <w:pPr>
        <w:numPr>
          <w:ilvl w:val="0"/>
          <w:numId w:val="5"/>
        </w:numPr>
        <w:kinsoku w:val="0"/>
        <w:overflowPunct w:val="0"/>
        <w:autoSpaceDE w:val="0"/>
        <w:autoSpaceDN w:val="0"/>
        <w:adjustRightInd w:val="0"/>
        <w:snapToGrid w:val="0"/>
        <w:spacing w:line="360" w:lineRule="auto"/>
        <w:ind w:firstLine="643" w:firstLineChars="200"/>
        <w:outlineLvl w:val="1"/>
        <w:rPr>
          <w:rFonts w:asciiTheme="majorEastAsia" w:hAnsiTheme="majorEastAsia" w:eastAsiaTheme="majorEastAsia"/>
          <w:sz w:val="32"/>
          <w:szCs w:val="32"/>
        </w:rPr>
      </w:pPr>
      <w:r>
        <w:rPr>
          <w:rFonts w:hint="eastAsia" w:cs="宋体" w:asciiTheme="majorEastAsia" w:hAnsiTheme="majorEastAsia" w:eastAsiaTheme="majorEastAsia"/>
          <w:b/>
          <w:bCs/>
          <w:sz w:val="32"/>
          <w:szCs w:val="32"/>
        </w:rPr>
        <w:t>公务接待费</w:t>
      </w:r>
      <w:r>
        <w:rPr>
          <w:rFonts w:hint="eastAsia" w:cs="宋体" w:asciiTheme="majorEastAsia" w:hAnsiTheme="majorEastAsia" w:eastAsiaTheme="majorEastAsia"/>
          <w:sz w:val="32"/>
          <w:szCs w:val="32"/>
        </w:rPr>
        <w:t>支出</w:t>
      </w:r>
      <w:r>
        <w:rPr>
          <w:rFonts w:hint="eastAsia" w:cs="Courier New" w:asciiTheme="majorEastAsia" w:hAnsiTheme="majorEastAsia" w:eastAsiaTheme="majorEastAsia"/>
          <w:sz w:val="32"/>
          <w:szCs w:val="32"/>
        </w:rPr>
        <w:t>22.3</w:t>
      </w:r>
      <w:r>
        <w:rPr>
          <w:rFonts w:hint="eastAsia" w:cs="宋体" w:asciiTheme="majorEastAsia" w:hAnsiTheme="majorEastAsia" w:eastAsiaTheme="majorEastAsia"/>
          <w:sz w:val="32"/>
          <w:szCs w:val="32"/>
        </w:rPr>
        <w:t>万元。其中：主要用于</w:t>
      </w:r>
      <w:r>
        <w:rPr>
          <w:rFonts w:hint="eastAsia" w:cs="宋体" w:asciiTheme="majorEastAsia" w:hAnsiTheme="majorEastAsia" w:eastAsiaTheme="majorEastAsia"/>
          <w:sz w:val="32"/>
          <w:szCs w:val="32"/>
          <w:lang w:eastAsia="zh-CN"/>
        </w:rPr>
        <w:t>中共信阳市浉河区纪律检查委员会</w:t>
      </w:r>
      <w:r>
        <w:rPr>
          <w:rFonts w:hint="eastAsia" w:cs="宋体" w:asciiTheme="majorEastAsia" w:hAnsiTheme="majorEastAsia" w:eastAsiaTheme="majorEastAsia"/>
          <w:sz w:val="32"/>
          <w:szCs w:val="32"/>
        </w:rPr>
        <w:t>日常的公务接待。</w:t>
      </w:r>
    </w:p>
    <w:p>
      <w:pPr>
        <w:kinsoku w:val="0"/>
        <w:overflowPunct w:val="0"/>
        <w:autoSpaceDE w:val="0"/>
        <w:autoSpaceDN w:val="0"/>
        <w:adjustRightInd w:val="0"/>
        <w:snapToGrid w:val="0"/>
        <w:spacing w:line="360" w:lineRule="auto"/>
        <w:ind w:left="643"/>
        <w:outlineLvl w:val="1"/>
        <w:rPr>
          <w:rFonts w:asciiTheme="majorEastAsia" w:hAnsiTheme="majorEastAsia" w:eastAsiaTheme="majorEastAsia"/>
          <w:sz w:val="32"/>
          <w:szCs w:val="32"/>
        </w:rPr>
      </w:pPr>
      <w:r>
        <w:rPr>
          <w:rFonts w:hint="eastAsia" w:asciiTheme="majorEastAsia" w:hAnsiTheme="majorEastAsia" w:eastAsiaTheme="majorEastAsia"/>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cs="宋体" w:asciiTheme="majorEastAsia" w:hAnsiTheme="majorEastAsia" w:eastAsiaTheme="majorEastAsia"/>
          <w:sz w:val="32"/>
          <w:szCs w:val="32"/>
        </w:rPr>
      </w:pP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9</w:t>
      </w:r>
      <w:r>
        <w:rPr>
          <w:rFonts w:hint="eastAsia" w:cs="宋体" w:asciiTheme="majorEastAsia" w:hAnsiTheme="majorEastAsia" w:eastAsiaTheme="majorEastAsia"/>
          <w:sz w:val="32"/>
          <w:szCs w:val="32"/>
        </w:rPr>
        <w:t>年度政府性基金预算财政拨款支出年初预算为</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万元，支出为</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万元。</w:t>
      </w:r>
    </w:p>
    <w:p>
      <w:pPr>
        <w:adjustRightInd w:val="0"/>
        <w:snapToGrid w:val="0"/>
        <w:spacing w:line="360" w:lineRule="auto"/>
        <w:ind w:firstLine="640" w:firstLineChars="200"/>
        <w:outlineLvl w:val="1"/>
        <w:rPr>
          <w:rFonts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九</w:t>
      </w:r>
      <w:r>
        <w:rPr>
          <w:rFonts w:hint="eastAsia" w:asciiTheme="majorEastAsia" w:hAnsiTheme="majorEastAsia" w:eastAsiaTheme="majorEastAsia"/>
          <w:sz w:val="32"/>
          <w:szCs w:val="32"/>
        </w:rPr>
        <w:t>、其他重要事项的情况说明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cs="黑体" w:asciiTheme="majorEastAsia" w:hAnsiTheme="majorEastAsia" w:eastAsiaTheme="majorEastAsia"/>
          <w:bCs/>
          <w:kern w:val="0"/>
          <w:sz w:val="32"/>
          <w:szCs w:val="32"/>
        </w:rPr>
      </w:pPr>
      <w:r>
        <w:rPr>
          <w:rFonts w:hint="eastAsia" w:asciiTheme="majorEastAsia" w:hAnsiTheme="majorEastAsia" w:eastAsiaTheme="majorEastAsia"/>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cs="Courier New" w:asciiTheme="majorEastAsia" w:hAnsiTheme="majorEastAsia" w:eastAsiaTheme="majorEastAsia"/>
          <w:sz w:val="32"/>
          <w:szCs w:val="32"/>
        </w:rPr>
      </w:pP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9</w:t>
      </w:r>
      <w:r>
        <w:rPr>
          <w:rFonts w:hint="eastAsia" w:cs="宋体" w:asciiTheme="majorEastAsia" w:hAnsiTheme="majorEastAsia" w:eastAsiaTheme="majorEastAsia"/>
          <w:sz w:val="32"/>
          <w:szCs w:val="32"/>
        </w:rPr>
        <w:t>年度机关运行商品服务支出</w:t>
      </w:r>
      <w:r>
        <w:rPr>
          <w:rFonts w:hint="eastAsia" w:cs="Courier New" w:asciiTheme="majorEastAsia" w:hAnsiTheme="majorEastAsia" w:eastAsiaTheme="majorEastAsia"/>
          <w:sz w:val="32"/>
          <w:szCs w:val="32"/>
        </w:rPr>
        <w:t>265.4</w:t>
      </w:r>
      <w:r>
        <w:rPr>
          <w:rFonts w:hint="eastAsia" w:cs="宋体" w:asciiTheme="majorEastAsia" w:hAnsiTheme="majorEastAsia" w:eastAsiaTheme="majorEastAsia"/>
          <w:sz w:val="32"/>
          <w:szCs w:val="32"/>
        </w:rPr>
        <w:t>万元，比</w:t>
      </w: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8</w:t>
      </w:r>
      <w:r>
        <w:rPr>
          <w:rFonts w:hint="eastAsia" w:cs="宋体" w:asciiTheme="majorEastAsia" w:hAnsiTheme="majorEastAsia" w:eastAsiaTheme="majorEastAsia"/>
          <w:sz w:val="32"/>
          <w:szCs w:val="32"/>
        </w:rPr>
        <w:t>年</w:t>
      </w:r>
      <w:r>
        <w:rPr>
          <w:rFonts w:hint="eastAsia" w:cs="Courier New" w:asciiTheme="majorEastAsia" w:hAnsiTheme="majorEastAsia" w:eastAsiaTheme="majorEastAsia"/>
          <w:sz w:val="32"/>
          <w:szCs w:val="32"/>
        </w:rPr>
        <w:t>增加135.2</w:t>
      </w:r>
      <w:r>
        <w:rPr>
          <w:rFonts w:hint="eastAsia" w:cs="宋体" w:asciiTheme="majorEastAsia" w:hAnsiTheme="majorEastAsia" w:eastAsiaTheme="majorEastAsia"/>
          <w:sz w:val="32"/>
          <w:szCs w:val="32"/>
        </w:rPr>
        <w:t>万元，</w:t>
      </w:r>
      <w:r>
        <w:rPr>
          <w:rFonts w:hint="eastAsia" w:cs="Courier New" w:asciiTheme="majorEastAsia" w:hAnsiTheme="majorEastAsia" w:eastAsiaTheme="majorEastAsia"/>
          <w:sz w:val="32"/>
          <w:szCs w:val="32"/>
        </w:rPr>
        <w:t>上涨104</w:t>
      </w:r>
      <w:r>
        <w:rPr>
          <w:rFonts w:cs="Courier New" w:asciiTheme="majorEastAsia" w:hAnsiTheme="majorEastAsia" w:eastAsiaTheme="majorEastAsia"/>
          <w:sz w:val="32"/>
          <w:szCs w:val="32"/>
        </w:rPr>
        <w:t>%</w:t>
      </w:r>
      <w:r>
        <w:rPr>
          <w:rFonts w:hint="eastAsia" w:cs="宋体" w:asciiTheme="majorEastAsia" w:hAnsiTheme="majorEastAsia" w:eastAsiaTheme="majorEastAsia"/>
          <w:sz w:val="32"/>
          <w:szCs w:val="32"/>
        </w:rPr>
        <w:t>。</w:t>
      </w:r>
      <w:r>
        <w:rPr>
          <w:rFonts w:hint="eastAsia" w:cs="Courier New" w:asciiTheme="majorEastAsia" w:hAnsiTheme="majorEastAsia" w:eastAsiaTheme="majorEastAsia"/>
          <w:sz w:val="32"/>
          <w:szCs w:val="32"/>
        </w:rPr>
        <w:t>因2019年新购执法执纪用车和</w:t>
      </w:r>
      <w:r>
        <w:rPr>
          <w:rFonts w:hint="eastAsia" w:cs="Courier New" w:asciiTheme="majorEastAsia" w:hAnsiTheme="majorEastAsia" w:eastAsiaTheme="majorEastAsia"/>
          <w:sz w:val="32"/>
          <w:szCs w:val="32"/>
          <w:lang w:eastAsia="zh-CN"/>
        </w:rPr>
        <w:t>中共信阳市浉河区纪律检查委员会</w:t>
      </w:r>
      <w:r>
        <w:rPr>
          <w:rFonts w:hint="eastAsia" w:cs="Courier New" w:asciiTheme="majorEastAsia" w:hAnsiTheme="majorEastAsia" w:eastAsiaTheme="majorEastAsia"/>
          <w:sz w:val="32"/>
          <w:szCs w:val="32"/>
        </w:rPr>
        <w:t>廉政教育基地建设，所以经费有所提高。</w:t>
      </w:r>
    </w:p>
    <w:p>
      <w:pPr>
        <w:numPr>
          <w:ilvl w:val="0"/>
          <w:numId w:val="6"/>
        </w:numPr>
        <w:kinsoku w:val="0"/>
        <w:overflowPunct w:val="0"/>
        <w:autoSpaceDE w:val="0"/>
        <w:autoSpaceDN w:val="0"/>
        <w:adjustRightInd w:val="0"/>
        <w:snapToGrid w:val="0"/>
        <w:spacing w:line="360" w:lineRule="auto"/>
        <w:ind w:firstLine="640" w:firstLineChars="200"/>
        <w:rPr>
          <w:rFonts w:cs="??_GB2312" w:asciiTheme="majorEastAsia" w:hAnsiTheme="majorEastAsia" w:eastAsiaTheme="majorEastAsia"/>
          <w:bCs/>
          <w:kern w:val="0"/>
          <w:sz w:val="32"/>
          <w:szCs w:val="32"/>
        </w:rPr>
      </w:pPr>
      <w:r>
        <w:rPr>
          <w:rFonts w:hint="eastAsia" w:asciiTheme="majorEastAsia" w:hAnsiTheme="majorEastAsia" w:eastAsiaTheme="majorEastAsia"/>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cs="Courier New" w:asciiTheme="majorEastAsia" w:hAnsiTheme="majorEastAsia" w:eastAsiaTheme="majorEastAsia"/>
          <w:sz w:val="32"/>
          <w:szCs w:val="32"/>
        </w:rPr>
      </w:pP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9</w:t>
      </w:r>
      <w:r>
        <w:rPr>
          <w:rFonts w:hint="eastAsia" w:cs="宋体" w:asciiTheme="majorEastAsia" w:hAnsiTheme="majorEastAsia" w:eastAsiaTheme="majorEastAsia"/>
          <w:sz w:val="32"/>
          <w:szCs w:val="32"/>
        </w:rPr>
        <w:t>年度政府采购支出</w:t>
      </w:r>
      <w:r>
        <w:rPr>
          <w:rFonts w:hint="eastAsia" w:cs="Courier New" w:asciiTheme="majorEastAsia" w:hAnsiTheme="majorEastAsia" w:eastAsiaTheme="majorEastAsia"/>
          <w:sz w:val="32"/>
          <w:szCs w:val="32"/>
        </w:rPr>
        <w:t>预算</w:t>
      </w:r>
      <w:r>
        <w:rPr>
          <w:rFonts w:hint="eastAsia" w:cs="宋体" w:asciiTheme="majorEastAsia" w:hAnsiTheme="majorEastAsia" w:eastAsiaTheme="majorEastAsia"/>
          <w:sz w:val="32"/>
          <w:szCs w:val="32"/>
        </w:rPr>
        <w:t>总额43</w:t>
      </w:r>
      <w:r>
        <w:rPr>
          <w:rFonts w:hint="eastAsia"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万元，其中：政府采购货物支出43</w:t>
      </w:r>
      <w:r>
        <w:rPr>
          <w:rFonts w:hint="eastAsia"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万元、政府采购工程预算0万元、政府采购服务预算0万元</w:t>
      </w:r>
      <w:r>
        <w:rPr>
          <w:rFonts w:hint="eastAsia" w:cs="Courier New" w:asciiTheme="majorEastAsia" w:hAnsiTheme="majorEastAsia" w:eastAsiaTheme="majorEastAsia"/>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cs="??_GB2312" w:asciiTheme="majorEastAsia" w:hAnsiTheme="majorEastAsia" w:eastAsiaTheme="majorEastAsia"/>
          <w:bCs/>
          <w:kern w:val="0"/>
          <w:sz w:val="32"/>
          <w:szCs w:val="32"/>
        </w:rPr>
      </w:pPr>
      <w:r>
        <w:rPr>
          <w:rFonts w:hint="eastAsia" w:asciiTheme="majorEastAsia" w:hAnsiTheme="majorEastAsia" w:eastAsiaTheme="majorEastAsia"/>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cs="宋体" w:asciiTheme="majorEastAsia" w:hAnsiTheme="majorEastAsia" w:eastAsiaTheme="majorEastAsia"/>
          <w:sz w:val="32"/>
          <w:szCs w:val="32"/>
        </w:rPr>
      </w:pPr>
      <w:r>
        <w:rPr>
          <w:rFonts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rPr>
        <w:t>9</w:t>
      </w:r>
      <w:r>
        <w:rPr>
          <w:rFonts w:hint="eastAsia" w:cs="宋体" w:asciiTheme="majorEastAsia" w:hAnsiTheme="majorEastAsia" w:eastAsiaTheme="majorEastAsia"/>
          <w:sz w:val="32"/>
          <w:szCs w:val="32"/>
        </w:rPr>
        <w:t>年，</w:t>
      </w:r>
      <w:r>
        <w:rPr>
          <w:rFonts w:hint="eastAsia" w:cs="宋体" w:asciiTheme="majorEastAsia" w:hAnsiTheme="majorEastAsia" w:eastAsiaTheme="majorEastAsia"/>
          <w:sz w:val="32"/>
          <w:szCs w:val="32"/>
          <w:lang w:eastAsia="zh-CN"/>
        </w:rPr>
        <w:t>中共信阳市浉河区纪律检查委员会</w:t>
      </w:r>
      <w:r>
        <w:rPr>
          <w:rFonts w:hint="eastAsia" w:cs="宋体" w:asciiTheme="majorEastAsia" w:hAnsiTheme="majorEastAsia" w:eastAsiaTheme="majorEastAsia"/>
          <w:sz w:val="32"/>
          <w:szCs w:val="32"/>
        </w:rPr>
        <w:t>共有车辆3辆，其中：一般公务用车0辆、一般执法执勤用车3辆、特种专业技术用车</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辆，其他用车</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辆。单价</w:t>
      </w:r>
      <w:r>
        <w:rPr>
          <w:rFonts w:cs="Courier New" w:asciiTheme="majorEastAsia" w:hAnsiTheme="majorEastAsia" w:eastAsiaTheme="majorEastAsia"/>
          <w:sz w:val="32"/>
          <w:szCs w:val="32"/>
        </w:rPr>
        <w:t>50</w:t>
      </w:r>
      <w:r>
        <w:rPr>
          <w:rFonts w:hint="eastAsia" w:cs="宋体" w:asciiTheme="majorEastAsia" w:hAnsiTheme="majorEastAsia" w:eastAsiaTheme="majorEastAsia"/>
          <w:sz w:val="32"/>
          <w:szCs w:val="32"/>
        </w:rPr>
        <w:t>万元以上通用设备</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台（套），单位价值</w:t>
      </w:r>
      <w:r>
        <w:rPr>
          <w:rFonts w:cs="Courier New" w:asciiTheme="majorEastAsia" w:hAnsiTheme="majorEastAsia" w:eastAsiaTheme="majorEastAsia"/>
          <w:sz w:val="32"/>
          <w:szCs w:val="32"/>
        </w:rPr>
        <w:t>100</w:t>
      </w:r>
      <w:r>
        <w:rPr>
          <w:rFonts w:hint="eastAsia" w:cs="宋体" w:asciiTheme="majorEastAsia" w:hAnsiTheme="majorEastAsia" w:eastAsiaTheme="majorEastAsia"/>
          <w:sz w:val="32"/>
          <w:szCs w:val="32"/>
        </w:rPr>
        <w:t>万元以上专用设备</w:t>
      </w:r>
      <w:r>
        <w:rPr>
          <w:rFonts w:cs="Courier New" w:asciiTheme="majorEastAsia" w:hAnsiTheme="majorEastAsia" w:eastAsiaTheme="majorEastAsia"/>
          <w:sz w:val="32"/>
          <w:szCs w:val="32"/>
        </w:rPr>
        <w:t>0</w:t>
      </w:r>
      <w:r>
        <w:rPr>
          <w:rFonts w:hint="eastAsia" w:cs="宋体" w:asciiTheme="majorEastAsia" w:hAnsiTheme="majorEastAsia" w:eastAsiaTheme="majorEastAsia"/>
          <w:sz w:val="32"/>
          <w:szCs w:val="32"/>
        </w:rPr>
        <w:t>台（套）。</w:t>
      </w:r>
    </w:p>
    <w:p>
      <w:pPr>
        <w:spacing w:line="600" w:lineRule="exact"/>
        <w:ind w:firstLine="640" w:firstLineChars="200"/>
        <w:rPr>
          <w:rFonts w:hint="eastAsia" w:ascii="仿宋" w:hAnsi="仿宋" w:eastAsia="仿宋"/>
          <w:sz w:val="32"/>
          <w:szCs w:val="32"/>
        </w:rPr>
      </w:pPr>
      <w:r>
        <w:rPr>
          <w:rFonts w:hint="eastAsia" w:cs="宋体" w:asciiTheme="majorEastAsia" w:hAnsiTheme="majorEastAsia" w:eastAsiaTheme="majorEastAsia"/>
          <w:sz w:val="32"/>
          <w:szCs w:val="32"/>
          <w:lang w:eastAsia="zh-CN"/>
        </w:rPr>
        <w:t>（四）</w:t>
      </w:r>
      <w:r>
        <w:rPr>
          <w:rFonts w:hint="eastAsia" w:ascii="仿宋" w:hAnsi="仿宋" w:eastAsia="仿宋"/>
          <w:sz w:val="32"/>
          <w:szCs w:val="32"/>
          <w:lang w:val="en-US" w:eastAsia="zh-CN"/>
        </w:rPr>
        <w:t>关于预算绩效管理工作开展情况说明</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2019年中共信阳市浉河区纪律检查委员会没有开展项目预算绩效评价。</w:t>
      </w:r>
    </w:p>
    <w:p>
      <w:pPr>
        <w:jc w:val="center"/>
        <w:outlineLvl w:val="0"/>
        <w:rPr>
          <w:rFonts w:cs="隶书" w:asciiTheme="majorEastAsia" w:hAnsiTheme="majorEastAsia" w:eastAsiaTheme="majorEastAsia"/>
          <w:sz w:val="32"/>
          <w:szCs w:val="32"/>
        </w:rPr>
      </w:pPr>
    </w:p>
    <w:p>
      <w:pPr>
        <w:jc w:val="center"/>
        <w:outlineLvl w:val="0"/>
        <w:rPr>
          <w:rFonts w:cs="隶书" w:asciiTheme="majorEastAsia" w:hAnsiTheme="majorEastAsia" w:eastAsiaTheme="majorEastAsia"/>
          <w:sz w:val="32"/>
          <w:szCs w:val="32"/>
        </w:rPr>
      </w:pPr>
    </w:p>
    <w:p>
      <w:pPr>
        <w:jc w:val="center"/>
        <w:outlineLvl w:val="0"/>
        <w:rPr>
          <w:rFonts w:cs="隶书" w:asciiTheme="majorEastAsia" w:hAnsiTheme="majorEastAsia" w:eastAsiaTheme="majorEastAsia"/>
          <w:sz w:val="32"/>
          <w:szCs w:val="32"/>
        </w:rPr>
      </w:pPr>
    </w:p>
    <w:p>
      <w:pPr>
        <w:jc w:val="center"/>
        <w:outlineLvl w:val="0"/>
        <w:rPr>
          <w:rFonts w:cs="隶书" w:asciiTheme="majorEastAsia" w:hAnsiTheme="majorEastAsia" w:eastAsiaTheme="majorEastAsia"/>
          <w:sz w:val="32"/>
          <w:szCs w:val="32"/>
        </w:rPr>
      </w:pPr>
    </w:p>
    <w:p>
      <w:pPr>
        <w:jc w:val="center"/>
        <w:outlineLvl w:val="0"/>
        <w:rPr>
          <w:rFonts w:cs="隶书" w:asciiTheme="majorEastAsia" w:hAnsiTheme="majorEastAsia" w:eastAsiaTheme="majorEastAsia"/>
          <w:sz w:val="32"/>
          <w:szCs w:val="32"/>
        </w:rPr>
      </w:pPr>
    </w:p>
    <w:p>
      <w:pPr>
        <w:jc w:val="center"/>
        <w:outlineLvl w:val="0"/>
        <w:rPr>
          <w:rFonts w:cs="隶书" w:asciiTheme="majorEastAsia" w:hAnsiTheme="majorEastAsia" w:eastAsiaTheme="majorEastAsia"/>
          <w:sz w:val="32"/>
          <w:szCs w:val="32"/>
        </w:rPr>
      </w:pPr>
    </w:p>
    <w:p>
      <w:pPr>
        <w:jc w:val="center"/>
        <w:outlineLvl w:val="0"/>
        <w:rPr>
          <w:rFonts w:cs="隶书" w:asciiTheme="majorEastAsia" w:hAnsiTheme="majorEastAsia" w:eastAsiaTheme="majorEastAsia"/>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是指市级财政当年拨付的资金。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6CBCA28"/>
    <w:multiLevelType w:val="singleLevel"/>
    <w:tmpl w:val="56CBCA28"/>
    <w:lvl w:ilvl="0" w:tentative="0">
      <w:start w:val="1"/>
      <w:numFmt w:val="chineseCounting"/>
      <w:suff w:val="nothing"/>
      <w:lvlText w:val="（%1）"/>
      <w:lvlJc w:val="left"/>
      <w:pPr>
        <w:ind w:left="180" w:firstLine="0"/>
      </w:p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0"/>
  </w:num>
  <w:num w:numId="3">
    <w:abstractNumId w:val="1"/>
    <w:lvlOverride w:ilvl="0">
      <w:startOverride w:val="1"/>
    </w:lvlOverride>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32CBA"/>
    <w:rsid w:val="00037D91"/>
    <w:rsid w:val="00042522"/>
    <w:rsid w:val="00092801"/>
    <w:rsid w:val="000B1B09"/>
    <w:rsid w:val="000B1B9B"/>
    <w:rsid w:val="000D5F2D"/>
    <w:rsid w:val="000F0442"/>
    <w:rsid w:val="00132E43"/>
    <w:rsid w:val="00170110"/>
    <w:rsid w:val="0017112E"/>
    <w:rsid w:val="00172A27"/>
    <w:rsid w:val="00194B66"/>
    <w:rsid w:val="001B5EE2"/>
    <w:rsid w:val="001B77BC"/>
    <w:rsid w:val="001D3FB5"/>
    <w:rsid w:val="001D5542"/>
    <w:rsid w:val="00244871"/>
    <w:rsid w:val="002816DB"/>
    <w:rsid w:val="002A721A"/>
    <w:rsid w:val="002D4869"/>
    <w:rsid w:val="003018E9"/>
    <w:rsid w:val="00320F8A"/>
    <w:rsid w:val="00336FCB"/>
    <w:rsid w:val="00376170"/>
    <w:rsid w:val="003D32F3"/>
    <w:rsid w:val="00402C74"/>
    <w:rsid w:val="00445BBB"/>
    <w:rsid w:val="00466F3B"/>
    <w:rsid w:val="00497915"/>
    <w:rsid w:val="004C11C3"/>
    <w:rsid w:val="004C7D71"/>
    <w:rsid w:val="004D36BB"/>
    <w:rsid w:val="004F3C7C"/>
    <w:rsid w:val="0050293C"/>
    <w:rsid w:val="00502B89"/>
    <w:rsid w:val="00503F16"/>
    <w:rsid w:val="005E126E"/>
    <w:rsid w:val="0061432B"/>
    <w:rsid w:val="00630D31"/>
    <w:rsid w:val="00654820"/>
    <w:rsid w:val="00666F2B"/>
    <w:rsid w:val="006824A4"/>
    <w:rsid w:val="00697D3B"/>
    <w:rsid w:val="006F22F7"/>
    <w:rsid w:val="00700FE8"/>
    <w:rsid w:val="007115FD"/>
    <w:rsid w:val="00715A8E"/>
    <w:rsid w:val="00731FE8"/>
    <w:rsid w:val="00743248"/>
    <w:rsid w:val="00743780"/>
    <w:rsid w:val="00765B97"/>
    <w:rsid w:val="00775162"/>
    <w:rsid w:val="00787823"/>
    <w:rsid w:val="007933D5"/>
    <w:rsid w:val="007956F5"/>
    <w:rsid w:val="007B72EA"/>
    <w:rsid w:val="007C61FC"/>
    <w:rsid w:val="007F184C"/>
    <w:rsid w:val="007F2C3D"/>
    <w:rsid w:val="007F7F87"/>
    <w:rsid w:val="00842D77"/>
    <w:rsid w:val="00861B19"/>
    <w:rsid w:val="008F0E73"/>
    <w:rsid w:val="00945E4C"/>
    <w:rsid w:val="009761B2"/>
    <w:rsid w:val="009B6CAD"/>
    <w:rsid w:val="009F4400"/>
    <w:rsid w:val="00A0074D"/>
    <w:rsid w:val="00A014A4"/>
    <w:rsid w:val="00A42191"/>
    <w:rsid w:val="00A74E1C"/>
    <w:rsid w:val="00A77C36"/>
    <w:rsid w:val="00AB7377"/>
    <w:rsid w:val="00AE65D3"/>
    <w:rsid w:val="00AE7787"/>
    <w:rsid w:val="00AF7B15"/>
    <w:rsid w:val="00B12B50"/>
    <w:rsid w:val="00B54309"/>
    <w:rsid w:val="00B74243"/>
    <w:rsid w:val="00B84FB0"/>
    <w:rsid w:val="00B902C1"/>
    <w:rsid w:val="00BA37FF"/>
    <w:rsid w:val="00BC30E8"/>
    <w:rsid w:val="00BC5210"/>
    <w:rsid w:val="00BD1AA8"/>
    <w:rsid w:val="00BE4CA5"/>
    <w:rsid w:val="00BF3D6F"/>
    <w:rsid w:val="00BF74B7"/>
    <w:rsid w:val="00C57D7B"/>
    <w:rsid w:val="00C6269F"/>
    <w:rsid w:val="00C6444A"/>
    <w:rsid w:val="00C67496"/>
    <w:rsid w:val="00CD4933"/>
    <w:rsid w:val="00D72917"/>
    <w:rsid w:val="00D9092F"/>
    <w:rsid w:val="00DB1C77"/>
    <w:rsid w:val="00DD5457"/>
    <w:rsid w:val="00DE25A3"/>
    <w:rsid w:val="00E14F94"/>
    <w:rsid w:val="00E21B07"/>
    <w:rsid w:val="00E32E02"/>
    <w:rsid w:val="00E8190D"/>
    <w:rsid w:val="00E92067"/>
    <w:rsid w:val="00ED38A5"/>
    <w:rsid w:val="00ED44BB"/>
    <w:rsid w:val="00EE6AA4"/>
    <w:rsid w:val="00F5129F"/>
    <w:rsid w:val="00F92F65"/>
    <w:rsid w:val="00FB0B96"/>
    <w:rsid w:val="00FF1EF9"/>
    <w:rsid w:val="01F21A60"/>
    <w:rsid w:val="022A6B4D"/>
    <w:rsid w:val="026651AD"/>
    <w:rsid w:val="027033B1"/>
    <w:rsid w:val="03240ECA"/>
    <w:rsid w:val="04084874"/>
    <w:rsid w:val="04453648"/>
    <w:rsid w:val="04B22A92"/>
    <w:rsid w:val="06DD6C9D"/>
    <w:rsid w:val="07F31BEE"/>
    <w:rsid w:val="084D7413"/>
    <w:rsid w:val="08A93228"/>
    <w:rsid w:val="08FB3159"/>
    <w:rsid w:val="09BB2134"/>
    <w:rsid w:val="0C366EEC"/>
    <w:rsid w:val="0FAB2FE6"/>
    <w:rsid w:val="0FEF0DE6"/>
    <w:rsid w:val="113E646F"/>
    <w:rsid w:val="117A0571"/>
    <w:rsid w:val="13D40508"/>
    <w:rsid w:val="147E551D"/>
    <w:rsid w:val="14D2458E"/>
    <w:rsid w:val="150B6848"/>
    <w:rsid w:val="15492582"/>
    <w:rsid w:val="17965762"/>
    <w:rsid w:val="17BE6092"/>
    <w:rsid w:val="17F73D7A"/>
    <w:rsid w:val="1A624019"/>
    <w:rsid w:val="1C1F61CB"/>
    <w:rsid w:val="1C3B117F"/>
    <w:rsid w:val="1C970E94"/>
    <w:rsid w:val="1DDC1F2E"/>
    <w:rsid w:val="1E2566FD"/>
    <w:rsid w:val="1E7D3B34"/>
    <w:rsid w:val="20F5460F"/>
    <w:rsid w:val="212E5315"/>
    <w:rsid w:val="254B33D1"/>
    <w:rsid w:val="256D2254"/>
    <w:rsid w:val="266B799A"/>
    <w:rsid w:val="27507D70"/>
    <w:rsid w:val="29621C7E"/>
    <w:rsid w:val="2983760E"/>
    <w:rsid w:val="29B13F52"/>
    <w:rsid w:val="29ED2241"/>
    <w:rsid w:val="2ACE51FA"/>
    <w:rsid w:val="2B4E2E79"/>
    <w:rsid w:val="2BA4769A"/>
    <w:rsid w:val="2BBD44A5"/>
    <w:rsid w:val="2C654BE7"/>
    <w:rsid w:val="2C8F6BCF"/>
    <w:rsid w:val="2CC075DB"/>
    <w:rsid w:val="2CD06EF4"/>
    <w:rsid w:val="2D9D4DA5"/>
    <w:rsid w:val="2DBF18D1"/>
    <w:rsid w:val="2DCA5FFD"/>
    <w:rsid w:val="2F47056C"/>
    <w:rsid w:val="307652F7"/>
    <w:rsid w:val="325F6EF2"/>
    <w:rsid w:val="32C61136"/>
    <w:rsid w:val="32EF005E"/>
    <w:rsid w:val="32EF40CE"/>
    <w:rsid w:val="32EF4AF4"/>
    <w:rsid w:val="33A76F4E"/>
    <w:rsid w:val="33FB3262"/>
    <w:rsid w:val="34416F30"/>
    <w:rsid w:val="364D690A"/>
    <w:rsid w:val="36FA2471"/>
    <w:rsid w:val="372974AC"/>
    <w:rsid w:val="37AB27D5"/>
    <w:rsid w:val="38262F47"/>
    <w:rsid w:val="38F343CF"/>
    <w:rsid w:val="39637962"/>
    <w:rsid w:val="39765334"/>
    <w:rsid w:val="39967F15"/>
    <w:rsid w:val="3AE7177F"/>
    <w:rsid w:val="3C5769C0"/>
    <w:rsid w:val="3CC76719"/>
    <w:rsid w:val="3EA437AD"/>
    <w:rsid w:val="3EEE22CD"/>
    <w:rsid w:val="3F081D17"/>
    <w:rsid w:val="3FC56743"/>
    <w:rsid w:val="3FCD07F4"/>
    <w:rsid w:val="416F2EAB"/>
    <w:rsid w:val="41CF71DE"/>
    <w:rsid w:val="42271DDB"/>
    <w:rsid w:val="42563EC6"/>
    <w:rsid w:val="43E82B9D"/>
    <w:rsid w:val="4510018C"/>
    <w:rsid w:val="457B1C96"/>
    <w:rsid w:val="468900BD"/>
    <w:rsid w:val="46C90444"/>
    <w:rsid w:val="46D935ED"/>
    <w:rsid w:val="46F559ED"/>
    <w:rsid w:val="477D716C"/>
    <w:rsid w:val="48B52937"/>
    <w:rsid w:val="48C00F7D"/>
    <w:rsid w:val="48EE3EF3"/>
    <w:rsid w:val="4A5D1C88"/>
    <w:rsid w:val="4A9847E5"/>
    <w:rsid w:val="4AB447C6"/>
    <w:rsid w:val="4B2D55EB"/>
    <w:rsid w:val="4C020DDC"/>
    <w:rsid w:val="4C1E2F28"/>
    <w:rsid w:val="4D091618"/>
    <w:rsid w:val="4DE20C7C"/>
    <w:rsid w:val="50C2787A"/>
    <w:rsid w:val="5115239B"/>
    <w:rsid w:val="51621A22"/>
    <w:rsid w:val="51F978A1"/>
    <w:rsid w:val="53C717B1"/>
    <w:rsid w:val="541D6A82"/>
    <w:rsid w:val="544677EE"/>
    <w:rsid w:val="55EA1009"/>
    <w:rsid w:val="5651051D"/>
    <w:rsid w:val="57E961A8"/>
    <w:rsid w:val="581E77CF"/>
    <w:rsid w:val="58B06254"/>
    <w:rsid w:val="59B51D7C"/>
    <w:rsid w:val="5ABE509A"/>
    <w:rsid w:val="5AF25131"/>
    <w:rsid w:val="5BCA31AA"/>
    <w:rsid w:val="5C0F3375"/>
    <w:rsid w:val="5D5D71C0"/>
    <w:rsid w:val="5DD56AC2"/>
    <w:rsid w:val="5E136AC4"/>
    <w:rsid w:val="5E886EBD"/>
    <w:rsid w:val="5EB57926"/>
    <w:rsid w:val="5ECF3FA4"/>
    <w:rsid w:val="5F130DE5"/>
    <w:rsid w:val="5F964892"/>
    <w:rsid w:val="5FB578F9"/>
    <w:rsid w:val="600176AC"/>
    <w:rsid w:val="602A671C"/>
    <w:rsid w:val="60813A1A"/>
    <w:rsid w:val="60B8378D"/>
    <w:rsid w:val="60F22670"/>
    <w:rsid w:val="617A16DC"/>
    <w:rsid w:val="627A693C"/>
    <w:rsid w:val="62D27395"/>
    <w:rsid w:val="63FC5C35"/>
    <w:rsid w:val="65815424"/>
    <w:rsid w:val="664A46E0"/>
    <w:rsid w:val="6796775E"/>
    <w:rsid w:val="67D84ED8"/>
    <w:rsid w:val="68500770"/>
    <w:rsid w:val="686B0051"/>
    <w:rsid w:val="687C156E"/>
    <w:rsid w:val="68E95CA0"/>
    <w:rsid w:val="68F315DE"/>
    <w:rsid w:val="692663A6"/>
    <w:rsid w:val="69F84494"/>
    <w:rsid w:val="6ABB6698"/>
    <w:rsid w:val="6AC30185"/>
    <w:rsid w:val="6DC12C15"/>
    <w:rsid w:val="6F2D14A1"/>
    <w:rsid w:val="6FDF24CC"/>
    <w:rsid w:val="705F045F"/>
    <w:rsid w:val="70EB07AE"/>
    <w:rsid w:val="7143547B"/>
    <w:rsid w:val="71490407"/>
    <w:rsid w:val="7156288B"/>
    <w:rsid w:val="71823DB1"/>
    <w:rsid w:val="71CD03A2"/>
    <w:rsid w:val="72B61072"/>
    <w:rsid w:val="73F12465"/>
    <w:rsid w:val="75531EF6"/>
    <w:rsid w:val="755A7A11"/>
    <w:rsid w:val="75D0003D"/>
    <w:rsid w:val="783E1213"/>
    <w:rsid w:val="79060C93"/>
    <w:rsid w:val="7A070B19"/>
    <w:rsid w:val="7AAD1969"/>
    <w:rsid w:val="7AC552F1"/>
    <w:rsid w:val="7AE63B48"/>
    <w:rsid w:val="7C2C4361"/>
    <w:rsid w:val="7FD933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22DB8-9396-41C4-AC5D-F3F34C255BA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1872</Words>
  <Characters>10675</Characters>
  <Lines>88</Lines>
  <Paragraphs>25</Paragraphs>
  <TotalTime>2</TotalTime>
  <ScaleCrop>false</ScaleCrop>
  <LinksUpToDate>false</LinksUpToDate>
  <CharactersWithSpaces>12522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2019-08-15T08:06:00Z</dcterms:created>
  <dc:creator>wsj</dc:creator>
  <cp:lastModifiedBy>从光宇</cp:lastModifiedBy>
  <cp:lastPrinted>2018-02-05T01:24:00Z</cp:lastPrinted>
  <dcterms:modified xsi:type="dcterms:W3CDTF">2021-06-19T02:46:37Z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6CB703099FBE4FF28494AF1D173A4584</vt:lpwstr>
  </property>
</Properties>
</file>