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b/>
          <w:bCs/>
          <w:sz w:val="36"/>
          <w:szCs w:val="36"/>
        </w:rPr>
      </w:pPr>
    </w:p>
    <w:p>
      <w:pPr>
        <w:jc w:val="center"/>
        <w:rPr>
          <w:rFonts w:cs="Times New Roman"/>
          <w:b/>
          <w:bCs/>
          <w:sz w:val="36"/>
          <w:szCs w:val="36"/>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黑体" w:hAnsi="黑体" w:eastAsia="黑体" w:cs="Times New Roman"/>
          <w:sz w:val="52"/>
          <w:szCs w:val="52"/>
        </w:rPr>
      </w:pPr>
    </w:p>
    <w:p>
      <w:pPr>
        <w:jc w:val="center"/>
        <w:rPr>
          <w:rFonts w:ascii="黑体" w:hAnsi="黑体" w:eastAsia="黑体" w:cs="隶书"/>
          <w:sz w:val="52"/>
          <w:szCs w:val="52"/>
        </w:rPr>
      </w:pPr>
      <w:r>
        <w:rPr>
          <w:rFonts w:ascii="黑体" w:hAnsi="黑体" w:eastAsia="黑体" w:cs="隶书"/>
          <w:sz w:val="52"/>
          <w:szCs w:val="52"/>
        </w:rPr>
        <w:t>2018</w:t>
      </w:r>
      <w:r>
        <w:rPr>
          <w:rFonts w:hint="eastAsia" w:ascii="黑体" w:hAnsi="黑体" w:eastAsia="黑体" w:cs="隶书"/>
          <w:sz w:val="52"/>
          <w:szCs w:val="52"/>
        </w:rPr>
        <w:t>年度</w:t>
      </w:r>
    </w:p>
    <w:p>
      <w:pPr>
        <w:jc w:val="center"/>
        <w:rPr>
          <w:rFonts w:hint="eastAsia" w:ascii="黑体" w:hAnsi="黑体" w:eastAsia="黑体" w:cs="隶书"/>
          <w:sz w:val="52"/>
          <w:szCs w:val="52"/>
          <w:lang w:eastAsia="zh-CN"/>
        </w:rPr>
      </w:pPr>
      <w:r>
        <w:rPr>
          <w:rFonts w:hint="eastAsia" w:ascii="黑体" w:hAnsi="黑体" w:eastAsia="黑体" w:cs="隶书"/>
          <w:sz w:val="52"/>
          <w:szCs w:val="52"/>
          <w:lang w:eastAsia="zh-CN"/>
        </w:rPr>
        <w:t>信阳市浉河区茶产业发展服务局</w:t>
      </w:r>
    </w:p>
    <w:p>
      <w:pPr>
        <w:jc w:val="center"/>
        <w:rPr>
          <w:rFonts w:ascii="黑体" w:hAnsi="黑体" w:eastAsia="黑体" w:cs="隶书"/>
          <w:sz w:val="52"/>
          <w:szCs w:val="52"/>
        </w:rPr>
      </w:pPr>
      <w:r>
        <w:rPr>
          <w:rFonts w:hint="eastAsia" w:ascii="黑体" w:hAnsi="黑体" w:eastAsia="黑体" w:cs="隶书"/>
          <w:sz w:val="52"/>
          <w:szCs w:val="52"/>
        </w:rPr>
        <w:t>部门决算</w:t>
      </w:r>
    </w:p>
    <w:p>
      <w:pPr>
        <w:jc w:val="center"/>
        <w:rPr>
          <w:rFonts w:ascii="黑体" w:hAnsi="黑体" w:eastAsia="黑体" w:cs="隶书"/>
          <w:sz w:val="52"/>
          <w:szCs w:val="52"/>
        </w:rPr>
      </w:pPr>
    </w:p>
    <w:p>
      <w:pPr>
        <w:jc w:val="center"/>
        <w:rPr>
          <w:rFonts w:ascii="黑体" w:hAnsi="黑体" w:eastAsia="黑体" w:cs="隶书"/>
          <w:sz w:val="52"/>
          <w:szCs w:val="52"/>
        </w:rPr>
      </w:pPr>
    </w:p>
    <w:p>
      <w:pPr>
        <w:jc w:val="center"/>
        <w:rPr>
          <w:rFonts w:ascii="黑体" w:hAnsi="黑体" w:eastAsia="黑体" w:cs="隶书"/>
          <w:sz w:val="52"/>
          <w:szCs w:val="52"/>
        </w:rPr>
      </w:pPr>
    </w:p>
    <w:p>
      <w:pPr>
        <w:jc w:val="center"/>
        <w:rPr>
          <w:rFonts w:ascii="黑体" w:hAnsi="黑体" w:eastAsia="黑体" w:cs="隶书"/>
          <w:sz w:val="52"/>
          <w:szCs w:val="52"/>
        </w:rPr>
      </w:pPr>
    </w:p>
    <w:p>
      <w:pPr>
        <w:jc w:val="center"/>
        <w:rPr>
          <w:rFonts w:ascii="黑体" w:hAnsi="黑体" w:eastAsia="黑体" w:cs="??_GB2312"/>
          <w:sz w:val="44"/>
          <w:szCs w:val="44"/>
        </w:rPr>
        <w:sectPr>
          <w:headerReference r:id="rId3" w:type="default"/>
          <w:pgSz w:w="11906" w:h="16838"/>
          <w:pgMar w:top="1440" w:right="1800" w:bottom="1440" w:left="1800" w:header="851" w:footer="992" w:gutter="0"/>
          <w:pgNumType w:fmt="numberInDash" w:start="1"/>
          <w:cols w:space="720" w:num="1"/>
          <w:docGrid w:type="lines" w:linePitch="312" w:charSpace="0"/>
        </w:sectPr>
      </w:pPr>
      <w:r>
        <w:rPr>
          <w:rFonts w:hint="eastAsia" w:ascii="黑体" w:hAnsi="黑体" w:eastAsia="黑体" w:cs="黑体"/>
          <w:sz w:val="32"/>
          <w:szCs w:val="32"/>
        </w:rPr>
        <w:t>二〇一九年九月</w:t>
      </w:r>
    </w:p>
    <w:p>
      <w:pPr>
        <w:jc w:val="center"/>
        <w:rPr>
          <w:rFonts w:ascii="黑体" w:hAnsi="黑体" w:eastAsia="黑体" w:cs="Times New Roman"/>
          <w:sz w:val="44"/>
          <w:szCs w:val="44"/>
        </w:rPr>
      </w:pPr>
      <w:r>
        <w:rPr>
          <w:rFonts w:hint="eastAsia" w:ascii="黑体" w:hAnsi="黑体" w:eastAsia="黑体" w:cs="黑体"/>
          <w:sz w:val="44"/>
          <w:szCs w:val="44"/>
        </w:rPr>
        <w:t>目　　录</w:t>
      </w:r>
    </w:p>
    <w:p>
      <w:pPr>
        <w:jc w:val="left"/>
        <w:rPr>
          <w:rFonts w:ascii="黑体" w:hAnsi="黑体" w:eastAsia="黑体" w:cs="Times New Roman"/>
          <w:sz w:val="32"/>
          <w:szCs w:val="32"/>
        </w:rPr>
      </w:pPr>
    </w:p>
    <w:p>
      <w:pPr>
        <w:jc w:val="left"/>
        <w:rPr>
          <w:rFonts w:ascii="黑体" w:hAnsi="黑体" w:eastAsia="黑体" w:cs="Times New Roman"/>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信阳市浉河区茶产业发展服务局</w:t>
      </w:r>
      <w:r>
        <w:rPr>
          <w:rFonts w:hint="eastAsia" w:ascii="黑体" w:hAnsi="黑体" w:eastAsia="黑体" w:cs="黑体"/>
          <w:sz w:val="32"/>
          <w:szCs w:val="32"/>
        </w:rPr>
        <w:t>概况</w:t>
      </w:r>
    </w:p>
    <w:p>
      <w:pPr>
        <w:numPr>
          <w:ilvl w:val="0"/>
          <w:numId w:val="1"/>
        </w:numPr>
        <w:jc w:val="left"/>
        <w:rPr>
          <w:rFonts w:ascii="宋体" w:cs="Times New Roman"/>
          <w:sz w:val="32"/>
          <w:szCs w:val="32"/>
        </w:rPr>
      </w:pPr>
      <w:r>
        <w:rPr>
          <w:rFonts w:hint="eastAsia" w:ascii="宋体" w:hAnsi="宋体" w:cs="宋体"/>
          <w:sz w:val="32"/>
          <w:szCs w:val="32"/>
        </w:rPr>
        <w:t>主要职能</w:t>
      </w:r>
    </w:p>
    <w:p>
      <w:pPr>
        <w:numPr>
          <w:ilvl w:val="0"/>
          <w:numId w:val="1"/>
        </w:numPr>
        <w:jc w:val="left"/>
        <w:rPr>
          <w:rFonts w:ascii="宋体" w:cs="Times New Roman"/>
          <w:sz w:val="32"/>
          <w:szCs w:val="32"/>
        </w:rPr>
      </w:pPr>
      <w:r>
        <w:rPr>
          <w:rFonts w:hint="eastAsia" w:ascii="宋体" w:hAnsi="宋体" w:cs="宋体"/>
          <w:sz w:val="32"/>
          <w:szCs w:val="32"/>
        </w:rPr>
        <w:t>部门预算单位构成</w:t>
      </w:r>
    </w:p>
    <w:p>
      <w:pPr>
        <w:jc w:val="left"/>
        <w:rPr>
          <w:rFonts w:ascii="黑体" w:hAnsi="黑体" w:eastAsia="黑体" w:cs="黑体"/>
          <w:sz w:val="32"/>
          <w:szCs w:val="32"/>
        </w:rPr>
      </w:pPr>
      <w:r>
        <w:rPr>
          <w:rFonts w:hint="eastAsia" w:ascii="黑体" w:hAnsi="黑体" w:eastAsia="黑体" w:cs="黑体"/>
          <w:sz w:val="32"/>
          <w:szCs w:val="32"/>
        </w:rPr>
        <w:t>第二部分　　</w:t>
      </w:r>
      <w:r>
        <w:rPr>
          <w:rFonts w:ascii="黑体" w:hAnsi="黑体" w:eastAsia="黑体" w:cs="黑体"/>
          <w:sz w:val="32"/>
          <w:szCs w:val="32"/>
        </w:rPr>
        <w:t>2018</w:t>
      </w:r>
      <w:r>
        <w:rPr>
          <w:rFonts w:hint="eastAsia" w:ascii="黑体" w:hAnsi="黑体" w:eastAsia="黑体" w:cs="黑体"/>
          <w:sz w:val="32"/>
          <w:szCs w:val="32"/>
        </w:rPr>
        <w:t>年度部门决算表</w:t>
      </w:r>
    </w:p>
    <w:p>
      <w:pPr>
        <w:ind w:firstLine="640" w:firstLineChars="200"/>
        <w:jc w:val="left"/>
        <w:rPr>
          <w:rFonts w:ascii="宋体" w:cs="宋体"/>
          <w:sz w:val="32"/>
          <w:szCs w:val="32"/>
        </w:rPr>
      </w:pPr>
      <w:r>
        <w:rPr>
          <w:rFonts w:hint="eastAsia" w:ascii="宋体" w:hAnsi="宋体" w:cs="宋体"/>
          <w:sz w:val="32"/>
          <w:szCs w:val="32"/>
        </w:rPr>
        <w:t>一、收入支出决算总表</w:t>
      </w:r>
    </w:p>
    <w:p>
      <w:pPr>
        <w:ind w:firstLine="640" w:firstLineChars="200"/>
        <w:jc w:val="left"/>
        <w:rPr>
          <w:rFonts w:ascii="宋体" w:cs="宋体"/>
          <w:sz w:val="32"/>
          <w:szCs w:val="32"/>
        </w:rPr>
      </w:pPr>
      <w:r>
        <w:rPr>
          <w:rFonts w:hint="eastAsia" w:ascii="宋体" w:hAnsi="宋体" w:cs="宋体"/>
          <w:sz w:val="32"/>
          <w:szCs w:val="32"/>
        </w:rPr>
        <w:t>二、收入决算表</w:t>
      </w:r>
    </w:p>
    <w:p>
      <w:pPr>
        <w:ind w:firstLine="640" w:firstLineChars="200"/>
        <w:jc w:val="left"/>
        <w:rPr>
          <w:rFonts w:ascii="宋体" w:cs="宋体"/>
          <w:sz w:val="32"/>
          <w:szCs w:val="32"/>
        </w:rPr>
      </w:pPr>
      <w:r>
        <w:rPr>
          <w:rFonts w:hint="eastAsia" w:ascii="宋体" w:hAnsi="宋体" w:cs="宋体"/>
          <w:sz w:val="32"/>
          <w:szCs w:val="32"/>
        </w:rPr>
        <w:t>三、支出决算表</w:t>
      </w:r>
    </w:p>
    <w:p>
      <w:pPr>
        <w:ind w:firstLine="640" w:firstLineChars="200"/>
        <w:jc w:val="left"/>
        <w:rPr>
          <w:rFonts w:asci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cs="宋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w:t>
      </w:r>
      <w:r>
        <w:rPr>
          <w:rFonts w:ascii="黑体" w:hAnsi="黑体" w:eastAsia="黑体" w:cs="黑体"/>
          <w:sz w:val="32"/>
          <w:szCs w:val="32"/>
        </w:rPr>
        <w:t>2018</w:t>
      </w:r>
      <w:r>
        <w:rPr>
          <w:rFonts w:hint="eastAsia" w:ascii="黑体" w:hAnsi="黑体" w:eastAsia="黑体" w:cs="黑体"/>
          <w:sz w:val="32"/>
          <w:szCs w:val="32"/>
        </w:rPr>
        <w:t>年度部门决算情况说明</w:t>
      </w:r>
    </w:p>
    <w:p>
      <w:pPr>
        <w:ind w:firstLine="640" w:firstLineChars="200"/>
        <w:jc w:val="left"/>
        <w:rPr>
          <w:rFonts w:asci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cs="宋体"/>
          <w:sz w:val="32"/>
          <w:szCs w:val="32"/>
        </w:rPr>
      </w:pPr>
      <w:r>
        <w:rPr>
          <w:rFonts w:hint="eastAsia" w:ascii="宋体" w:hAnsi="宋体" w:cs="宋体"/>
          <w:sz w:val="32"/>
          <w:szCs w:val="32"/>
        </w:rPr>
        <w:t>二、收入决算情况说明</w:t>
      </w:r>
    </w:p>
    <w:p>
      <w:pPr>
        <w:ind w:firstLine="640" w:firstLineChars="200"/>
        <w:jc w:val="left"/>
        <w:rPr>
          <w:rFonts w:ascii="宋体" w:cs="宋体"/>
          <w:sz w:val="32"/>
          <w:szCs w:val="32"/>
        </w:rPr>
      </w:pPr>
      <w:r>
        <w:rPr>
          <w:rFonts w:hint="eastAsia" w:ascii="宋体" w:hAnsi="宋体" w:cs="宋体"/>
          <w:sz w:val="32"/>
          <w:szCs w:val="32"/>
        </w:rPr>
        <w:t>三、支出决算情况说明</w:t>
      </w:r>
    </w:p>
    <w:p>
      <w:pPr>
        <w:ind w:firstLine="640" w:firstLineChars="200"/>
        <w:jc w:val="left"/>
        <w:rPr>
          <w:rFonts w:asci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cs="宋体"/>
          <w:sz w:val="32"/>
          <w:szCs w:val="32"/>
        </w:rPr>
      </w:pPr>
      <w:r>
        <w:rPr>
          <w:rFonts w:hint="eastAsia" w:ascii="宋体" w:hAnsi="宋体" w:cs="宋体"/>
          <w:sz w:val="32"/>
          <w:szCs w:val="32"/>
        </w:rPr>
        <w:t>八、预算绩效情况说明</w:t>
      </w:r>
    </w:p>
    <w:p>
      <w:pPr>
        <w:ind w:firstLine="640" w:firstLineChars="200"/>
        <w:jc w:val="left"/>
        <w:rPr>
          <w:rFonts w:asci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ascii="宋体" w:cs="宋体"/>
          <w:sz w:val="32"/>
          <w:szCs w:val="32"/>
        </w:rPr>
      </w:pPr>
      <w:r>
        <w:rPr>
          <w:rFonts w:hint="eastAsia" w:ascii="宋体" w:hAnsi="宋体" w:cs="宋体"/>
          <w:sz w:val="32"/>
          <w:szCs w:val="32"/>
        </w:rPr>
        <w:t>十、机关运行经费支出情况说明</w:t>
      </w:r>
    </w:p>
    <w:p>
      <w:pPr>
        <w:ind w:firstLine="640" w:firstLineChars="200"/>
        <w:jc w:val="left"/>
        <w:rPr>
          <w:rFonts w:ascii="宋体" w:cs="宋体"/>
          <w:sz w:val="32"/>
          <w:szCs w:val="32"/>
        </w:rPr>
      </w:pPr>
      <w:r>
        <w:rPr>
          <w:rFonts w:hint="eastAsia" w:ascii="宋体" w:hAnsi="宋体" w:cs="宋体"/>
          <w:sz w:val="32"/>
          <w:szCs w:val="32"/>
        </w:rPr>
        <w:t>十一、政府采购支出情况说明</w:t>
      </w:r>
    </w:p>
    <w:p>
      <w:pPr>
        <w:ind w:firstLine="640" w:firstLineChars="200"/>
        <w:jc w:val="left"/>
        <w:rPr>
          <w:rFonts w:ascii="宋体" w:cs="宋体"/>
          <w:sz w:val="32"/>
          <w:szCs w:val="32"/>
        </w:rPr>
      </w:pPr>
      <w:r>
        <w:rPr>
          <w:rFonts w:hint="eastAsia" w:ascii="宋体" w:hAnsi="宋体" w:cs="宋体"/>
          <w:sz w:val="32"/>
          <w:szCs w:val="32"/>
        </w:rPr>
        <w:t>十二、国有资产占用情况说明</w:t>
      </w:r>
    </w:p>
    <w:p>
      <w:pPr>
        <w:jc w:val="left"/>
        <w:rPr>
          <w:rFonts w:ascii="黑体" w:hAnsi="黑体" w:eastAsia="黑体" w:cs="黑体"/>
          <w:sz w:val="32"/>
          <w:szCs w:val="32"/>
        </w:rPr>
      </w:pPr>
      <w:r>
        <w:rPr>
          <w:rFonts w:hint="eastAsia" w:ascii="黑体" w:hAnsi="黑体" w:eastAsia="黑体" w:cs="黑体"/>
          <w:sz w:val="32"/>
          <w:szCs w:val="32"/>
        </w:rPr>
        <w:t>第四部分　　名词解释</w:t>
      </w:r>
    </w:p>
    <w:p>
      <w:pPr>
        <w:jc w:val="center"/>
        <w:rPr>
          <w:rFonts w:cs="Times New Roman"/>
          <w:b/>
          <w:bCs/>
          <w:sz w:val="36"/>
          <w:szCs w:val="36"/>
        </w:rPr>
      </w:pPr>
    </w:p>
    <w:p>
      <w:pPr>
        <w:jc w:val="center"/>
        <w:rPr>
          <w:rFonts w:cs="Times New Roman"/>
          <w:b/>
          <w:bCs/>
          <w:sz w:val="36"/>
          <w:szCs w:val="36"/>
        </w:rPr>
      </w:pPr>
    </w:p>
    <w:p>
      <w:pPr>
        <w:jc w:val="center"/>
        <w:rPr>
          <w:rFonts w:cs="Times New Roman"/>
          <w:b/>
          <w:bCs/>
          <w:sz w:val="36"/>
          <w:szCs w:val="36"/>
        </w:rPr>
      </w:pPr>
    </w:p>
    <w:p>
      <w:pPr>
        <w:jc w:val="center"/>
        <w:rPr>
          <w:rFonts w:cs="Times New Roman"/>
          <w:b/>
          <w:bCs/>
          <w:sz w:val="36"/>
          <w:szCs w:val="36"/>
        </w:rPr>
      </w:pPr>
    </w:p>
    <w:p>
      <w:pPr>
        <w:jc w:val="center"/>
        <w:rPr>
          <w:rFonts w:cs="Times New Roman"/>
          <w:b/>
          <w:bCs/>
          <w:sz w:val="36"/>
          <w:szCs w:val="36"/>
        </w:rPr>
      </w:pPr>
    </w:p>
    <w:p>
      <w:pPr>
        <w:jc w:val="center"/>
        <w:outlineLvl w:val="0"/>
        <w:rPr>
          <w:rFonts w:ascii="隶书" w:hAnsi="隶书" w:eastAsia="隶书" w:cs="Times New Roman"/>
          <w:sz w:val="48"/>
          <w:szCs w:val="48"/>
        </w:rPr>
      </w:pPr>
    </w:p>
    <w:p>
      <w:pPr>
        <w:jc w:val="center"/>
        <w:outlineLvl w:val="0"/>
        <w:rPr>
          <w:rFonts w:ascii="隶书" w:hAnsi="隶书" w:eastAsia="隶书" w:cs="Times New Roman"/>
          <w:sz w:val="48"/>
          <w:szCs w:val="48"/>
        </w:rPr>
      </w:pPr>
    </w:p>
    <w:p>
      <w:pPr>
        <w:jc w:val="center"/>
        <w:outlineLvl w:val="0"/>
        <w:rPr>
          <w:rFonts w:ascii="隶书" w:hAnsi="隶书" w:eastAsia="隶书" w:cs="Times New Roman"/>
          <w:sz w:val="48"/>
          <w:szCs w:val="48"/>
        </w:rPr>
      </w:pPr>
    </w:p>
    <w:p>
      <w:pPr>
        <w:jc w:val="center"/>
        <w:outlineLvl w:val="0"/>
        <w:rPr>
          <w:rFonts w:ascii="隶书" w:hAnsi="隶书" w:eastAsia="隶书" w:cs="Times New Roman"/>
          <w:sz w:val="48"/>
          <w:szCs w:val="48"/>
        </w:rPr>
      </w:pPr>
    </w:p>
    <w:p>
      <w:pPr>
        <w:jc w:val="center"/>
        <w:outlineLvl w:val="0"/>
        <w:rPr>
          <w:rFonts w:ascii="隶书" w:hAnsi="隶书" w:eastAsia="隶书" w:cs="Times New Roman"/>
          <w:sz w:val="48"/>
          <w:szCs w:val="48"/>
        </w:rPr>
      </w:pPr>
    </w:p>
    <w:p>
      <w:pPr>
        <w:jc w:val="center"/>
        <w:outlineLvl w:val="0"/>
        <w:rPr>
          <w:rFonts w:ascii="隶书" w:hAnsi="隶书" w:eastAsia="隶书" w:cs="Times New Roman"/>
          <w:sz w:val="48"/>
          <w:szCs w:val="48"/>
        </w:rPr>
      </w:pPr>
    </w:p>
    <w:p>
      <w:pPr>
        <w:jc w:val="center"/>
        <w:outlineLvl w:val="0"/>
        <w:rPr>
          <w:rFonts w:ascii="隶书" w:hAnsi="隶书" w:eastAsia="隶书" w:cs="隶书"/>
          <w:sz w:val="48"/>
          <w:szCs w:val="48"/>
        </w:rPr>
        <w:sectPr>
          <w:footerReference r:id="rId4" w:type="default"/>
          <w:pgSz w:w="11906" w:h="16838"/>
          <w:pgMar w:top="1440" w:right="1800" w:bottom="1440" w:left="1800" w:header="851" w:footer="992" w:gutter="0"/>
          <w:pgNumType w:fmt="numberInDash" w:start="1"/>
          <w:cols w:space="720" w:num="1"/>
          <w:docGrid w:type="lines" w:linePitch="312" w:charSpace="0"/>
        </w:sect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Times New Roman"/>
          <w:sz w:val="48"/>
          <w:szCs w:val="48"/>
        </w:rPr>
        <w:sectPr>
          <w:pgSz w:w="11906" w:h="16838"/>
          <w:pgMar w:top="1440" w:right="1800" w:bottom="1440" w:left="1800" w:header="851" w:footer="992" w:gutter="0"/>
          <w:pgNumType w:fmt="numberInDash" w:start="1"/>
          <w:cols w:space="720" w:num="1"/>
          <w:docGrid w:type="lines" w:linePitch="312" w:charSpace="0"/>
        </w:sectPr>
      </w:pPr>
      <w:r>
        <w:rPr>
          <w:rFonts w:hint="eastAsia" w:ascii="黑体" w:hAnsi="黑体" w:eastAsia="黑体" w:cs="黑体"/>
          <w:sz w:val="48"/>
          <w:szCs w:val="48"/>
        </w:rPr>
        <w:t>第一部分</w:t>
      </w:r>
      <w:r>
        <w:rPr>
          <w:rFonts w:hint="eastAsia" w:ascii="隶书" w:hAnsi="隶书" w:eastAsia="隶书" w:cs="隶书"/>
          <w:sz w:val="48"/>
          <w:szCs w:val="48"/>
        </w:rPr>
        <w:t>　　</w:t>
      </w:r>
      <w:r>
        <w:rPr>
          <w:rFonts w:hint="eastAsia" w:ascii="黑体" w:hAnsi="黑体" w:eastAsia="黑体" w:cs="黑体"/>
          <w:sz w:val="48"/>
          <w:szCs w:val="48"/>
          <w:lang w:eastAsia="zh-CN"/>
        </w:rPr>
        <w:t>信阳市浉河区茶产业发展服务局</w:t>
      </w:r>
      <w:r>
        <w:rPr>
          <w:rFonts w:hint="eastAsia" w:ascii="黑体" w:hAnsi="黑体" w:eastAsia="黑体" w:cs="黑体"/>
          <w:sz w:val="48"/>
          <w:szCs w:val="48"/>
        </w:rPr>
        <w:t>概况</w:t>
      </w:r>
    </w:p>
    <w:p>
      <w:pPr>
        <w:ind w:left="643"/>
        <w:rPr>
          <w:rFonts w:cs="宋体"/>
          <w:b/>
          <w:bCs/>
          <w:sz w:val="32"/>
          <w:szCs w:val="32"/>
        </w:rPr>
      </w:pPr>
      <w:r>
        <w:rPr>
          <w:rFonts w:hint="eastAsia" w:cs="宋体"/>
          <w:b/>
          <w:bCs/>
          <w:sz w:val="32"/>
          <w:szCs w:val="32"/>
        </w:rPr>
        <w:t>一、部门职责</w:t>
      </w:r>
    </w:p>
    <w:p>
      <w:pPr>
        <w:spacing w:line="6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（一）贯彻执行区委、区政府和上级有关部门发展茶叶产业政策，研究提出我区茶叶生产、开发建设的意见或建议，制定我区茶叶生产技术规范并组织实施，向区委、区政府和上级有关部门提供相关信息。</w:t>
      </w:r>
    </w:p>
    <w:p>
      <w:pPr>
        <w:spacing w:line="6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（二）负责茶叶产业在农村产业结构中的布局和调整。科学编制茶叶产业在生产种植、加工、营销等方面发展规划，并组织和指导其实施。</w:t>
      </w:r>
    </w:p>
    <w:p>
      <w:pPr>
        <w:spacing w:line="6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（三）负责全区信阳毛尖绿茶和信阳红茶的发展规划、茶叶质量安全管理、原产地标识管理等工作，牵头组织对假、冒、伪、劣茶类产品的查禁和处理，净化优化茶叶市场。</w:t>
      </w:r>
    </w:p>
    <w:p>
      <w:pPr>
        <w:spacing w:line="6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（四）研究茶叶市场的发展方向，指导茶叶市场体系建设。负责全区茶叶产品产量、销售的信息统计，负责规范全区茶叶名、品牌质量标准的编制和申报工作。</w:t>
      </w:r>
    </w:p>
    <w:p>
      <w:pPr>
        <w:spacing w:line="6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（五）负责全区茶叶科研、技术攻关和新品种、新技术、新成果的引进、试验、示范推广工作。</w:t>
      </w:r>
    </w:p>
    <w:p>
      <w:pPr>
        <w:spacing w:line="6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（六）负责全区生态有机茶园建设培训、指导，开展茶叶植物病虫害的预测、预报和防治工作，负责在茶叶生产投入中的生物农药、肥料、种籽、种苗的调运及质量监督、检测和管理工作。</w:t>
      </w:r>
    </w:p>
    <w:p>
      <w:pPr>
        <w:spacing w:line="6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（七）负责全区茶产业的宣传和茶产业网站工作，收集、整理发布茶产业经济信息。参与组织和筹备茶文化节、各类茶事活动。</w:t>
      </w:r>
    </w:p>
    <w:p>
      <w:pPr>
        <w:spacing w:line="6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（八）负责制定全区茶叶产业项目发展规划、对外招商、技术合作，配合有关部门做好茶叶产业开发项目和技术改造项目的初审和申报工作。</w:t>
      </w:r>
    </w:p>
    <w:p>
      <w:pPr>
        <w:spacing w:line="6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（九）负责对茶叶协会、茶叶商会、茶叶专业合作社和茶文化研究会等社团组织的业务管理和指导。</w:t>
      </w:r>
    </w:p>
    <w:p>
      <w:pPr>
        <w:spacing w:line="6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（十）负责中国“十大名茶”论坛秘书处的相关业务；</w:t>
      </w:r>
    </w:p>
    <w:p>
      <w:pPr>
        <w:spacing w:line="6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（十一）协助有关部门开展茶文化进校园、茶文化旅游工作。</w:t>
      </w:r>
    </w:p>
    <w:p>
      <w:pPr>
        <w:ind w:left="643"/>
        <w:rPr>
          <w:rFonts w:cs="宋体"/>
          <w:b/>
          <w:bCs/>
          <w:sz w:val="32"/>
          <w:szCs w:val="32"/>
        </w:rPr>
      </w:pPr>
      <w:r>
        <w:rPr>
          <w:rFonts w:hint="eastAsia" w:ascii="仿宋_GB2312" w:eastAsia="仿宋_GB2312" w:cs="仿宋_GB2312"/>
          <w:color w:val="000000"/>
          <w:sz w:val="32"/>
          <w:szCs w:val="32"/>
        </w:rPr>
        <w:t>（十二）完成区委、区政府交办的其他工作</w:t>
      </w:r>
    </w:p>
    <w:p>
      <w:pPr>
        <w:spacing w:line="660" w:lineRule="exact"/>
        <w:ind w:firstLine="643" w:firstLineChars="200"/>
        <w:rPr>
          <w:rFonts w:ascii="仿宋_GB2312" w:eastAsia="仿宋_GB2312" w:cs="Times New Roman"/>
          <w:b/>
          <w:bCs/>
          <w:color w:val="000000"/>
          <w:sz w:val="32"/>
          <w:szCs w:val="32"/>
        </w:rPr>
      </w:pPr>
      <w:r>
        <w:rPr>
          <w:rFonts w:hint="eastAsia" w:ascii="仿宋_GB2312" w:eastAsia="仿宋_GB2312" w:cs="仿宋_GB2312"/>
          <w:b/>
          <w:bCs/>
          <w:color w:val="000000"/>
          <w:sz w:val="32"/>
          <w:szCs w:val="32"/>
        </w:rPr>
        <w:t>二、机构设置</w:t>
      </w:r>
    </w:p>
    <w:p>
      <w:pPr>
        <w:adjustRightInd w:val="0"/>
        <w:snapToGrid w:val="0"/>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lang w:eastAsia="zh-CN"/>
        </w:rPr>
        <w:t>信阳市浉河区茶产业发展服务局</w:t>
      </w:r>
      <w:r>
        <w:rPr>
          <w:rFonts w:hint="eastAsia" w:ascii="仿宋_GB2312" w:hAnsi="宋体" w:eastAsia="仿宋_GB2312" w:cs="仿宋_GB2312"/>
          <w:sz w:val="32"/>
          <w:szCs w:val="32"/>
        </w:rPr>
        <w:t>成立于</w:t>
      </w:r>
      <w:r>
        <w:rPr>
          <w:rFonts w:ascii="仿宋_GB2312" w:hAnsi="宋体" w:eastAsia="仿宋_GB2312" w:cs="仿宋_GB2312"/>
          <w:sz w:val="32"/>
          <w:szCs w:val="32"/>
        </w:rPr>
        <w:t>2002</w:t>
      </w:r>
      <w:r>
        <w:rPr>
          <w:rFonts w:hint="eastAsia" w:ascii="仿宋_GB2312" w:hAnsi="宋体" w:eastAsia="仿宋_GB2312" w:cs="仿宋_GB2312"/>
          <w:sz w:val="32"/>
          <w:szCs w:val="32"/>
        </w:rPr>
        <w:t>年，原名茶叶办公室，区政府派出机构。</w:t>
      </w:r>
      <w:r>
        <w:rPr>
          <w:rFonts w:ascii="仿宋_GB2312" w:hAnsi="宋体" w:eastAsia="仿宋_GB2312" w:cs="仿宋_GB2312"/>
          <w:sz w:val="32"/>
          <w:szCs w:val="32"/>
        </w:rPr>
        <w:t>2011</w:t>
      </w:r>
      <w:r>
        <w:rPr>
          <w:rFonts w:hint="eastAsia" w:ascii="仿宋_GB2312" w:hAnsi="宋体" w:eastAsia="仿宋_GB2312" w:cs="仿宋_GB2312"/>
          <w:sz w:val="32"/>
          <w:szCs w:val="32"/>
        </w:rPr>
        <w:t>年更名为茶产业发展服务局，简称为茶业局，属区政府直属财政全供正科级事业单位。核定事业编制</w:t>
      </w:r>
      <w:r>
        <w:rPr>
          <w:rFonts w:ascii="仿宋_GB2312" w:hAnsi="宋体" w:eastAsia="仿宋_GB2312" w:cs="仿宋_GB2312"/>
          <w:sz w:val="32"/>
          <w:szCs w:val="32"/>
        </w:rPr>
        <w:t>19</w:t>
      </w:r>
      <w:r>
        <w:rPr>
          <w:rFonts w:hint="eastAsia" w:ascii="仿宋_GB2312" w:hAnsi="宋体" w:eastAsia="仿宋_GB2312" w:cs="仿宋_GB2312"/>
          <w:sz w:val="32"/>
          <w:szCs w:val="32"/>
        </w:rPr>
        <w:t>名。机关内设综合股、产业发展股、营销管理股</w:t>
      </w:r>
      <w:r>
        <w:rPr>
          <w:rFonts w:ascii="仿宋_GB2312" w:hAnsi="宋体" w:eastAsia="仿宋_GB2312" w:cs="仿宋_GB2312"/>
          <w:sz w:val="32"/>
          <w:szCs w:val="32"/>
        </w:rPr>
        <w:t>3</w:t>
      </w:r>
      <w:r>
        <w:rPr>
          <w:rFonts w:hint="eastAsia" w:ascii="仿宋_GB2312" w:hAnsi="宋体" w:eastAsia="仿宋_GB2312" w:cs="仿宋_GB2312"/>
          <w:sz w:val="32"/>
          <w:szCs w:val="32"/>
        </w:rPr>
        <w:t>个职能股室，一个二级机构区茶叶工程技术研究中心。现有干部职工</w:t>
      </w:r>
      <w:r>
        <w:rPr>
          <w:rFonts w:ascii="仿宋_GB2312" w:hAnsi="宋体" w:eastAsia="仿宋_GB2312" w:cs="仿宋_GB2312"/>
          <w:sz w:val="32"/>
          <w:szCs w:val="32"/>
        </w:rPr>
        <w:t>13</w:t>
      </w:r>
      <w:r>
        <w:rPr>
          <w:rFonts w:hint="eastAsia" w:ascii="仿宋_GB2312" w:hAnsi="宋体" w:eastAsia="仿宋_GB2312" w:cs="仿宋_GB2312"/>
          <w:sz w:val="32"/>
          <w:szCs w:val="32"/>
        </w:rPr>
        <w:t>名，退休</w:t>
      </w:r>
      <w:r>
        <w:rPr>
          <w:rFonts w:ascii="仿宋_GB2312" w:hAnsi="宋体" w:eastAsia="仿宋_GB2312" w:cs="仿宋_GB2312"/>
          <w:sz w:val="32"/>
          <w:szCs w:val="32"/>
        </w:rPr>
        <w:t>1</w:t>
      </w:r>
      <w:r>
        <w:rPr>
          <w:rFonts w:hint="eastAsia" w:ascii="仿宋_GB2312" w:hAnsi="宋体" w:eastAsia="仿宋_GB2312" w:cs="仿宋_GB2312"/>
          <w:sz w:val="32"/>
          <w:szCs w:val="32"/>
        </w:rPr>
        <w:t>人。</w:t>
      </w:r>
    </w:p>
    <w:p>
      <w:pPr>
        <w:spacing w:line="360" w:lineRule="auto"/>
        <w:ind w:firstLine="640" w:firstLineChars="200"/>
        <w:jc w:val="left"/>
        <w:rPr>
          <w:rFonts w:ascii="仿宋" w:hAnsi="仿宋" w:eastAsia="仿宋" w:cs="Times New Roman"/>
          <w:sz w:val="32"/>
          <w:szCs w:val="32"/>
        </w:rPr>
      </w:pPr>
      <w:r>
        <w:rPr>
          <w:rFonts w:hint="eastAsia" w:ascii="仿宋" w:hAnsi="仿宋" w:eastAsia="仿宋" w:cs="仿宋"/>
          <w:sz w:val="32"/>
          <w:szCs w:val="32"/>
        </w:rPr>
        <w:t>纳入</w:t>
      </w:r>
      <w:r>
        <w:rPr>
          <w:rFonts w:hint="eastAsia" w:ascii="仿宋" w:hAnsi="仿宋" w:eastAsia="仿宋" w:cs="仿宋"/>
          <w:sz w:val="32"/>
          <w:szCs w:val="32"/>
          <w:lang w:eastAsia="zh-CN"/>
        </w:rPr>
        <w:t>信阳市浉河区茶产业发展服务局</w:t>
      </w:r>
      <w:r>
        <w:rPr>
          <w:rFonts w:ascii="仿宋" w:hAnsi="仿宋" w:eastAsia="仿宋" w:cs="仿宋"/>
          <w:sz w:val="32"/>
          <w:szCs w:val="32"/>
        </w:rPr>
        <w:t>2018</w:t>
      </w:r>
      <w:r>
        <w:rPr>
          <w:rFonts w:hint="eastAsia" w:ascii="仿宋" w:hAnsi="仿宋" w:eastAsia="仿宋" w:cs="仿宋"/>
          <w:sz w:val="32"/>
          <w:szCs w:val="32"/>
        </w:rPr>
        <w:t>年度部门预算编制范围的单位包括：</w:t>
      </w:r>
    </w:p>
    <w:p>
      <w:pPr>
        <w:adjustRightInd w:val="0"/>
        <w:snapToGrid w:val="0"/>
        <w:spacing w:line="580" w:lineRule="exact"/>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信阳市浉河区茶产业发展服务局</w:t>
      </w:r>
      <w:r>
        <w:rPr>
          <w:rFonts w:hint="eastAsia" w:ascii="仿宋_GB2312" w:hAnsi="宋体" w:eastAsia="仿宋_GB2312" w:cs="仿宋_GB2312"/>
          <w:sz w:val="32"/>
          <w:szCs w:val="32"/>
        </w:rPr>
        <w:t>机关</w:t>
      </w:r>
    </w:p>
    <w:p>
      <w:pPr>
        <w:adjustRightInd w:val="0"/>
        <w:snapToGrid w:val="0"/>
        <w:spacing w:line="580" w:lineRule="exact"/>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、浉河区茶叶工程技术研究中心</w:t>
      </w:r>
    </w:p>
    <w:p>
      <w:pPr>
        <w:ind w:firstLine="640" w:firstLineChars="200"/>
        <w:rPr>
          <w:rFonts w:cs="Times New Roman"/>
          <w:sz w:val="32"/>
          <w:szCs w:val="32"/>
        </w:rPr>
      </w:pPr>
    </w:p>
    <w:p>
      <w:pPr>
        <w:ind w:firstLine="640" w:firstLineChars="200"/>
        <w:rPr>
          <w:rFonts w:cs="Times New Roman"/>
          <w:sz w:val="32"/>
          <w:szCs w:val="32"/>
        </w:rPr>
      </w:pPr>
    </w:p>
    <w:p>
      <w:pPr>
        <w:ind w:firstLine="640" w:firstLineChars="200"/>
        <w:rPr>
          <w:rFonts w:cs="Times New Roman"/>
          <w:sz w:val="32"/>
          <w:szCs w:val="32"/>
        </w:rPr>
      </w:pPr>
    </w:p>
    <w:p>
      <w:pPr>
        <w:ind w:firstLine="640" w:firstLineChars="200"/>
        <w:rPr>
          <w:rFonts w:cs="Times New Roman"/>
          <w:sz w:val="32"/>
          <w:szCs w:val="32"/>
        </w:rPr>
      </w:pPr>
    </w:p>
    <w:p>
      <w:pPr>
        <w:ind w:firstLine="640" w:firstLineChars="200"/>
        <w:rPr>
          <w:rFonts w:cs="Times New Roman"/>
          <w:sz w:val="32"/>
          <w:szCs w:val="32"/>
        </w:rPr>
      </w:pPr>
    </w:p>
    <w:p>
      <w:pPr>
        <w:numPr>
          <w:ilvl w:val="0"/>
          <w:numId w:val="2"/>
        </w:numPr>
        <w:jc w:val="center"/>
        <w:outlineLvl w:val="0"/>
        <w:rPr>
          <w:rFonts w:hint="eastAsia" w:ascii="黑体" w:hAnsi="黑体" w:eastAsia="黑体" w:cs="黑体"/>
          <w:sz w:val="48"/>
          <w:szCs w:val="48"/>
        </w:rPr>
      </w:pPr>
      <w:r>
        <w:rPr>
          <w:rFonts w:ascii="黑体" w:hAnsi="黑体" w:eastAsia="黑体" w:cs="黑体"/>
          <w:sz w:val="48"/>
          <w:szCs w:val="48"/>
        </w:rPr>
        <w:t xml:space="preserve"> 2018</w:t>
      </w:r>
      <w:r>
        <w:rPr>
          <w:rFonts w:hint="eastAsia" w:ascii="黑体" w:hAnsi="黑体" w:eastAsia="黑体" w:cs="黑体"/>
          <w:sz w:val="48"/>
          <w:szCs w:val="48"/>
        </w:rPr>
        <w:t>年度部门决算表</w:t>
      </w:r>
    </w:p>
    <w:p>
      <w:pPr>
        <w:numPr>
          <w:ilvl w:val="0"/>
          <w:numId w:val="0"/>
        </w:numPr>
        <w:ind w:firstLine="2880" w:firstLineChars="600"/>
        <w:jc w:val="both"/>
        <w:outlineLvl w:val="0"/>
        <w:rPr>
          <w:rFonts w:hint="eastAsia" w:ascii="黑体" w:hAnsi="黑体" w:eastAsia="黑体" w:cs="黑体"/>
          <w:sz w:val="48"/>
          <w:szCs w:val="48"/>
        </w:rPr>
        <w:sectPr>
          <w:pgSz w:w="11906" w:h="16838"/>
          <w:pgMar w:top="1440" w:right="1800" w:bottom="1440" w:left="1800" w:header="851" w:footer="992" w:gutter="0"/>
          <w:pgNumType w:fmt="numberInDash"/>
          <w:cols w:space="720" w:num="1"/>
          <w:docGrid w:type="lines" w:linePitch="312" w:charSpace="0"/>
        </w:sectPr>
      </w:pPr>
      <w:r>
        <w:rPr>
          <w:rFonts w:hint="eastAsia" w:ascii="黑体" w:hAnsi="黑体" w:eastAsia="黑体" w:cs="黑体"/>
          <w:sz w:val="48"/>
          <w:szCs w:val="48"/>
          <w:lang w:eastAsia="zh-CN"/>
        </w:rPr>
        <w:t>（</w:t>
      </w:r>
      <w:r>
        <w:rPr>
          <w:rFonts w:hint="eastAsia" w:ascii="黑体" w:hAnsi="黑体" w:eastAsia="黑体" w:cs="黑体"/>
          <w:sz w:val="48"/>
          <w:szCs w:val="48"/>
          <w:lang w:val="en-US" w:eastAsia="zh-CN"/>
        </w:rPr>
        <w:t>见附表1-8</w:t>
      </w:r>
      <w:r>
        <w:rPr>
          <w:rFonts w:hint="eastAsia" w:ascii="黑体" w:hAnsi="黑体" w:eastAsia="黑体" w:cs="黑体"/>
          <w:sz w:val="48"/>
          <w:szCs w:val="48"/>
          <w:lang w:eastAsia="zh-CN"/>
        </w:rPr>
        <w:t>）</w:t>
      </w:r>
    </w:p>
    <w:p>
      <w:pPr>
        <w:jc w:val="center"/>
        <w:outlineLvl w:val="0"/>
        <w:rPr>
          <w:rFonts w:ascii="隶书" w:hAnsi="隶书" w:eastAsia="隶书" w:cs="Times New Roman"/>
          <w:sz w:val="48"/>
          <w:szCs w:val="48"/>
        </w:rPr>
      </w:pPr>
    </w:p>
    <w:p>
      <w:pPr>
        <w:jc w:val="center"/>
        <w:outlineLvl w:val="0"/>
        <w:rPr>
          <w:rFonts w:ascii="隶书" w:hAnsi="隶书" w:eastAsia="隶书" w:cs="Times New Roman"/>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r>
        <w:rPr>
          <w:rFonts w:hint="eastAsia" w:ascii="黑体" w:hAnsi="黑体" w:eastAsia="黑体" w:cs="黑体"/>
          <w:sz w:val="48"/>
          <w:szCs w:val="48"/>
        </w:rPr>
        <w:t>第三部分</w:t>
      </w:r>
      <w:r>
        <w:rPr>
          <w:rFonts w:ascii="黑体" w:hAnsi="黑体" w:eastAsia="黑体" w:cs="黑体"/>
          <w:sz w:val="48"/>
          <w:szCs w:val="48"/>
        </w:rPr>
        <w:t xml:space="preserve">  2018</w:t>
      </w:r>
      <w:r>
        <w:rPr>
          <w:rFonts w:hint="eastAsia" w:ascii="黑体" w:hAnsi="黑体" w:eastAsia="黑体" w:cs="黑体"/>
          <w:sz w:val="48"/>
          <w:szCs w:val="48"/>
        </w:rPr>
        <w:t>年度部门决算情况说明</w:t>
      </w:r>
    </w:p>
    <w:p>
      <w:pPr>
        <w:ind w:firstLine="643" w:firstLineChars="200"/>
        <w:jc w:val="left"/>
        <w:rPr>
          <w:rFonts w:ascii="仿宋" w:hAnsi="仿宋" w:eastAsia="仿宋" w:cs="仿宋"/>
          <w:b/>
          <w:bCs/>
          <w:sz w:val="32"/>
          <w:szCs w:val="32"/>
        </w:rPr>
        <w:sectPr>
          <w:pgSz w:w="11850" w:h="16783"/>
          <w:pgMar w:top="1247" w:right="1361" w:bottom="1191" w:left="1474" w:header="851" w:footer="992" w:gutter="0"/>
          <w:cols w:space="720" w:num="1"/>
          <w:docGrid w:type="lines" w:linePitch="312" w:charSpace="0"/>
        </w:sectPr>
      </w:pPr>
    </w:p>
    <w:p>
      <w:pPr>
        <w:ind w:firstLine="640" w:firstLineChars="200"/>
        <w:jc w:val="left"/>
        <w:rPr>
          <w:rFonts w:ascii="黑体" w:hAnsi="黑体" w:eastAsia="黑体" w:cs="Times New Roman"/>
          <w:sz w:val="32"/>
          <w:szCs w:val="32"/>
        </w:rPr>
      </w:pPr>
      <w:r>
        <w:rPr>
          <w:rFonts w:hint="eastAsia" w:ascii="黑体" w:hAnsi="黑体" w:eastAsia="黑体" w:cs="仿宋"/>
          <w:bCs/>
          <w:sz w:val="32"/>
          <w:szCs w:val="32"/>
        </w:rPr>
        <w:t>一、收入支出决算总体情况说明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2018年度收入、支出总计均为416.04万元，与2017年相比，收、支总计均</w:t>
      </w:r>
      <w:r>
        <w:rPr>
          <w:rFonts w:hint="eastAsia" w:ascii="仿宋" w:hAnsi="仿宋" w:eastAsia="仿宋" w:cs="仿宋"/>
          <w:sz w:val="32"/>
          <w:szCs w:val="32"/>
          <w:lang w:val="en-US" w:eastAsia="zh-CN"/>
        </w:rPr>
        <w:t>为115.87万元，减少22.17%</w:t>
      </w:r>
      <w:r>
        <w:rPr>
          <w:rFonts w:hint="eastAsia" w:ascii="仿宋" w:hAnsi="仿宋" w:eastAsia="仿宋" w:cs="仿宋"/>
          <w:sz w:val="32"/>
          <w:szCs w:val="32"/>
        </w:rPr>
        <w:t>。决算数</w:t>
      </w:r>
      <w:r>
        <w:rPr>
          <w:rFonts w:hint="eastAsia" w:ascii="仿宋" w:hAnsi="仿宋" w:eastAsia="仿宋" w:cs="仿宋"/>
          <w:sz w:val="32"/>
          <w:szCs w:val="32"/>
          <w:lang w:val="en-US" w:eastAsia="zh-CN"/>
        </w:rPr>
        <w:t>小</w:t>
      </w:r>
      <w:r>
        <w:rPr>
          <w:rFonts w:hint="eastAsia" w:ascii="仿宋" w:hAnsi="仿宋" w:eastAsia="仿宋" w:cs="仿宋"/>
          <w:sz w:val="32"/>
          <w:szCs w:val="32"/>
        </w:rPr>
        <w:t>于去年决算数的主要原因是原因为本年度茶叶新产品研发核心技术推广的</w:t>
      </w:r>
      <w:r>
        <w:rPr>
          <w:rFonts w:ascii="仿宋" w:hAnsi="仿宋" w:eastAsia="仿宋" w:cs="仿宋"/>
          <w:sz w:val="32"/>
          <w:szCs w:val="32"/>
        </w:rPr>
        <w:t>90</w:t>
      </w:r>
      <w:r>
        <w:rPr>
          <w:rFonts w:hint="eastAsia" w:ascii="仿宋" w:hAnsi="仿宋" w:eastAsia="仿宋" w:cs="仿宋"/>
          <w:sz w:val="32"/>
          <w:szCs w:val="32"/>
        </w:rPr>
        <w:t>万元未拨付未支出。</w:t>
      </w:r>
    </w:p>
    <w:p>
      <w:pPr>
        <w:ind w:firstLine="640" w:firstLineChars="200"/>
        <w:jc w:val="left"/>
        <w:rPr>
          <w:rFonts w:ascii="黑体" w:hAnsi="黑体" w:eastAsia="黑体" w:cs="仿宋"/>
          <w:bCs/>
          <w:sz w:val="32"/>
          <w:szCs w:val="32"/>
        </w:rPr>
      </w:pPr>
      <w:r>
        <w:rPr>
          <w:rFonts w:hint="eastAsia" w:ascii="黑体" w:hAnsi="黑体" w:eastAsia="黑体" w:cs="仿宋"/>
          <w:bCs/>
          <w:sz w:val="32"/>
          <w:szCs w:val="32"/>
        </w:rPr>
        <w:t>二、关于收入决算表情况说明</w:t>
      </w:r>
    </w:p>
    <w:p>
      <w:pPr>
        <w:adjustRightInd w:val="0"/>
        <w:snapToGrid w:val="0"/>
        <w:spacing w:line="360" w:lineRule="auto"/>
        <w:ind w:firstLine="640" w:firstLineChars="200"/>
        <w:rPr>
          <w:rFonts w:ascii="仿宋" w:hAnsi="仿宋" w:eastAsia="仿宋" w:cs="Times New Roman"/>
          <w:sz w:val="32"/>
          <w:szCs w:val="32"/>
        </w:rPr>
      </w:pPr>
      <w:r>
        <w:rPr>
          <w:rFonts w:ascii="仿宋" w:hAnsi="仿宋" w:eastAsia="仿宋" w:cs="仿宋"/>
          <w:sz w:val="32"/>
          <w:szCs w:val="32"/>
        </w:rPr>
        <w:t>2018</w:t>
      </w:r>
      <w:r>
        <w:rPr>
          <w:rFonts w:hint="eastAsia" w:ascii="仿宋" w:hAnsi="仿宋" w:eastAsia="仿宋" w:cs="仿宋"/>
          <w:sz w:val="32"/>
          <w:szCs w:val="32"/>
        </w:rPr>
        <w:t>年收入</w:t>
      </w:r>
      <w:r>
        <w:rPr>
          <w:rFonts w:hint="eastAsia" w:ascii="仿宋_GB2312" w:hAnsi="仿宋_GB2312" w:eastAsia="仿宋_GB2312" w:cs="仿宋_GB2312"/>
          <w:sz w:val="32"/>
          <w:szCs w:val="32"/>
        </w:rPr>
        <w:t>386.04</w:t>
      </w:r>
      <w:r>
        <w:rPr>
          <w:rFonts w:hint="eastAsia" w:ascii="仿宋" w:hAnsi="仿宋" w:eastAsia="仿宋" w:cs="仿宋"/>
          <w:sz w:val="32"/>
          <w:szCs w:val="32"/>
        </w:rPr>
        <w:t>万元，其中：财政拨款收入</w:t>
      </w:r>
      <w:r>
        <w:rPr>
          <w:rFonts w:ascii="仿宋" w:hAnsi="仿宋" w:eastAsia="仿宋" w:cs="仿宋"/>
          <w:sz w:val="32"/>
          <w:szCs w:val="32"/>
        </w:rPr>
        <w:t>386.04</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ascii="仿宋" w:hAnsi="仿宋" w:eastAsia="仿宋" w:cs="仿宋"/>
          <w:sz w:val="32"/>
          <w:szCs w:val="32"/>
        </w:rPr>
        <w:t>%</w:t>
      </w:r>
      <w:r>
        <w:rPr>
          <w:rFonts w:hint="eastAsia" w:ascii="仿宋" w:hAnsi="仿宋" w:eastAsia="仿宋" w:cs="仿宋"/>
          <w:sz w:val="32"/>
          <w:szCs w:val="32"/>
        </w:rPr>
        <w:t>。</w:t>
      </w:r>
    </w:p>
    <w:p>
      <w:pPr>
        <w:ind w:firstLine="640" w:firstLineChars="200"/>
        <w:jc w:val="left"/>
        <w:rPr>
          <w:rFonts w:ascii="黑体" w:hAnsi="黑体" w:eastAsia="黑体" w:cs="仿宋"/>
          <w:bCs/>
          <w:sz w:val="32"/>
          <w:szCs w:val="32"/>
        </w:rPr>
      </w:pPr>
      <w:r>
        <w:rPr>
          <w:rFonts w:hint="eastAsia" w:ascii="黑体" w:hAnsi="黑体" w:eastAsia="黑体" w:cs="仿宋"/>
          <w:bCs/>
          <w:sz w:val="32"/>
          <w:szCs w:val="32"/>
        </w:rPr>
        <w:t>三、关于支出决算表情况说明</w:t>
      </w:r>
    </w:p>
    <w:p>
      <w:pPr>
        <w:ind w:firstLine="660"/>
        <w:rPr>
          <w:rFonts w:ascii="仿宋" w:hAnsi="仿宋" w:eastAsia="仿宋" w:cs="Times New Roman"/>
          <w:sz w:val="32"/>
          <w:szCs w:val="32"/>
        </w:rPr>
      </w:pPr>
      <w:r>
        <w:rPr>
          <w:rFonts w:ascii="仿宋" w:hAnsi="仿宋" w:eastAsia="仿宋" w:cs="仿宋"/>
          <w:sz w:val="32"/>
          <w:szCs w:val="32"/>
        </w:rPr>
        <w:t>2018</w:t>
      </w:r>
      <w:r>
        <w:rPr>
          <w:rFonts w:hint="eastAsia" w:ascii="仿宋" w:hAnsi="仿宋" w:eastAsia="仿宋" w:cs="仿宋"/>
          <w:sz w:val="32"/>
          <w:szCs w:val="32"/>
        </w:rPr>
        <w:t>年支出</w:t>
      </w:r>
      <w:r>
        <w:rPr>
          <w:rFonts w:ascii="仿宋" w:hAnsi="仿宋" w:eastAsia="仿宋" w:cs="仿宋"/>
          <w:sz w:val="32"/>
          <w:szCs w:val="32"/>
        </w:rPr>
        <w:t>406.71</w:t>
      </w:r>
      <w:r>
        <w:rPr>
          <w:rFonts w:hint="eastAsia" w:ascii="仿宋" w:hAnsi="仿宋" w:eastAsia="仿宋" w:cs="仿宋"/>
          <w:sz w:val="32"/>
          <w:szCs w:val="32"/>
        </w:rPr>
        <w:t>万元，按用途划分为：工资福利支出</w:t>
      </w:r>
      <w:r>
        <w:rPr>
          <w:rFonts w:ascii="仿宋" w:hAnsi="仿宋" w:eastAsia="仿宋" w:cs="仿宋"/>
          <w:sz w:val="32"/>
          <w:szCs w:val="32"/>
        </w:rPr>
        <w:t>157.91</w:t>
      </w:r>
      <w:r>
        <w:rPr>
          <w:rFonts w:hint="eastAsia" w:ascii="仿宋" w:hAnsi="仿宋" w:eastAsia="仿宋" w:cs="仿宋"/>
          <w:sz w:val="32"/>
          <w:szCs w:val="32"/>
        </w:rPr>
        <w:t>万元，占</w:t>
      </w:r>
      <w:r>
        <w:rPr>
          <w:rFonts w:ascii="仿宋" w:hAnsi="仿宋" w:eastAsia="仿宋" w:cs="仿宋"/>
          <w:sz w:val="32"/>
          <w:szCs w:val="32"/>
        </w:rPr>
        <w:t>38.83%</w:t>
      </w:r>
      <w:r>
        <w:rPr>
          <w:rFonts w:hint="eastAsia" w:ascii="仿宋" w:hAnsi="仿宋" w:eastAsia="仿宋" w:cs="仿宋"/>
          <w:sz w:val="32"/>
          <w:szCs w:val="32"/>
        </w:rPr>
        <w:t>；商品服务支出</w:t>
      </w:r>
      <w:r>
        <w:rPr>
          <w:rFonts w:ascii="仿宋" w:hAnsi="仿宋" w:eastAsia="仿宋" w:cs="仿宋"/>
          <w:sz w:val="32"/>
          <w:szCs w:val="32"/>
        </w:rPr>
        <w:t>35.77</w:t>
      </w:r>
      <w:r>
        <w:rPr>
          <w:rFonts w:hint="eastAsia" w:ascii="仿宋" w:hAnsi="仿宋" w:eastAsia="仿宋" w:cs="仿宋"/>
          <w:sz w:val="32"/>
          <w:szCs w:val="32"/>
        </w:rPr>
        <w:t>万元，占</w:t>
      </w:r>
      <w:r>
        <w:rPr>
          <w:rFonts w:ascii="仿宋" w:hAnsi="仿宋" w:eastAsia="仿宋" w:cs="仿宋"/>
          <w:sz w:val="32"/>
          <w:szCs w:val="32"/>
        </w:rPr>
        <w:t>8.79%</w:t>
      </w:r>
      <w:r>
        <w:rPr>
          <w:rFonts w:hint="eastAsia" w:ascii="仿宋" w:hAnsi="仿宋" w:eastAsia="仿宋" w:cs="仿宋"/>
          <w:sz w:val="32"/>
          <w:szCs w:val="32"/>
        </w:rPr>
        <w:t>；对企事业单位的补贴</w:t>
      </w:r>
      <w:r>
        <w:rPr>
          <w:rFonts w:ascii="仿宋" w:hAnsi="仿宋" w:eastAsia="仿宋" w:cs="仿宋"/>
          <w:sz w:val="32"/>
          <w:szCs w:val="32"/>
        </w:rPr>
        <w:t>210</w:t>
      </w:r>
      <w:r>
        <w:rPr>
          <w:rFonts w:hint="eastAsia" w:ascii="仿宋" w:hAnsi="仿宋" w:eastAsia="仿宋" w:cs="仿宋"/>
          <w:sz w:val="32"/>
          <w:szCs w:val="32"/>
        </w:rPr>
        <w:t>万元，占</w:t>
      </w:r>
      <w:r>
        <w:rPr>
          <w:rFonts w:ascii="仿宋" w:hAnsi="仿宋" w:eastAsia="仿宋" w:cs="仿宋"/>
          <w:sz w:val="32"/>
          <w:szCs w:val="32"/>
        </w:rPr>
        <w:t>51.63%</w:t>
      </w:r>
      <w:r>
        <w:rPr>
          <w:rFonts w:hint="eastAsia" w:ascii="仿宋" w:hAnsi="仿宋" w:eastAsia="仿宋" w:cs="仿宋"/>
          <w:sz w:val="32"/>
          <w:szCs w:val="32"/>
        </w:rPr>
        <w:t>，其他资本性支出</w:t>
      </w:r>
      <w:r>
        <w:rPr>
          <w:rFonts w:ascii="仿宋" w:hAnsi="仿宋" w:eastAsia="仿宋" w:cs="仿宋"/>
          <w:sz w:val="32"/>
          <w:szCs w:val="32"/>
        </w:rPr>
        <w:t>3.03</w:t>
      </w:r>
      <w:r>
        <w:rPr>
          <w:rFonts w:hint="eastAsia" w:ascii="仿宋" w:hAnsi="仿宋" w:eastAsia="仿宋" w:cs="仿宋"/>
          <w:sz w:val="32"/>
          <w:szCs w:val="32"/>
        </w:rPr>
        <w:t>万元，占</w:t>
      </w:r>
      <w:r>
        <w:rPr>
          <w:rFonts w:ascii="仿宋" w:hAnsi="仿宋" w:eastAsia="仿宋" w:cs="仿宋"/>
          <w:sz w:val="32"/>
          <w:szCs w:val="32"/>
        </w:rPr>
        <w:t>0.75%</w:t>
      </w:r>
      <w:r>
        <w:rPr>
          <w:rFonts w:hint="eastAsia" w:ascii="仿宋" w:hAnsi="仿宋" w:eastAsia="仿宋" w:cs="仿宋"/>
          <w:sz w:val="32"/>
          <w:szCs w:val="32"/>
        </w:rPr>
        <w:t>。年末基本支出结转</w:t>
      </w:r>
      <w:r>
        <w:rPr>
          <w:rFonts w:ascii="仿宋" w:hAnsi="仿宋" w:eastAsia="仿宋" w:cs="仿宋"/>
          <w:sz w:val="32"/>
          <w:szCs w:val="32"/>
        </w:rPr>
        <w:t>9.33</w:t>
      </w:r>
      <w:r>
        <w:rPr>
          <w:rFonts w:hint="eastAsia" w:ascii="仿宋" w:hAnsi="仿宋" w:eastAsia="仿宋" w:cs="仿宋"/>
          <w:sz w:val="32"/>
          <w:szCs w:val="32"/>
        </w:rPr>
        <w:t>万元。</w:t>
      </w:r>
    </w:p>
    <w:p>
      <w:pPr>
        <w:ind w:firstLine="640" w:firstLineChars="200"/>
        <w:jc w:val="left"/>
        <w:rPr>
          <w:rFonts w:ascii="黑体" w:hAnsi="黑体" w:eastAsia="黑体" w:cs="仿宋"/>
          <w:bCs/>
          <w:sz w:val="32"/>
          <w:szCs w:val="32"/>
        </w:rPr>
      </w:pPr>
      <w:r>
        <w:rPr>
          <w:rFonts w:hint="eastAsia" w:ascii="黑体" w:hAnsi="黑体" w:eastAsia="黑体" w:cs="仿宋"/>
          <w:bCs/>
          <w:sz w:val="32"/>
          <w:szCs w:val="32"/>
        </w:rPr>
        <w:t>四、财政拨款收入支出决算总体情况说明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2018年度</w:t>
      </w:r>
      <w:r>
        <w:rPr>
          <w:rFonts w:hint="eastAsia" w:ascii="仿宋" w:hAnsi="仿宋" w:eastAsia="仿宋" w:cs="仿宋"/>
          <w:sz w:val="32"/>
          <w:szCs w:val="32"/>
          <w:lang w:val="en-US" w:eastAsia="zh-CN"/>
        </w:rPr>
        <w:t>财政拨款</w:t>
      </w:r>
      <w:r>
        <w:rPr>
          <w:rFonts w:hint="eastAsia" w:ascii="仿宋" w:hAnsi="仿宋" w:eastAsia="仿宋" w:cs="仿宋"/>
          <w:sz w:val="32"/>
          <w:szCs w:val="32"/>
        </w:rPr>
        <w:t>收入、支出总计均为416.04万元，与2017年相比，收、支总计均</w:t>
      </w:r>
      <w:r>
        <w:rPr>
          <w:rFonts w:hint="eastAsia" w:ascii="仿宋" w:hAnsi="仿宋" w:eastAsia="仿宋" w:cs="仿宋"/>
          <w:sz w:val="32"/>
          <w:szCs w:val="32"/>
          <w:lang w:val="en-US" w:eastAsia="zh-CN"/>
        </w:rPr>
        <w:t>为115.87万元，减少22.17%</w:t>
      </w:r>
      <w:r>
        <w:rPr>
          <w:rFonts w:hint="eastAsia" w:ascii="仿宋" w:hAnsi="仿宋" w:eastAsia="仿宋" w:cs="仿宋"/>
          <w:sz w:val="32"/>
          <w:szCs w:val="32"/>
        </w:rPr>
        <w:t>。决算数</w:t>
      </w:r>
      <w:r>
        <w:rPr>
          <w:rFonts w:hint="eastAsia" w:ascii="仿宋" w:hAnsi="仿宋" w:eastAsia="仿宋" w:cs="仿宋"/>
          <w:sz w:val="32"/>
          <w:szCs w:val="32"/>
          <w:lang w:val="en-US" w:eastAsia="zh-CN"/>
        </w:rPr>
        <w:t>小</w:t>
      </w:r>
      <w:r>
        <w:rPr>
          <w:rFonts w:hint="eastAsia" w:ascii="仿宋" w:hAnsi="仿宋" w:eastAsia="仿宋" w:cs="仿宋"/>
          <w:sz w:val="32"/>
          <w:szCs w:val="32"/>
        </w:rPr>
        <w:t>于去年决算数的主要原因是原因为本年度茶叶新产品研发核心技术推广的</w:t>
      </w:r>
      <w:r>
        <w:rPr>
          <w:rFonts w:ascii="仿宋" w:hAnsi="仿宋" w:eastAsia="仿宋" w:cs="仿宋"/>
          <w:sz w:val="32"/>
          <w:szCs w:val="32"/>
        </w:rPr>
        <w:t>90</w:t>
      </w:r>
      <w:r>
        <w:rPr>
          <w:rFonts w:hint="eastAsia" w:ascii="仿宋" w:hAnsi="仿宋" w:eastAsia="仿宋" w:cs="仿宋"/>
          <w:sz w:val="32"/>
          <w:szCs w:val="32"/>
        </w:rPr>
        <w:t>万元未拨付未支出。</w:t>
      </w:r>
    </w:p>
    <w:p>
      <w:pPr>
        <w:ind w:firstLine="640" w:firstLineChars="200"/>
        <w:jc w:val="left"/>
        <w:rPr>
          <w:rFonts w:ascii="黑体" w:hAnsi="黑体" w:eastAsia="黑体" w:cs="仿宋"/>
          <w:bCs/>
          <w:sz w:val="32"/>
          <w:szCs w:val="32"/>
        </w:rPr>
      </w:pPr>
      <w:r>
        <w:rPr>
          <w:rFonts w:hint="eastAsia" w:ascii="黑体" w:hAnsi="黑体" w:eastAsia="黑体" w:cs="仿宋"/>
          <w:bCs/>
          <w:sz w:val="32"/>
          <w:szCs w:val="32"/>
        </w:rPr>
        <w:t>五、一般公共预算财政拨款支出决算情况说明</w:t>
      </w:r>
    </w:p>
    <w:p>
      <w:pPr>
        <w:adjustRightInd w:val="0"/>
        <w:snapToGrid w:val="0"/>
        <w:spacing w:line="360" w:lineRule="auto"/>
        <w:ind w:left="643"/>
        <w:rPr>
          <w:rFonts w:ascii="仿宋" w:hAnsi="仿宋" w:eastAsia="仿宋" w:cs="Times New Roman"/>
          <w:sz w:val="32"/>
          <w:szCs w:val="32"/>
        </w:rPr>
      </w:pPr>
      <w:r>
        <w:rPr>
          <w:rFonts w:hint="eastAsia" w:ascii="楷体_GB2312" w:hAnsi="仿宋" w:eastAsia="楷体_GB2312" w:cs="仿宋"/>
          <w:b/>
          <w:sz w:val="32"/>
          <w:szCs w:val="32"/>
        </w:rPr>
        <w:t>（一）总体情况</w:t>
      </w:r>
      <w:r>
        <w:rPr>
          <w:rFonts w:hint="eastAsia" w:ascii="仿宋" w:hAnsi="仿宋" w:eastAsia="仿宋" w:cs="仿宋"/>
          <w:sz w:val="32"/>
          <w:szCs w:val="32"/>
        </w:rPr>
        <w:t>。</w:t>
      </w:r>
    </w:p>
    <w:p>
      <w:pPr>
        <w:ind w:firstLine="640" w:firstLineChars="200"/>
        <w:jc w:val="left"/>
        <w:rPr>
          <w:rFonts w:ascii="仿宋" w:hAnsi="仿宋" w:eastAsia="仿宋" w:cs="Times New Roman"/>
          <w:sz w:val="32"/>
          <w:szCs w:val="32"/>
        </w:rPr>
      </w:pPr>
      <w:r>
        <w:rPr>
          <w:rFonts w:ascii="仿宋" w:hAnsi="仿宋" w:eastAsia="仿宋" w:cs="仿宋"/>
          <w:sz w:val="32"/>
          <w:szCs w:val="32"/>
        </w:rPr>
        <w:t>2018</w:t>
      </w:r>
      <w:r>
        <w:rPr>
          <w:rFonts w:hint="eastAsia" w:ascii="仿宋" w:hAnsi="仿宋" w:eastAsia="仿宋" w:cs="仿宋"/>
          <w:sz w:val="32"/>
          <w:szCs w:val="32"/>
        </w:rPr>
        <w:t>年一般公共预算财政拨款支出406.71万元，占支出合计的</w:t>
      </w:r>
      <w:r>
        <w:rPr>
          <w:rFonts w:ascii="仿宋" w:hAnsi="仿宋" w:eastAsia="仿宋" w:cs="仿宋"/>
          <w:sz w:val="32"/>
          <w:szCs w:val="32"/>
        </w:rPr>
        <w:t>100%</w:t>
      </w:r>
      <w:r>
        <w:rPr>
          <w:rFonts w:hint="eastAsia" w:ascii="仿宋" w:hAnsi="仿宋" w:eastAsia="仿宋" w:cs="仿宋"/>
          <w:sz w:val="32"/>
          <w:szCs w:val="32"/>
        </w:rPr>
        <w:t>。与</w:t>
      </w:r>
      <w:r>
        <w:rPr>
          <w:rFonts w:ascii="仿宋" w:hAnsi="仿宋" w:eastAsia="仿宋" w:cs="仿宋"/>
          <w:sz w:val="32"/>
          <w:szCs w:val="32"/>
        </w:rPr>
        <w:t>2017</w:t>
      </w:r>
      <w:r>
        <w:rPr>
          <w:rFonts w:hint="eastAsia" w:ascii="仿宋" w:hAnsi="仿宋" w:eastAsia="仿宋" w:cs="仿宋"/>
          <w:sz w:val="32"/>
          <w:szCs w:val="32"/>
        </w:rPr>
        <w:t>年相比，一般公共预算财政拨款支出减少115.87万元，减少22.17</w:t>
      </w:r>
      <w:r>
        <w:rPr>
          <w:rFonts w:ascii="仿宋" w:hAnsi="仿宋" w:eastAsia="仿宋" w:cs="仿宋"/>
          <w:sz w:val="32"/>
          <w:szCs w:val="32"/>
        </w:rPr>
        <w:t>%</w:t>
      </w:r>
      <w:r>
        <w:rPr>
          <w:rFonts w:hint="eastAsia" w:ascii="仿宋" w:hAnsi="仿宋" w:eastAsia="仿宋" w:cs="仿宋"/>
          <w:sz w:val="32"/>
          <w:szCs w:val="32"/>
        </w:rPr>
        <w:t>。</w:t>
      </w:r>
      <w:r>
        <w:rPr>
          <w:rFonts w:hint="eastAsia" w:ascii="仿宋" w:hAnsi="仿宋" w:eastAsia="仿宋" w:cs="仿宋"/>
          <w:sz w:val="32"/>
          <w:szCs w:val="32"/>
          <w:lang w:val="en-US" w:eastAsia="zh-CN"/>
        </w:rPr>
        <w:t>减少</w:t>
      </w:r>
      <w:r>
        <w:rPr>
          <w:rFonts w:hint="eastAsia" w:ascii="仿宋" w:hAnsi="仿宋" w:eastAsia="仿宋" w:cs="仿宋"/>
          <w:sz w:val="32"/>
          <w:szCs w:val="32"/>
        </w:rPr>
        <w:t>原因为本年度茶叶新产品研发核心技术推广的</w:t>
      </w:r>
      <w:r>
        <w:rPr>
          <w:rFonts w:ascii="仿宋" w:hAnsi="仿宋" w:eastAsia="仿宋" w:cs="仿宋"/>
          <w:sz w:val="32"/>
          <w:szCs w:val="32"/>
        </w:rPr>
        <w:t>90</w:t>
      </w:r>
      <w:r>
        <w:rPr>
          <w:rFonts w:hint="eastAsia" w:ascii="仿宋" w:hAnsi="仿宋" w:eastAsia="仿宋" w:cs="仿宋"/>
          <w:sz w:val="32"/>
          <w:szCs w:val="32"/>
        </w:rPr>
        <w:t>万元未拨付未支出。</w:t>
      </w:r>
    </w:p>
    <w:p>
      <w:pPr>
        <w:adjustRightInd w:val="0"/>
        <w:snapToGrid w:val="0"/>
        <w:spacing w:line="360" w:lineRule="auto"/>
        <w:ind w:firstLine="643" w:firstLineChars="200"/>
        <w:rPr>
          <w:rFonts w:ascii="楷体_GB2312" w:hAnsi="仿宋" w:eastAsia="楷体_GB2312" w:cs="Times New Roman"/>
          <w:b/>
          <w:sz w:val="32"/>
          <w:szCs w:val="32"/>
        </w:rPr>
      </w:pPr>
      <w:r>
        <w:rPr>
          <w:rFonts w:hint="eastAsia" w:ascii="楷体_GB2312" w:hAnsi="仿宋" w:eastAsia="楷体_GB2312" w:cs="仿宋"/>
          <w:b/>
          <w:sz w:val="32"/>
          <w:szCs w:val="32"/>
        </w:rPr>
        <w:t>（二）结构情况。</w:t>
      </w:r>
    </w:p>
    <w:p>
      <w:pPr>
        <w:adjustRightInd w:val="0"/>
        <w:snapToGrid w:val="0"/>
        <w:spacing w:line="360" w:lineRule="auto"/>
        <w:ind w:firstLine="640" w:firstLineChars="200"/>
        <w:rPr>
          <w:rFonts w:ascii="仿宋" w:hAnsi="仿宋" w:eastAsia="仿宋" w:cs="Times New Roman"/>
          <w:sz w:val="32"/>
          <w:szCs w:val="32"/>
        </w:rPr>
      </w:pPr>
      <w:r>
        <w:rPr>
          <w:rFonts w:ascii="仿宋" w:hAnsi="仿宋" w:eastAsia="仿宋" w:cs="仿宋"/>
          <w:sz w:val="32"/>
          <w:szCs w:val="32"/>
        </w:rPr>
        <w:t>2018</w:t>
      </w:r>
      <w:r>
        <w:rPr>
          <w:rFonts w:hint="eastAsia" w:ascii="仿宋" w:hAnsi="仿宋" w:eastAsia="仿宋" w:cs="仿宋"/>
          <w:sz w:val="32"/>
          <w:szCs w:val="32"/>
        </w:rPr>
        <w:t>年度一般公共预算财政拨款支出406.71万元，主要用于以下方面：农林水</w:t>
      </w:r>
      <w:r>
        <w:rPr>
          <w:rFonts w:hint="eastAsia" w:ascii="仿宋" w:hAnsi="仿宋" w:eastAsia="仿宋" w:cs="仿宋"/>
          <w:b/>
          <w:bCs/>
          <w:sz w:val="32"/>
          <w:szCs w:val="32"/>
        </w:rPr>
        <w:t>（类）</w:t>
      </w:r>
      <w:r>
        <w:rPr>
          <w:rFonts w:hint="eastAsia" w:ascii="仿宋" w:hAnsi="仿宋" w:eastAsia="仿宋" w:cs="仿宋"/>
          <w:sz w:val="32"/>
          <w:szCs w:val="32"/>
        </w:rPr>
        <w:t>支出406.71万元，占</w:t>
      </w:r>
      <w:r>
        <w:rPr>
          <w:rFonts w:ascii="仿宋" w:hAnsi="仿宋" w:eastAsia="仿宋" w:cs="仿宋"/>
          <w:sz w:val="32"/>
          <w:szCs w:val="32"/>
        </w:rPr>
        <w:t>100%</w:t>
      </w:r>
      <w:r>
        <w:rPr>
          <w:rFonts w:hint="eastAsia" w:ascii="仿宋" w:hAnsi="仿宋" w:eastAsia="仿宋" w:cs="仿宋"/>
          <w:sz w:val="32"/>
          <w:szCs w:val="32"/>
        </w:rPr>
        <w:t>。</w:t>
      </w:r>
    </w:p>
    <w:p>
      <w:pPr>
        <w:adjustRightInd w:val="0"/>
        <w:snapToGrid w:val="0"/>
        <w:spacing w:line="360" w:lineRule="auto"/>
        <w:ind w:left="640"/>
        <w:rPr>
          <w:rFonts w:ascii="楷体_GB2312" w:hAnsi="仿宋" w:eastAsia="楷体_GB2312" w:cs="Times New Roman"/>
          <w:b/>
          <w:sz w:val="32"/>
          <w:szCs w:val="32"/>
        </w:rPr>
      </w:pPr>
      <w:r>
        <w:rPr>
          <w:rFonts w:hint="eastAsia" w:ascii="楷体_GB2312" w:hAnsi="仿宋" w:eastAsia="楷体_GB2312" w:cs="仿宋"/>
          <w:b/>
          <w:sz w:val="32"/>
          <w:szCs w:val="32"/>
        </w:rPr>
        <w:t>（三）具体情况。</w:t>
      </w:r>
    </w:p>
    <w:p>
      <w:pPr>
        <w:adjustRightInd w:val="0"/>
        <w:snapToGrid w:val="0"/>
        <w:spacing w:line="580" w:lineRule="exact"/>
        <w:ind w:firstLine="800" w:firstLineChars="250"/>
        <w:rPr>
          <w:rFonts w:ascii="仿宋" w:hAnsi="仿宋" w:eastAsia="仿宋" w:cs="Times New Roman"/>
          <w:sz w:val="32"/>
          <w:szCs w:val="32"/>
        </w:rPr>
      </w:pPr>
      <w:r>
        <w:rPr>
          <w:rFonts w:ascii="仿宋" w:hAnsi="仿宋" w:eastAsia="仿宋" w:cs="仿宋"/>
          <w:sz w:val="32"/>
          <w:szCs w:val="32"/>
        </w:rPr>
        <w:t>2018</w:t>
      </w:r>
      <w:r>
        <w:rPr>
          <w:rFonts w:hint="eastAsia" w:ascii="仿宋" w:hAnsi="仿宋" w:eastAsia="仿宋" w:cs="仿宋"/>
          <w:sz w:val="32"/>
          <w:szCs w:val="32"/>
        </w:rPr>
        <w:t>年度一般公共预算财政拨款支出年初预算为</w:t>
      </w:r>
      <w:r>
        <w:rPr>
          <w:rFonts w:ascii="仿宋_GB2312" w:hAnsi="宋体" w:eastAsia="仿宋_GB2312" w:cs="仿宋_GB2312"/>
          <w:sz w:val="32"/>
          <w:szCs w:val="32"/>
        </w:rPr>
        <w:t>305.2</w:t>
      </w:r>
      <w:r>
        <w:rPr>
          <w:rFonts w:hint="eastAsia" w:ascii="仿宋" w:hAnsi="仿宋" w:eastAsia="仿宋" w:cs="仿宋"/>
          <w:sz w:val="32"/>
          <w:szCs w:val="32"/>
        </w:rPr>
        <w:t>万元，支出决算为406.71万元，完成年初预算的133.26</w:t>
      </w:r>
      <w:r>
        <w:rPr>
          <w:rFonts w:ascii="仿宋" w:hAnsi="仿宋" w:eastAsia="仿宋" w:cs="仿宋"/>
          <w:sz w:val="32"/>
          <w:szCs w:val="32"/>
        </w:rPr>
        <w:t>%</w:t>
      </w:r>
      <w:r>
        <w:rPr>
          <w:rFonts w:hint="eastAsia" w:ascii="仿宋" w:hAnsi="仿宋" w:eastAsia="仿宋" w:cs="仿宋"/>
          <w:sz w:val="32"/>
          <w:szCs w:val="32"/>
        </w:rPr>
        <w:t>。其中：</w:t>
      </w:r>
    </w:p>
    <w:p>
      <w:pPr>
        <w:widowControl/>
        <w:autoSpaceDE w:val="0"/>
        <w:spacing w:line="590" w:lineRule="exact"/>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、农林水支出（类）农业（款）事业运行（项）。年初预算为</w:t>
      </w:r>
      <w:r>
        <w:rPr>
          <w:rFonts w:ascii="仿宋" w:hAnsi="仿宋" w:eastAsia="仿宋" w:cs="仿宋"/>
          <w:sz w:val="32"/>
          <w:szCs w:val="32"/>
        </w:rPr>
        <w:t>135.2</w:t>
      </w:r>
      <w:r>
        <w:rPr>
          <w:rFonts w:hint="eastAsia" w:ascii="仿宋" w:hAnsi="仿宋" w:eastAsia="仿宋" w:cs="仿宋"/>
          <w:sz w:val="32"/>
          <w:szCs w:val="32"/>
        </w:rPr>
        <w:t>万元，支出决算为</w:t>
      </w:r>
      <w:r>
        <w:rPr>
          <w:rFonts w:ascii="仿宋" w:hAnsi="仿宋" w:eastAsia="仿宋" w:cs="仿宋"/>
          <w:sz w:val="32"/>
          <w:szCs w:val="32"/>
        </w:rPr>
        <w:t>178.26</w:t>
      </w:r>
      <w:r>
        <w:rPr>
          <w:rFonts w:hint="eastAsia" w:ascii="仿宋" w:hAnsi="仿宋" w:eastAsia="仿宋" w:cs="仿宋"/>
          <w:sz w:val="32"/>
          <w:szCs w:val="32"/>
        </w:rPr>
        <w:t>万元，完成年初预算的</w:t>
      </w:r>
      <w:r>
        <w:rPr>
          <w:rFonts w:ascii="仿宋" w:hAnsi="仿宋" w:eastAsia="仿宋" w:cs="仿宋"/>
          <w:sz w:val="32"/>
          <w:szCs w:val="32"/>
        </w:rPr>
        <w:t>131.85%</w:t>
      </w:r>
      <w:r>
        <w:rPr>
          <w:rFonts w:hint="eastAsia" w:ascii="仿宋" w:hAnsi="仿宋" w:eastAsia="仿宋" w:cs="仿宋"/>
          <w:sz w:val="32"/>
          <w:szCs w:val="32"/>
        </w:rPr>
        <w:t>，决算数与年初预算数存在差异的主要原因是追加了对本单位人员工资及五险一金增加、采购办公桌椅及设备、第一书记后勤保障及下乡补贴等。</w:t>
      </w:r>
    </w:p>
    <w:p>
      <w:pPr>
        <w:adjustRightInd w:val="0"/>
        <w:snapToGrid w:val="0"/>
        <w:spacing w:line="580" w:lineRule="exact"/>
        <w:ind w:firstLine="800" w:firstLineChars="25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、农林水支出（类）农业（款）病虫害控制（项）。年初预算为</w:t>
      </w:r>
      <w:r>
        <w:rPr>
          <w:rFonts w:ascii="仿宋" w:hAnsi="仿宋" w:eastAsia="仿宋" w:cs="仿宋"/>
          <w:sz w:val="32"/>
          <w:szCs w:val="32"/>
        </w:rPr>
        <w:t>30</w:t>
      </w:r>
      <w:r>
        <w:rPr>
          <w:rFonts w:hint="eastAsia" w:ascii="仿宋" w:hAnsi="仿宋" w:eastAsia="仿宋" w:cs="仿宋"/>
          <w:sz w:val="32"/>
          <w:szCs w:val="32"/>
        </w:rPr>
        <w:t>万元，支出决算为</w:t>
      </w:r>
      <w:r>
        <w:rPr>
          <w:rFonts w:ascii="仿宋" w:hAnsi="仿宋" w:eastAsia="仿宋" w:cs="仿宋"/>
          <w:sz w:val="32"/>
          <w:szCs w:val="32"/>
        </w:rPr>
        <w:t>30</w:t>
      </w:r>
      <w:r>
        <w:rPr>
          <w:rFonts w:hint="eastAsia" w:ascii="仿宋" w:hAnsi="仿宋" w:eastAsia="仿宋" w:cs="仿宋"/>
          <w:sz w:val="32"/>
          <w:szCs w:val="32"/>
        </w:rPr>
        <w:t>万元，完成年初预算的</w:t>
      </w:r>
      <w:r>
        <w:rPr>
          <w:rFonts w:ascii="仿宋" w:hAnsi="仿宋" w:eastAsia="仿宋" w:cs="仿宋"/>
          <w:sz w:val="32"/>
          <w:szCs w:val="32"/>
        </w:rPr>
        <w:t>100%</w:t>
      </w:r>
      <w:r>
        <w:rPr>
          <w:rFonts w:hint="eastAsia" w:ascii="仿宋" w:hAnsi="仿宋" w:eastAsia="仿宋" w:cs="仿宋"/>
          <w:sz w:val="32"/>
          <w:szCs w:val="32"/>
        </w:rPr>
        <w:t>，决算数与年初预算数不存在差异。</w:t>
      </w:r>
    </w:p>
    <w:p>
      <w:pPr>
        <w:adjustRightInd w:val="0"/>
        <w:snapToGrid w:val="0"/>
        <w:spacing w:line="580" w:lineRule="exact"/>
        <w:ind w:firstLine="800" w:firstLineChars="25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、农林水支出（类）农业（款）农产品加工与促销（项）。年初预算为</w:t>
      </w:r>
      <w:r>
        <w:rPr>
          <w:rFonts w:ascii="仿宋" w:hAnsi="仿宋" w:eastAsia="仿宋" w:cs="仿宋"/>
          <w:sz w:val="32"/>
          <w:szCs w:val="32"/>
        </w:rPr>
        <w:t>122</w:t>
      </w:r>
      <w:r>
        <w:rPr>
          <w:rFonts w:hint="eastAsia" w:ascii="仿宋" w:hAnsi="仿宋" w:eastAsia="仿宋" w:cs="仿宋"/>
          <w:sz w:val="32"/>
          <w:szCs w:val="32"/>
        </w:rPr>
        <w:t>万元，支出决算为</w:t>
      </w:r>
      <w:r>
        <w:rPr>
          <w:rFonts w:ascii="仿宋" w:hAnsi="仿宋" w:eastAsia="仿宋" w:cs="仿宋"/>
          <w:sz w:val="32"/>
          <w:szCs w:val="32"/>
        </w:rPr>
        <w:t>168.45</w:t>
      </w:r>
      <w:r>
        <w:rPr>
          <w:rFonts w:hint="eastAsia" w:ascii="仿宋" w:hAnsi="仿宋" w:eastAsia="仿宋" w:cs="仿宋"/>
          <w:sz w:val="32"/>
          <w:szCs w:val="32"/>
        </w:rPr>
        <w:t>万元，完成年初预算的</w:t>
      </w:r>
      <w:r>
        <w:rPr>
          <w:rFonts w:ascii="仿宋" w:hAnsi="仿宋" w:eastAsia="仿宋" w:cs="仿宋"/>
          <w:sz w:val="32"/>
          <w:szCs w:val="32"/>
        </w:rPr>
        <w:t>138.07%</w:t>
      </w:r>
      <w:r>
        <w:rPr>
          <w:rFonts w:hint="eastAsia" w:ascii="仿宋" w:hAnsi="仿宋" w:eastAsia="仿宋" w:cs="仿宋"/>
          <w:sz w:val="32"/>
          <w:szCs w:val="32"/>
        </w:rPr>
        <w:t>，决算数与年初预算数存在差异的主要原因是追加了对茶叶企业奖补预算，以及本届茶文化节我区自主举办了两项重大茶事活动，增加了支出。</w:t>
      </w:r>
    </w:p>
    <w:p>
      <w:pPr>
        <w:adjustRightInd w:val="0"/>
        <w:snapToGrid w:val="0"/>
        <w:spacing w:line="580" w:lineRule="exact"/>
        <w:ind w:firstLine="800" w:firstLineChars="25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、农林水支出（类）农业（款）农业资源保护修复与利用（项）。年初预算为</w:t>
      </w:r>
      <w:r>
        <w:rPr>
          <w:rFonts w:ascii="仿宋" w:hAnsi="仿宋" w:eastAsia="仿宋" w:cs="仿宋"/>
          <w:sz w:val="32"/>
          <w:szCs w:val="32"/>
        </w:rPr>
        <w:t>18</w:t>
      </w:r>
      <w:r>
        <w:rPr>
          <w:rFonts w:hint="eastAsia" w:ascii="仿宋" w:hAnsi="仿宋" w:eastAsia="仿宋" w:cs="仿宋"/>
          <w:sz w:val="32"/>
          <w:szCs w:val="32"/>
        </w:rPr>
        <w:t>万元，支出决算为</w:t>
      </w:r>
      <w:r>
        <w:rPr>
          <w:rFonts w:ascii="仿宋" w:hAnsi="仿宋" w:eastAsia="仿宋" w:cs="仿宋"/>
          <w:sz w:val="32"/>
          <w:szCs w:val="32"/>
        </w:rPr>
        <w:t>30</w:t>
      </w:r>
      <w:r>
        <w:rPr>
          <w:rFonts w:hint="eastAsia" w:ascii="仿宋" w:hAnsi="仿宋" w:eastAsia="仿宋" w:cs="仿宋"/>
          <w:sz w:val="32"/>
          <w:szCs w:val="32"/>
        </w:rPr>
        <w:t>万元，完成年初预算的</w:t>
      </w:r>
      <w:r>
        <w:rPr>
          <w:rFonts w:ascii="仿宋" w:hAnsi="仿宋" w:eastAsia="仿宋" w:cs="仿宋"/>
          <w:sz w:val="32"/>
          <w:szCs w:val="32"/>
        </w:rPr>
        <w:t>166.67%</w:t>
      </w:r>
      <w:r>
        <w:rPr>
          <w:rFonts w:hint="eastAsia" w:ascii="仿宋" w:hAnsi="仿宋" w:eastAsia="仿宋" w:cs="仿宋"/>
          <w:sz w:val="32"/>
          <w:szCs w:val="32"/>
        </w:rPr>
        <w:t>，决算数与年初预算数存在差异的主要原因是追加了对茶叶企业奖补预算，增加了对企业的奖补。</w:t>
      </w:r>
    </w:p>
    <w:p>
      <w:pPr>
        <w:adjustRightInd w:val="0"/>
        <w:snapToGrid w:val="0"/>
        <w:spacing w:line="580" w:lineRule="exact"/>
        <w:ind w:firstLine="800" w:firstLineChars="250"/>
        <w:rPr>
          <w:rFonts w:ascii="仿宋_GB2312" w:hAnsi="宋体" w:eastAsia="仿宋_GB2312" w:cs="Times New Roman"/>
          <w:b/>
          <w:bCs/>
          <w:sz w:val="32"/>
          <w:szCs w:val="32"/>
        </w:rPr>
      </w:pPr>
      <w:r>
        <w:rPr>
          <w:rFonts w:hint="eastAsia" w:ascii="仿宋" w:hAnsi="仿宋" w:eastAsia="仿宋" w:cs="仿宋"/>
          <w:sz w:val="32"/>
          <w:szCs w:val="32"/>
        </w:rPr>
        <w:t>决算数大于预算数的主要原因：一是</w:t>
      </w:r>
      <w:r>
        <w:rPr>
          <w:rFonts w:hint="eastAsia" w:ascii="仿宋_GB2312" w:hAnsi="宋体" w:eastAsia="仿宋_GB2312" w:cs="仿宋_GB2312"/>
          <w:sz w:val="32"/>
          <w:szCs w:val="32"/>
        </w:rPr>
        <w:t>根据财政部门管理规定，</w:t>
      </w:r>
      <w:r>
        <w:rPr>
          <w:rFonts w:ascii="仿宋_GB2312" w:hAnsi="宋体" w:eastAsia="仿宋_GB2312" w:cs="仿宋_GB2312"/>
          <w:sz w:val="32"/>
          <w:szCs w:val="32"/>
        </w:rPr>
        <w:t>2017</w:t>
      </w:r>
      <w:r>
        <w:rPr>
          <w:rFonts w:hint="eastAsia" w:ascii="仿宋_GB2312" w:hAnsi="宋体" w:eastAsia="仿宋_GB2312" w:cs="仿宋_GB2312"/>
          <w:sz w:val="32"/>
          <w:szCs w:val="32"/>
        </w:rPr>
        <w:t>年度</w:t>
      </w:r>
      <w:r>
        <w:rPr>
          <w:rFonts w:ascii="仿宋_GB2312" w:hAnsi="宋体" w:eastAsia="仿宋_GB2312" w:cs="仿宋_GB2312"/>
          <w:sz w:val="32"/>
          <w:szCs w:val="32"/>
        </w:rPr>
        <w:t>30</w:t>
      </w:r>
      <w:r>
        <w:rPr>
          <w:rFonts w:hint="eastAsia" w:ascii="仿宋_GB2312" w:hAnsi="宋体" w:eastAsia="仿宋_GB2312" w:cs="仿宋_GB2312"/>
          <w:sz w:val="32"/>
          <w:szCs w:val="32"/>
        </w:rPr>
        <w:t>万元资金结转到</w:t>
      </w:r>
      <w:r>
        <w:rPr>
          <w:rFonts w:ascii="仿宋_GB2312" w:hAnsi="宋体" w:eastAsia="仿宋_GB2312" w:cs="仿宋_GB2312"/>
          <w:sz w:val="32"/>
          <w:szCs w:val="32"/>
        </w:rPr>
        <w:t>2018</w:t>
      </w:r>
      <w:r>
        <w:rPr>
          <w:rFonts w:hint="eastAsia" w:ascii="仿宋_GB2312" w:hAnsi="宋体" w:eastAsia="仿宋_GB2312" w:cs="仿宋_GB2312"/>
          <w:sz w:val="32"/>
          <w:szCs w:val="32"/>
        </w:rPr>
        <w:t>年支出。二是根据上级工作安排和全区茶产业发展需要，支出追加了预算。三是获得上级茶产业发展奖励和补助资金</w:t>
      </w:r>
      <w:r>
        <w:rPr>
          <w:rFonts w:ascii="仿宋_GB2312" w:hAnsi="宋体" w:eastAsia="仿宋_GB2312" w:cs="仿宋_GB2312"/>
          <w:sz w:val="32"/>
          <w:szCs w:val="32"/>
        </w:rPr>
        <w:t>30</w:t>
      </w:r>
      <w:r>
        <w:rPr>
          <w:rFonts w:hint="eastAsia" w:ascii="仿宋_GB2312" w:hAnsi="宋体" w:eastAsia="仿宋_GB2312" w:cs="仿宋_GB2312"/>
          <w:sz w:val="32"/>
          <w:szCs w:val="32"/>
        </w:rPr>
        <w:t>万元。</w:t>
      </w:r>
    </w:p>
    <w:p>
      <w:pPr>
        <w:ind w:firstLine="640" w:firstLineChars="200"/>
        <w:jc w:val="left"/>
        <w:rPr>
          <w:rFonts w:ascii="黑体" w:hAnsi="黑体" w:eastAsia="黑体" w:cs="仿宋"/>
          <w:bCs/>
          <w:sz w:val="32"/>
          <w:szCs w:val="32"/>
        </w:rPr>
      </w:pPr>
      <w:r>
        <w:rPr>
          <w:rFonts w:hint="eastAsia" w:ascii="黑体" w:hAnsi="黑体" w:eastAsia="黑体" w:cs="仿宋"/>
          <w:bCs/>
          <w:sz w:val="32"/>
          <w:szCs w:val="32"/>
        </w:rPr>
        <w:t>六、一般公共预算财政拨款基本支出决算情况说明</w:t>
      </w:r>
    </w:p>
    <w:p>
      <w:pPr>
        <w:ind w:firstLine="640" w:firstLineChars="200"/>
        <w:jc w:val="left"/>
        <w:rPr>
          <w:rFonts w:ascii="仿宋" w:hAnsi="仿宋" w:eastAsia="仿宋" w:cs="Times New Roman"/>
          <w:sz w:val="32"/>
          <w:szCs w:val="32"/>
        </w:rPr>
      </w:pPr>
      <w:r>
        <w:rPr>
          <w:rFonts w:ascii="仿宋" w:hAnsi="仿宋" w:eastAsia="仿宋" w:cs="仿宋"/>
          <w:sz w:val="32"/>
          <w:szCs w:val="32"/>
        </w:rPr>
        <w:t>2018</w:t>
      </w:r>
      <w:r>
        <w:rPr>
          <w:rFonts w:hint="eastAsia" w:ascii="仿宋" w:hAnsi="仿宋" w:eastAsia="仿宋" w:cs="仿宋"/>
          <w:sz w:val="32"/>
          <w:szCs w:val="32"/>
        </w:rPr>
        <w:t>年一般公共预算财政拨款基本支出406.71万元，其中：</w:t>
      </w:r>
      <w:r>
        <w:rPr>
          <w:rFonts w:hint="eastAsia" w:ascii="仿宋" w:hAnsi="仿宋" w:eastAsia="仿宋" w:cs="仿宋"/>
          <w:b/>
          <w:bCs/>
          <w:spacing w:val="-1"/>
          <w:kern w:val="0"/>
          <w:sz w:val="32"/>
          <w:szCs w:val="32"/>
        </w:rPr>
        <w:t>人员经费</w:t>
      </w:r>
      <w:r>
        <w:rPr>
          <w:rFonts w:ascii="仿宋" w:hAnsi="仿宋" w:eastAsia="仿宋" w:cs="仿宋"/>
          <w:sz w:val="32"/>
          <w:szCs w:val="32"/>
        </w:rPr>
        <w:t>157.91</w:t>
      </w:r>
      <w:r>
        <w:rPr>
          <w:rFonts w:hint="eastAsia" w:ascii="仿宋" w:hAnsi="仿宋" w:eastAsia="仿宋" w:cs="仿宋"/>
          <w:spacing w:val="-1"/>
          <w:kern w:val="0"/>
          <w:sz w:val="32"/>
          <w:szCs w:val="32"/>
        </w:rPr>
        <w:t>万元</w:t>
      </w:r>
      <w:r>
        <w:rPr>
          <w:rFonts w:hint="eastAsia" w:ascii="仿宋" w:hAnsi="仿宋" w:eastAsia="仿宋" w:cs="仿宋"/>
          <w:sz w:val="32"/>
          <w:szCs w:val="32"/>
        </w:rPr>
        <w:t>，主要包括：基本工资、津贴补贴、绩效工资、社保缴费、对个人和家庭的补助；</w:t>
      </w:r>
      <w:r>
        <w:rPr>
          <w:rFonts w:hint="eastAsia" w:ascii="仿宋" w:hAnsi="仿宋" w:eastAsia="仿宋" w:cs="仿宋"/>
          <w:b/>
          <w:bCs/>
          <w:spacing w:val="-1"/>
          <w:kern w:val="0"/>
          <w:sz w:val="32"/>
          <w:szCs w:val="32"/>
        </w:rPr>
        <w:t>公用经费248.80</w:t>
      </w:r>
      <w:r>
        <w:rPr>
          <w:rFonts w:hint="eastAsia" w:ascii="仿宋" w:hAnsi="仿宋" w:eastAsia="仿宋" w:cs="仿宋"/>
          <w:b/>
          <w:bCs/>
          <w:spacing w:val="-1"/>
          <w:kern w:val="0"/>
          <w:sz w:val="32"/>
          <w:szCs w:val="32"/>
          <w:lang w:val="en-US" w:eastAsia="zh-CN"/>
        </w:rPr>
        <w:t>万元，其中日常经费</w:t>
      </w:r>
      <w:r>
        <w:rPr>
          <w:rFonts w:ascii="仿宋" w:hAnsi="仿宋" w:eastAsia="仿宋" w:cs="仿宋"/>
          <w:sz w:val="32"/>
          <w:szCs w:val="32"/>
        </w:rPr>
        <w:t>35.77</w:t>
      </w:r>
      <w:r>
        <w:rPr>
          <w:rFonts w:hint="eastAsia" w:ascii="仿宋" w:hAnsi="仿宋" w:eastAsia="仿宋" w:cs="仿宋"/>
          <w:spacing w:val="-2"/>
          <w:kern w:val="0"/>
          <w:sz w:val="32"/>
          <w:szCs w:val="32"/>
        </w:rPr>
        <w:t>万元</w:t>
      </w:r>
      <w:r>
        <w:rPr>
          <w:rFonts w:hint="eastAsia" w:ascii="仿宋" w:hAnsi="仿宋" w:eastAsia="仿宋" w:cs="仿宋"/>
          <w:sz w:val="32"/>
          <w:szCs w:val="32"/>
        </w:rPr>
        <w:t>，主要包括：办公费、印刷费、交通费、差旅费、水电费、会议费、维修费、车辆运行维护费、公务接待费等；</w:t>
      </w:r>
      <w:r>
        <w:rPr>
          <w:rFonts w:hint="eastAsia" w:ascii="仿宋" w:hAnsi="仿宋" w:eastAsia="仿宋" w:cs="仿宋"/>
          <w:b/>
          <w:bCs/>
          <w:sz w:val="32"/>
          <w:szCs w:val="32"/>
        </w:rPr>
        <w:t>其他资本性</w:t>
      </w:r>
      <w:r>
        <w:rPr>
          <w:rFonts w:hint="eastAsia" w:ascii="仿宋" w:hAnsi="仿宋" w:eastAsia="仿宋" w:cs="仿宋"/>
          <w:sz w:val="32"/>
          <w:szCs w:val="32"/>
        </w:rPr>
        <w:t>支出</w:t>
      </w:r>
      <w:r>
        <w:rPr>
          <w:rFonts w:ascii="仿宋" w:hAnsi="仿宋" w:eastAsia="仿宋" w:cs="仿宋"/>
          <w:sz w:val="32"/>
          <w:szCs w:val="32"/>
        </w:rPr>
        <w:t>3.03</w:t>
      </w:r>
      <w:r>
        <w:rPr>
          <w:rFonts w:hint="eastAsia" w:ascii="仿宋" w:hAnsi="仿宋" w:eastAsia="仿宋" w:cs="仿宋"/>
          <w:sz w:val="32"/>
          <w:szCs w:val="32"/>
        </w:rPr>
        <w:t>万元，主要用于办公设备购置。对企事业单位的补贴210.00万元，主要为对茶企及优秀产茶乡镇的政策性补贴。</w:t>
      </w:r>
    </w:p>
    <w:p>
      <w:pPr>
        <w:numPr>
          <w:ilvl w:val="0"/>
          <w:numId w:val="3"/>
        </w:numPr>
        <w:ind w:firstLine="640" w:firstLineChars="200"/>
        <w:jc w:val="left"/>
        <w:rPr>
          <w:rFonts w:hint="eastAsia" w:ascii="黑体" w:hAnsi="黑体" w:eastAsia="黑体" w:cs="仿宋"/>
          <w:bCs/>
          <w:sz w:val="32"/>
          <w:szCs w:val="32"/>
        </w:rPr>
      </w:pPr>
      <w:r>
        <w:rPr>
          <w:rFonts w:hint="eastAsia" w:ascii="黑体" w:hAnsi="黑体" w:eastAsia="黑体" w:cs="仿宋"/>
          <w:bCs/>
          <w:sz w:val="32"/>
          <w:szCs w:val="32"/>
        </w:rPr>
        <w:t>一般公共预算财政拨款“三公”经费支出决算情况说明</w:t>
      </w:r>
    </w:p>
    <w:p>
      <w:pPr>
        <w:numPr>
          <w:ilvl w:val="0"/>
          <w:numId w:val="4"/>
        </w:numPr>
        <w:jc w:val="left"/>
        <w:rPr>
          <w:rFonts w:hint="eastAsia" w:ascii="黑体" w:hAnsi="黑体" w:eastAsia="黑体" w:cs="仿宋"/>
          <w:bCs/>
          <w:sz w:val="32"/>
          <w:szCs w:val="32"/>
        </w:rPr>
      </w:pPr>
      <w:r>
        <w:rPr>
          <w:rFonts w:hint="eastAsia" w:ascii="黑体" w:hAnsi="黑体" w:eastAsia="黑体" w:cs="仿宋"/>
          <w:bCs/>
          <w:sz w:val="32"/>
          <w:szCs w:val="32"/>
        </w:rPr>
        <w:t>“三公”经费财政拨款支出决算总体情况说明。</w:t>
      </w:r>
    </w:p>
    <w:p>
      <w:pPr>
        <w:ind w:firstLine="636"/>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年度“三公”经费财政拨款支出预算为5.73万元，支出决算为1.02万元，完成预算的17.80%。201</w:t>
      </w:r>
      <w:r>
        <w:rPr>
          <w:rFonts w:hint="eastAsia" w:ascii="仿宋" w:hAnsi="仿宋" w:eastAsia="仿宋" w:cs="仿宋"/>
          <w:sz w:val="32"/>
          <w:szCs w:val="32"/>
          <w:lang w:val="en-US" w:eastAsia="zh-CN"/>
        </w:rPr>
        <w:t>8</w:t>
      </w:r>
      <w:r>
        <w:rPr>
          <w:rFonts w:hint="eastAsia" w:ascii="仿宋" w:hAnsi="仿宋" w:eastAsia="仿宋" w:cs="仿宋"/>
          <w:sz w:val="32"/>
          <w:szCs w:val="32"/>
        </w:rPr>
        <w:t>年度“三公”经费支出决算数与预算数存在差异的主要原因是按照中央八项规定要求，节约开支。</w:t>
      </w:r>
    </w:p>
    <w:p>
      <w:pPr>
        <w:numPr>
          <w:ilvl w:val="0"/>
          <w:numId w:val="4"/>
        </w:numPr>
        <w:ind w:left="0" w:leftChars="0" w:firstLine="0" w:firstLineChars="0"/>
        <w:rPr>
          <w:rFonts w:hint="eastAsia" w:ascii="仿宋" w:hAnsi="仿宋" w:eastAsia="仿宋" w:cs="仿宋"/>
          <w:b/>
          <w:bCs/>
          <w:sz w:val="32"/>
          <w:szCs w:val="32"/>
        </w:rPr>
      </w:pPr>
      <w:r>
        <w:rPr>
          <w:rFonts w:hint="eastAsia" w:ascii="仿宋" w:hAnsi="仿宋" w:eastAsia="仿宋" w:cs="仿宋"/>
          <w:b/>
          <w:bCs/>
          <w:sz w:val="32"/>
          <w:szCs w:val="32"/>
        </w:rPr>
        <w:t>“三公”经费财政拨款支出决算具体情况说明。</w:t>
      </w:r>
    </w:p>
    <w:p>
      <w:pPr>
        <w:ind w:firstLine="636"/>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度“三公”经费财政拨款支出决算中，因公出国（境）费支出决算0万元，完成预算的0%，占0%；公务用车购置及运行费支出决算0万元，完成预算的0%，占0%；公务接待费支出决算1.02万元，完成预算的17.80%，占100%。具体情况如下：</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Times New Roman"/>
          <w:sz w:val="32"/>
          <w:szCs w:val="32"/>
        </w:rPr>
      </w:pPr>
      <w:r>
        <w:rPr>
          <w:rFonts w:hint="eastAsia" w:ascii="仿宋" w:hAnsi="仿宋" w:eastAsia="仿宋" w:cs="仿宋"/>
          <w:b/>
          <w:bCs/>
          <w:sz w:val="32"/>
          <w:szCs w:val="32"/>
        </w:rPr>
        <w:t>因公出国（境）费</w:t>
      </w:r>
      <w:r>
        <w:rPr>
          <w:rFonts w:hint="eastAsia" w:ascii="仿宋" w:hAnsi="仿宋" w:eastAsia="仿宋" w:cs="仿宋"/>
          <w:sz w:val="32"/>
          <w:szCs w:val="32"/>
        </w:rPr>
        <w:t>年初预算为0万元，支出决算为0万元，完成年初预算的0%。全年因公出国（境）团组0个，累计0人次。</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Times New Roman"/>
          <w:sz w:val="32"/>
          <w:szCs w:val="32"/>
        </w:rPr>
      </w:pPr>
      <w:r>
        <w:rPr>
          <w:rFonts w:hint="eastAsia" w:ascii="仿宋" w:hAnsi="仿宋" w:eastAsia="仿宋" w:cs="仿宋"/>
          <w:b/>
          <w:bCs/>
          <w:sz w:val="32"/>
          <w:szCs w:val="32"/>
        </w:rPr>
        <w:t>公务用车购置及运行费</w:t>
      </w:r>
      <w:r>
        <w:rPr>
          <w:rFonts w:hint="eastAsia" w:ascii="仿宋" w:hAnsi="仿宋" w:eastAsia="仿宋" w:cs="仿宋"/>
          <w:sz w:val="32"/>
          <w:szCs w:val="32"/>
        </w:rPr>
        <w:t>年初预算为4.71万元，支出决算为0万元，完成年初预算的0%。其中：</w:t>
      </w:r>
    </w:p>
    <w:p>
      <w:pPr>
        <w:kinsoku w:val="0"/>
        <w:overflowPunct w:val="0"/>
        <w:autoSpaceDE w:val="0"/>
        <w:autoSpaceDN w:val="0"/>
        <w:adjustRightInd w:val="0"/>
        <w:snapToGrid w:val="0"/>
        <w:spacing w:line="360" w:lineRule="auto"/>
        <w:ind w:firstLine="643" w:firstLineChars="200"/>
        <w:rPr>
          <w:rFonts w:hint="eastAsia" w:ascii="仿宋" w:hAnsi="仿宋" w:eastAsia="仿宋" w:cs="Times New Roman"/>
          <w:sz w:val="32"/>
          <w:szCs w:val="32"/>
          <w:lang w:eastAsia="zh-CN"/>
        </w:rPr>
      </w:pPr>
      <w:r>
        <w:rPr>
          <w:rFonts w:hint="eastAsia" w:ascii="仿宋" w:hAnsi="仿宋" w:eastAsia="仿宋" w:cs="仿宋"/>
          <w:b/>
          <w:bCs/>
          <w:sz w:val="32"/>
          <w:szCs w:val="32"/>
        </w:rPr>
        <w:t>公务用车购置支出</w:t>
      </w:r>
      <w:r>
        <w:rPr>
          <w:rFonts w:hint="eastAsia" w:ascii="仿宋" w:hAnsi="仿宋" w:eastAsia="仿宋" w:cs="仿宋"/>
          <w:sz w:val="32"/>
          <w:szCs w:val="32"/>
        </w:rPr>
        <w:t>为0万元，购置车辆0辆。</w:t>
      </w:r>
    </w:p>
    <w:p>
      <w:pPr>
        <w:kinsoku w:val="0"/>
        <w:overflowPunct w:val="0"/>
        <w:autoSpaceDE w:val="0"/>
        <w:autoSpaceDN w:val="0"/>
        <w:adjustRightInd w:val="0"/>
        <w:snapToGrid w:val="0"/>
        <w:spacing w:line="360" w:lineRule="auto"/>
        <w:ind w:firstLine="643" w:firstLineChars="200"/>
        <w:rPr>
          <w:rFonts w:ascii="仿宋" w:hAnsi="仿宋" w:eastAsia="仿宋" w:cs="Times New Roman"/>
          <w:sz w:val="32"/>
          <w:szCs w:val="32"/>
        </w:rPr>
      </w:pPr>
      <w:r>
        <w:rPr>
          <w:rFonts w:hint="eastAsia" w:ascii="仿宋" w:hAnsi="仿宋" w:eastAsia="仿宋" w:cs="仿宋"/>
          <w:b/>
          <w:bCs/>
          <w:sz w:val="32"/>
          <w:szCs w:val="32"/>
        </w:rPr>
        <w:t>公务用车运行支出</w:t>
      </w:r>
      <w:r>
        <w:rPr>
          <w:rFonts w:ascii="仿宋" w:hAnsi="仿宋" w:eastAsia="仿宋" w:cs="仿宋"/>
          <w:sz w:val="32"/>
          <w:szCs w:val="32"/>
        </w:rPr>
        <w:t>0</w:t>
      </w:r>
      <w:r>
        <w:rPr>
          <w:rFonts w:hint="eastAsia" w:ascii="仿宋" w:hAnsi="仿宋" w:eastAsia="仿宋" w:cs="仿宋"/>
          <w:sz w:val="32"/>
          <w:szCs w:val="32"/>
        </w:rPr>
        <w:t>万元。</w:t>
      </w:r>
      <w:r>
        <w:rPr>
          <w:rFonts w:ascii="仿宋" w:hAnsi="仿宋" w:eastAsia="仿宋" w:cs="仿宋"/>
          <w:sz w:val="32"/>
          <w:szCs w:val="32"/>
        </w:rPr>
        <w:t>2018</w:t>
      </w:r>
      <w:r>
        <w:rPr>
          <w:rFonts w:hint="eastAsia" w:ascii="仿宋" w:hAnsi="仿宋" w:eastAsia="仿宋" w:cs="仿宋"/>
          <w:sz w:val="32"/>
          <w:szCs w:val="32"/>
        </w:rPr>
        <w:t>年</w:t>
      </w:r>
      <w:r>
        <w:rPr>
          <w:rFonts w:ascii="仿宋" w:hAnsi="仿宋" w:eastAsia="仿宋" w:cs="仿宋"/>
          <w:sz w:val="32"/>
          <w:szCs w:val="32"/>
        </w:rPr>
        <w:t>11</w:t>
      </w:r>
      <w:r>
        <w:rPr>
          <w:rFonts w:hint="eastAsia" w:ascii="仿宋" w:hAnsi="仿宋" w:eastAsia="仿宋" w:cs="仿宋"/>
          <w:sz w:val="32"/>
          <w:szCs w:val="32"/>
        </w:rPr>
        <w:t>月，</w:t>
      </w:r>
      <w:r>
        <w:rPr>
          <w:rFonts w:hint="eastAsia" w:ascii="仿宋" w:hAnsi="仿宋" w:eastAsia="仿宋" w:cs="仿宋"/>
          <w:sz w:val="32"/>
          <w:szCs w:val="32"/>
          <w:lang w:eastAsia="zh-CN"/>
        </w:rPr>
        <w:t>信阳市浉河区茶产业发展服务局</w:t>
      </w:r>
      <w:r>
        <w:rPr>
          <w:rFonts w:hint="eastAsia" w:ascii="仿宋" w:hAnsi="仿宋" w:eastAsia="仿宋" w:cs="仿宋"/>
          <w:sz w:val="32"/>
          <w:szCs w:val="32"/>
        </w:rPr>
        <w:t>根据公车改革的规定取消一辆公务用车，年底无公务用车，公车保有量为</w:t>
      </w:r>
      <w:r>
        <w:rPr>
          <w:rFonts w:ascii="仿宋" w:hAnsi="仿宋" w:eastAsia="仿宋" w:cs="仿宋"/>
          <w:sz w:val="32"/>
          <w:szCs w:val="32"/>
        </w:rPr>
        <w:t>0</w:t>
      </w:r>
      <w:r>
        <w:rPr>
          <w:rFonts w:hint="eastAsia" w:ascii="仿宋" w:hAnsi="仿宋" w:eastAsia="仿宋" w:cs="仿宋"/>
          <w:sz w:val="32"/>
          <w:szCs w:val="32"/>
        </w:rPr>
        <w:t>。</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Times New Roman"/>
          <w:sz w:val="32"/>
          <w:szCs w:val="32"/>
        </w:rPr>
      </w:pPr>
      <w:r>
        <w:rPr>
          <w:rFonts w:hint="eastAsia" w:ascii="仿宋" w:hAnsi="仿宋" w:eastAsia="仿宋" w:cs="仿宋"/>
          <w:b/>
          <w:bCs/>
          <w:sz w:val="32"/>
          <w:szCs w:val="32"/>
        </w:rPr>
        <w:t>公务接待费</w:t>
      </w:r>
      <w:r>
        <w:rPr>
          <w:rFonts w:hint="eastAsia" w:ascii="仿宋" w:hAnsi="仿宋" w:eastAsia="仿宋" w:cs="仿宋"/>
          <w:sz w:val="32"/>
          <w:szCs w:val="32"/>
        </w:rPr>
        <w:t>年初预算为1.02万元，支出决算为1.02万元，完成年初预算的17.80%。其中：</w:t>
      </w:r>
    </w:p>
    <w:p>
      <w:pPr>
        <w:kinsoku w:val="0"/>
        <w:overflowPunct w:val="0"/>
        <w:autoSpaceDE w:val="0"/>
        <w:autoSpaceDN w:val="0"/>
        <w:adjustRightInd w:val="0"/>
        <w:snapToGrid w:val="0"/>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外宾接待支出为</w:t>
      </w:r>
      <w:r>
        <w:rPr>
          <w:rFonts w:ascii="仿宋" w:hAnsi="仿宋" w:eastAsia="仿宋" w:cs="仿宋"/>
          <w:sz w:val="32"/>
          <w:szCs w:val="32"/>
        </w:rPr>
        <w:t>0</w:t>
      </w:r>
      <w:r>
        <w:rPr>
          <w:rFonts w:hint="eastAsia" w:ascii="仿宋" w:hAnsi="仿宋" w:eastAsia="仿宋" w:cs="仿宋"/>
          <w:sz w:val="32"/>
          <w:szCs w:val="32"/>
        </w:rPr>
        <w:t>万元。</w:t>
      </w:r>
      <w:r>
        <w:rPr>
          <w:rFonts w:ascii="仿宋" w:hAnsi="仿宋" w:eastAsia="仿宋" w:cs="仿宋"/>
          <w:sz w:val="32"/>
          <w:szCs w:val="32"/>
        </w:rPr>
        <w:t>2018</w:t>
      </w:r>
      <w:r>
        <w:rPr>
          <w:rFonts w:hint="eastAsia" w:ascii="仿宋" w:hAnsi="仿宋" w:eastAsia="仿宋" w:cs="仿宋"/>
          <w:sz w:val="32"/>
          <w:szCs w:val="32"/>
        </w:rPr>
        <w:t>年度共接待外宾来访团组批次</w:t>
      </w:r>
      <w:r>
        <w:rPr>
          <w:rFonts w:ascii="仿宋" w:hAnsi="仿宋" w:eastAsia="仿宋" w:cs="仿宋"/>
          <w:sz w:val="32"/>
          <w:szCs w:val="32"/>
        </w:rPr>
        <w:t>0</w:t>
      </w:r>
      <w:r>
        <w:rPr>
          <w:rFonts w:hint="eastAsia" w:ascii="仿宋" w:hAnsi="仿宋" w:eastAsia="仿宋" w:cs="仿宋"/>
          <w:sz w:val="32"/>
          <w:szCs w:val="32"/>
        </w:rPr>
        <w:t>个，接待人次</w:t>
      </w:r>
      <w:r>
        <w:rPr>
          <w:rFonts w:ascii="仿宋" w:hAnsi="仿宋" w:eastAsia="仿宋" w:cs="仿宋"/>
          <w:sz w:val="32"/>
          <w:szCs w:val="32"/>
        </w:rPr>
        <w:t>0</w:t>
      </w:r>
      <w:r>
        <w:rPr>
          <w:rFonts w:hint="eastAsia" w:ascii="仿宋" w:hAnsi="仿宋" w:eastAsia="仿宋" w:cs="仿宋"/>
          <w:sz w:val="32"/>
          <w:szCs w:val="32"/>
        </w:rPr>
        <w:t>人次。</w:t>
      </w:r>
    </w:p>
    <w:p>
      <w:pPr>
        <w:kinsoku w:val="0"/>
        <w:overflowPunct w:val="0"/>
        <w:autoSpaceDE w:val="0"/>
        <w:autoSpaceDN w:val="0"/>
        <w:adjustRightInd w:val="0"/>
        <w:snapToGrid w:val="0"/>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其他国内公务接待支出为</w:t>
      </w:r>
      <w:r>
        <w:rPr>
          <w:rFonts w:ascii="仿宋" w:hAnsi="仿宋" w:eastAsia="仿宋" w:cs="仿宋"/>
          <w:sz w:val="32"/>
          <w:szCs w:val="32"/>
        </w:rPr>
        <w:t>1.02</w:t>
      </w:r>
      <w:r>
        <w:rPr>
          <w:rFonts w:hint="eastAsia" w:ascii="仿宋" w:hAnsi="仿宋" w:eastAsia="仿宋" w:cs="仿宋"/>
          <w:sz w:val="32"/>
          <w:szCs w:val="32"/>
        </w:rPr>
        <w:t>万元。主要用于外来单位考察学习接待、茶事活动的来宾接待。</w:t>
      </w:r>
      <w:r>
        <w:rPr>
          <w:rFonts w:ascii="仿宋" w:hAnsi="仿宋" w:eastAsia="仿宋" w:cs="仿宋"/>
          <w:sz w:val="32"/>
          <w:szCs w:val="32"/>
        </w:rPr>
        <w:t>2018</w:t>
      </w:r>
      <w:r>
        <w:rPr>
          <w:rFonts w:hint="eastAsia" w:ascii="仿宋" w:hAnsi="仿宋" w:eastAsia="仿宋" w:cs="仿宋"/>
          <w:sz w:val="32"/>
          <w:szCs w:val="32"/>
        </w:rPr>
        <w:t>年度共接待国内来访团组批次</w:t>
      </w:r>
      <w:r>
        <w:rPr>
          <w:rFonts w:ascii="仿宋" w:hAnsi="仿宋" w:eastAsia="仿宋" w:cs="仿宋"/>
          <w:sz w:val="32"/>
          <w:szCs w:val="32"/>
        </w:rPr>
        <w:t>8</w:t>
      </w:r>
      <w:r>
        <w:rPr>
          <w:rFonts w:hint="eastAsia" w:ascii="仿宋" w:hAnsi="仿宋" w:eastAsia="仿宋" w:cs="仿宋"/>
          <w:sz w:val="32"/>
          <w:szCs w:val="32"/>
        </w:rPr>
        <w:t>个，接待人次</w:t>
      </w:r>
      <w:r>
        <w:rPr>
          <w:rFonts w:ascii="仿宋" w:hAnsi="仿宋" w:eastAsia="仿宋" w:cs="仿宋"/>
          <w:sz w:val="32"/>
          <w:szCs w:val="32"/>
        </w:rPr>
        <w:t>60</w:t>
      </w:r>
      <w:r>
        <w:rPr>
          <w:rFonts w:hint="eastAsia" w:ascii="仿宋" w:hAnsi="仿宋" w:eastAsia="仿宋" w:cs="仿宋"/>
          <w:sz w:val="32"/>
          <w:szCs w:val="32"/>
        </w:rPr>
        <w:t>余人次，举办一次茶事活动，接待约</w:t>
      </w:r>
      <w:r>
        <w:rPr>
          <w:rFonts w:ascii="仿宋" w:hAnsi="仿宋" w:eastAsia="仿宋" w:cs="仿宋"/>
          <w:sz w:val="32"/>
          <w:szCs w:val="32"/>
        </w:rPr>
        <w:t>100</w:t>
      </w:r>
      <w:r>
        <w:rPr>
          <w:rFonts w:hint="eastAsia" w:ascii="仿宋" w:hAnsi="仿宋" w:eastAsia="仿宋" w:cs="仿宋"/>
          <w:sz w:val="32"/>
          <w:szCs w:val="32"/>
        </w:rPr>
        <w:t>人次。</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ascii="仿宋" w:hAnsi="仿宋" w:eastAsia="仿宋" w:cs="仿宋"/>
          <w:sz w:val="32"/>
          <w:szCs w:val="32"/>
        </w:rPr>
        <w:t>2018</w:t>
      </w:r>
      <w:r>
        <w:rPr>
          <w:rFonts w:hint="eastAsia" w:ascii="仿宋" w:hAnsi="仿宋" w:eastAsia="仿宋" w:cs="仿宋"/>
          <w:sz w:val="32"/>
          <w:szCs w:val="32"/>
        </w:rPr>
        <w:t>年度“三公”经费财政拨款支出决算数比</w:t>
      </w:r>
      <w:r>
        <w:rPr>
          <w:rFonts w:ascii="仿宋" w:hAnsi="仿宋" w:eastAsia="仿宋" w:cs="仿宋"/>
          <w:sz w:val="32"/>
          <w:szCs w:val="32"/>
        </w:rPr>
        <w:t>2017</w:t>
      </w:r>
      <w:r>
        <w:rPr>
          <w:rFonts w:hint="eastAsia" w:ascii="仿宋" w:hAnsi="仿宋" w:eastAsia="仿宋" w:cs="仿宋"/>
          <w:sz w:val="32"/>
          <w:szCs w:val="32"/>
        </w:rPr>
        <w:t>年决算减少</w:t>
      </w:r>
      <w:r>
        <w:rPr>
          <w:rFonts w:ascii="仿宋" w:hAnsi="仿宋" w:eastAsia="仿宋" w:cs="仿宋"/>
          <w:sz w:val="32"/>
          <w:szCs w:val="32"/>
        </w:rPr>
        <w:t>1.73</w:t>
      </w:r>
      <w:r>
        <w:rPr>
          <w:rFonts w:hint="eastAsia" w:ascii="仿宋" w:hAnsi="仿宋" w:eastAsia="仿宋" w:cs="仿宋"/>
          <w:sz w:val="32"/>
          <w:szCs w:val="32"/>
        </w:rPr>
        <w:t>万元，减少</w:t>
      </w:r>
      <w:r>
        <w:rPr>
          <w:rFonts w:ascii="仿宋" w:hAnsi="仿宋" w:eastAsia="仿宋" w:cs="仿宋"/>
          <w:sz w:val="32"/>
          <w:szCs w:val="32"/>
        </w:rPr>
        <w:t>23.19%</w:t>
      </w:r>
      <w:r>
        <w:rPr>
          <w:rFonts w:hint="eastAsia" w:ascii="仿宋" w:hAnsi="仿宋" w:eastAsia="仿宋" w:cs="仿宋"/>
          <w:sz w:val="32"/>
          <w:szCs w:val="32"/>
        </w:rPr>
        <w:t>，其中：因公出国（境）费支出决算增加</w:t>
      </w:r>
      <w:r>
        <w:rPr>
          <w:rFonts w:ascii="仿宋" w:hAnsi="仿宋" w:eastAsia="仿宋" w:cs="仿宋"/>
          <w:sz w:val="32"/>
          <w:szCs w:val="32"/>
        </w:rPr>
        <w:t>0</w:t>
      </w:r>
      <w:r>
        <w:rPr>
          <w:rFonts w:hint="eastAsia" w:ascii="仿宋" w:hAnsi="仿宋" w:eastAsia="仿宋" w:cs="仿宋"/>
          <w:sz w:val="32"/>
          <w:szCs w:val="32"/>
        </w:rPr>
        <w:t>万元，增加</w:t>
      </w:r>
      <w:r>
        <w:rPr>
          <w:rFonts w:ascii="仿宋" w:hAnsi="仿宋" w:eastAsia="仿宋" w:cs="仿宋"/>
          <w:sz w:val="32"/>
          <w:szCs w:val="32"/>
        </w:rPr>
        <w:t>0%</w:t>
      </w:r>
      <w:r>
        <w:rPr>
          <w:rFonts w:hint="eastAsia" w:ascii="仿宋" w:hAnsi="仿宋" w:eastAsia="仿宋" w:cs="仿宋"/>
          <w:sz w:val="32"/>
          <w:szCs w:val="32"/>
        </w:rPr>
        <w:t>；公务用车购置及运行费支出决算减少</w:t>
      </w:r>
      <w:r>
        <w:rPr>
          <w:rFonts w:ascii="仿宋" w:hAnsi="仿宋" w:eastAsia="仿宋" w:cs="仿宋"/>
          <w:sz w:val="32"/>
          <w:szCs w:val="32"/>
        </w:rPr>
        <w:t>0.65</w:t>
      </w:r>
      <w:r>
        <w:rPr>
          <w:rFonts w:hint="eastAsia" w:ascii="仿宋" w:hAnsi="仿宋" w:eastAsia="仿宋" w:cs="仿宋"/>
          <w:sz w:val="32"/>
          <w:szCs w:val="32"/>
        </w:rPr>
        <w:t>万元，减少</w:t>
      </w:r>
      <w:r>
        <w:rPr>
          <w:rFonts w:ascii="仿宋" w:hAnsi="仿宋" w:eastAsia="仿宋" w:cs="仿宋"/>
          <w:sz w:val="32"/>
          <w:szCs w:val="32"/>
        </w:rPr>
        <w:t>12.13%</w:t>
      </w:r>
      <w:r>
        <w:rPr>
          <w:rFonts w:hint="eastAsia" w:ascii="仿宋" w:hAnsi="仿宋" w:eastAsia="仿宋" w:cs="仿宋"/>
          <w:sz w:val="32"/>
          <w:szCs w:val="32"/>
        </w:rPr>
        <w:t>；公务接待费支出决算减少</w:t>
      </w:r>
      <w:r>
        <w:rPr>
          <w:rFonts w:ascii="仿宋" w:hAnsi="仿宋" w:eastAsia="仿宋" w:cs="仿宋"/>
          <w:sz w:val="32"/>
          <w:szCs w:val="32"/>
        </w:rPr>
        <w:t>1.08</w:t>
      </w:r>
      <w:r>
        <w:rPr>
          <w:rFonts w:hint="eastAsia" w:ascii="仿宋" w:hAnsi="仿宋" w:eastAsia="仿宋" w:cs="仿宋"/>
          <w:sz w:val="32"/>
          <w:szCs w:val="32"/>
        </w:rPr>
        <w:t>万元，减少</w:t>
      </w:r>
      <w:r>
        <w:rPr>
          <w:rFonts w:ascii="仿宋" w:hAnsi="仿宋" w:eastAsia="仿宋" w:cs="仿宋"/>
          <w:sz w:val="32"/>
          <w:szCs w:val="32"/>
        </w:rPr>
        <w:t>51.43%</w:t>
      </w:r>
      <w:r>
        <w:rPr>
          <w:rFonts w:hint="eastAsia" w:ascii="仿宋" w:hAnsi="仿宋" w:eastAsia="仿宋" w:cs="仿宋"/>
          <w:sz w:val="32"/>
          <w:szCs w:val="32"/>
        </w:rPr>
        <w:t>。</w:t>
      </w:r>
      <w:r>
        <w:rPr>
          <w:rFonts w:ascii="仿宋" w:hAnsi="仿宋" w:eastAsia="仿宋" w:cs="仿宋"/>
          <w:sz w:val="32"/>
          <w:szCs w:val="32"/>
        </w:rPr>
        <w:t xml:space="preserve"> </w:t>
      </w:r>
      <w:r>
        <w:rPr>
          <w:rFonts w:hint="eastAsia" w:ascii="仿宋" w:hAnsi="仿宋" w:eastAsia="仿宋" w:cs="仿宋"/>
          <w:sz w:val="32"/>
          <w:szCs w:val="32"/>
        </w:rPr>
        <w:t>减少的主要原因是</w:t>
      </w:r>
      <w:r>
        <w:rPr>
          <w:rFonts w:ascii="仿宋" w:hAnsi="仿宋" w:eastAsia="仿宋" w:cs="仿宋"/>
          <w:sz w:val="32"/>
          <w:szCs w:val="32"/>
        </w:rPr>
        <w:t>2018</w:t>
      </w:r>
      <w:r>
        <w:rPr>
          <w:rFonts w:hint="eastAsia" w:ascii="仿宋" w:hAnsi="仿宋" w:eastAsia="仿宋" w:cs="仿宋"/>
          <w:sz w:val="32"/>
          <w:szCs w:val="32"/>
        </w:rPr>
        <w:t>年我局按照中央国务院八项规定和省委省政府厉行节约的相关规定要求，严格管控“三公”经费支出，进一步压缩公务接待开支。</w:t>
      </w:r>
    </w:p>
    <w:p>
      <w:pPr>
        <w:ind w:firstLine="640" w:firstLineChars="200"/>
        <w:jc w:val="left"/>
        <w:rPr>
          <w:rFonts w:ascii="黑体" w:hAnsi="黑体" w:eastAsia="黑体" w:cs="仿宋"/>
          <w:bCs/>
          <w:sz w:val="32"/>
          <w:szCs w:val="32"/>
        </w:rPr>
      </w:pPr>
      <w:r>
        <w:rPr>
          <w:rFonts w:hint="eastAsia" w:ascii="黑体" w:hAnsi="黑体" w:eastAsia="黑体" w:cs="仿宋"/>
          <w:bCs/>
          <w:sz w:val="32"/>
          <w:szCs w:val="32"/>
        </w:rPr>
        <w:t>八、预算绩效情况说明</w:t>
      </w:r>
    </w:p>
    <w:p>
      <w:pPr>
        <w:snapToGrid w:val="0"/>
        <w:spacing w:line="600" w:lineRule="exact"/>
        <w:ind w:firstLine="640" w:firstLineChars="200"/>
        <w:rPr>
          <w:rFonts w:ascii="仿宋_GB2312" w:hAnsi="仿宋" w:eastAsia="仿宋_GB2312" w:cs="Times New Roman"/>
          <w:sz w:val="30"/>
          <w:szCs w:val="30"/>
        </w:rPr>
      </w:pPr>
      <w:r>
        <w:rPr>
          <w:rFonts w:hint="eastAsia" w:ascii="仿宋" w:hAnsi="仿宋" w:eastAsia="仿宋" w:cs="仿宋"/>
          <w:sz w:val="32"/>
          <w:szCs w:val="32"/>
        </w:rPr>
        <w:t>根据财政预算管理要求，</w:t>
      </w:r>
      <w:r>
        <w:rPr>
          <w:rFonts w:hint="eastAsia" w:ascii="仿宋" w:hAnsi="仿宋" w:eastAsia="仿宋" w:cs="仿宋"/>
          <w:sz w:val="32"/>
          <w:szCs w:val="32"/>
          <w:lang w:eastAsia="zh-CN"/>
        </w:rPr>
        <w:t>信阳市浉河区茶产业发展服务局</w:t>
      </w:r>
      <w:r>
        <w:rPr>
          <w:rFonts w:hint="eastAsia" w:ascii="仿宋" w:hAnsi="仿宋" w:eastAsia="仿宋" w:cs="仿宋"/>
          <w:sz w:val="32"/>
          <w:szCs w:val="32"/>
        </w:rPr>
        <w:t>对</w:t>
      </w:r>
      <w:r>
        <w:rPr>
          <w:rFonts w:ascii="仿宋" w:hAnsi="仿宋" w:eastAsia="仿宋" w:cs="仿宋"/>
          <w:sz w:val="32"/>
          <w:szCs w:val="32"/>
        </w:rPr>
        <w:t>2018</w:t>
      </w:r>
      <w:r>
        <w:rPr>
          <w:rFonts w:hint="eastAsia" w:ascii="仿宋" w:hAnsi="仿宋" w:eastAsia="仿宋" w:cs="仿宋"/>
          <w:sz w:val="32"/>
          <w:szCs w:val="32"/>
        </w:rPr>
        <w:t>年度一般公共预算支出全面开展绩效自评，自评覆盖率达到</w:t>
      </w:r>
      <w:r>
        <w:rPr>
          <w:rFonts w:ascii="仿宋" w:hAnsi="仿宋" w:eastAsia="仿宋" w:cs="仿宋"/>
          <w:sz w:val="32"/>
          <w:szCs w:val="32"/>
        </w:rPr>
        <w:t>100%</w:t>
      </w:r>
      <w:r>
        <w:rPr>
          <w:rFonts w:hint="eastAsia" w:ascii="仿宋" w:hAnsi="仿宋" w:eastAsia="仿宋" w:cs="仿宋"/>
          <w:sz w:val="32"/>
          <w:szCs w:val="32"/>
        </w:rPr>
        <w:t>。</w:t>
      </w:r>
    </w:p>
    <w:p>
      <w:pPr>
        <w:ind w:firstLine="643" w:firstLineChars="200"/>
        <w:rPr>
          <w:rFonts w:eastAsia="仿宋_GB2312"/>
          <w:color w:val="000000"/>
          <w:sz w:val="32"/>
          <w:szCs w:val="32"/>
        </w:rPr>
      </w:pPr>
      <w:r>
        <w:rPr>
          <w:rFonts w:hint="eastAsia" w:ascii="楷体_GB2312" w:eastAsia="楷体_GB2312" w:cs="楷体_GB2312"/>
          <w:b/>
          <w:bCs/>
          <w:sz w:val="32"/>
          <w:szCs w:val="32"/>
        </w:rPr>
        <w:t>一是</w:t>
      </w:r>
      <w:r>
        <w:rPr>
          <w:rFonts w:hint="eastAsia" w:ascii="楷体_GB2312" w:eastAsia="楷体_GB2312"/>
          <w:b/>
          <w:color w:val="000000"/>
          <w:sz w:val="32"/>
          <w:szCs w:val="32"/>
        </w:rPr>
        <w:t>助力脱贫攻坚，促进带富增收。</w:t>
      </w:r>
      <w:r>
        <w:rPr>
          <w:rFonts w:hint="eastAsia" w:eastAsia="仿宋_GB2312"/>
          <w:color w:val="000000"/>
          <w:sz w:val="32"/>
          <w:szCs w:val="32"/>
        </w:rPr>
        <w:t>结合我区茶产业发展需求，出台了以奖代补政策，强力推进茶叶标准化初制加工厂建设，开工新建、改造茶叶标准化初制加工厂</w:t>
      </w:r>
      <w:r>
        <w:rPr>
          <w:rFonts w:eastAsia="仿宋_GB2312"/>
          <w:color w:val="000000"/>
          <w:sz w:val="32"/>
          <w:szCs w:val="32"/>
        </w:rPr>
        <w:t>72</w:t>
      </w:r>
      <w:r>
        <w:rPr>
          <w:rFonts w:hint="eastAsia" w:eastAsia="仿宋_GB2312"/>
          <w:color w:val="000000"/>
          <w:sz w:val="32"/>
          <w:szCs w:val="32"/>
        </w:rPr>
        <w:t>家，扩大夏秋茶生产，落实产业带贫措施，带动</w:t>
      </w:r>
      <w:r>
        <w:rPr>
          <w:rFonts w:eastAsia="仿宋_GB2312"/>
          <w:color w:val="000000"/>
          <w:sz w:val="32"/>
          <w:szCs w:val="32"/>
        </w:rPr>
        <w:t>4118</w:t>
      </w:r>
      <w:r>
        <w:rPr>
          <w:rFonts w:hint="eastAsia" w:eastAsia="仿宋_GB2312"/>
          <w:color w:val="000000"/>
          <w:sz w:val="32"/>
          <w:szCs w:val="32"/>
        </w:rPr>
        <w:t>户贫困户增收。以“生产扶贫、茶园扶贫、就业扶贫、技术扶贫”四种方式带富脱贫，稳定征收。对于种植茶叶的贫困户，合作社以高于市场</w:t>
      </w:r>
      <w:r>
        <w:rPr>
          <w:rFonts w:eastAsia="仿宋_GB2312"/>
          <w:color w:val="000000"/>
          <w:sz w:val="32"/>
          <w:szCs w:val="32"/>
        </w:rPr>
        <w:t>10%</w:t>
      </w:r>
      <w:r>
        <w:rPr>
          <w:rFonts w:hint="eastAsia" w:eastAsia="仿宋_GB2312"/>
          <w:color w:val="000000"/>
          <w:sz w:val="32"/>
          <w:szCs w:val="32"/>
        </w:rPr>
        <w:t>的价格购买贫困户的鲜叶。同时，加强合作社与贫困户的利益连接，引导、激励贫困户学习茶叶种植、加工技术，自力更生，实干增收，长久脱贫。</w:t>
      </w:r>
    </w:p>
    <w:p>
      <w:pPr>
        <w:ind w:firstLine="643" w:firstLineChars="200"/>
        <w:rPr>
          <w:rFonts w:ascii="仿宋_GB2312" w:hAnsi="仿宋_GB2312" w:eastAsia="仿宋_GB2312" w:cs="仿宋_GB2312"/>
          <w:color w:val="000000"/>
          <w:sz w:val="32"/>
          <w:szCs w:val="32"/>
        </w:rPr>
      </w:pPr>
      <w:r>
        <w:rPr>
          <w:rFonts w:hint="eastAsia" w:ascii="楷体_GB2312" w:eastAsia="楷体_GB2312" w:cs="楷体_GB2312"/>
          <w:b/>
          <w:bCs/>
          <w:sz w:val="32"/>
          <w:szCs w:val="32"/>
        </w:rPr>
        <w:t>二是</w:t>
      </w:r>
      <w:r>
        <w:rPr>
          <w:rFonts w:hint="eastAsia" w:ascii="楷体_GB2312" w:eastAsia="楷体_GB2312"/>
          <w:b/>
          <w:color w:val="000000"/>
          <w:sz w:val="32"/>
          <w:szCs w:val="32"/>
        </w:rPr>
        <w:t>丰富茶事活动，倡导全民共饮。</w:t>
      </w:r>
      <w:r>
        <w:rPr>
          <w:rFonts w:hint="eastAsia" w:ascii="仿宋_GB2312" w:hAnsi="仿宋_GB2312" w:eastAsia="仿宋_GB2312" w:cs="仿宋_GB2312"/>
          <w:color w:val="000000"/>
          <w:sz w:val="32"/>
          <w:szCs w:val="32"/>
        </w:rPr>
        <w:t>举办</w:t>
      </w:r>
      <w:r>
        <w:rPr>
          <w:rFonts w:hint="eastAsia" w:ascii="宋体" w:hAnsi="宋体" w:cs="宋体"/>
          <w:color w:val="000000"/>
          <w:sz w:val="32"/>
          <w:szCs w:val="32"/>
        </w:rPr>
        <w:t>浉</w:t>
      </w:r>
      <w:r>
        <w:rPr>
          <w:rFonts w:hint="eastAsia" w:ascii="仿宋_GB2312" w:hAnsi="仿宋_GB2312" w:eastAsia="仿宋_GB2312" w:cs="仿宋_GB2312"/>
          <w:color w:val="000000"/>
          <w:sz w:val="32"/>
          <w:szCs w:val="32"/>
        </w:rPr>
        <w:t>河区全民饮茶日活动，组织区内</w:t>
      </w:r>
      <w:r>
        <w:rPr>
          <w:rFonts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rPr>
        <w:t>家茶叶企业布置品饮茶台，邀请广大市民现场品鉴；承办信阳毛尖茶传统手工炒制大赛，由</w:t>
      </w: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个产茶县区组成的</w:t>
      </w: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个代表队同台竞技，比拼手上功夫；认真组织第</w:t>
      </w:r>
      <w:r>
        <w:rPr>
          <w:rFonts w:ascii="仿宋_GB2312" w:hAnsi="仿宋_GB2312" w:eastAsia="仿宋_GB2312" w:cs="仿宋_GB2312"/>
          <w:color w:val="000000"/>
          <w:sz w:val="32"/>
          <w:szCs w:val="32"/>
        </w:rPr>
        <w:t>26</w:t>
      </w:r>
      <w:r>
        <w:rPr>
          <w:rFonts w:hint="eastAsia" w:ascii="仿宋_GB2312" w:hAnsi="仿宋_GB2312" w:eastAsia="仿宋_GB2312" w:cs="仿宋_GB2312"/>
          <w:color w:val="000000"/>
          <w:sz w:val="32"/>
          <w:szCs w:val="32"/>
        </w:rPr>
        <w:t>届信阳茶文化节茶博会展，组织区内</w:t>
      </w: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家茶叶企业布展，体现了</w:t>
      </w:r>
      <w:r>
        <w:rPr>
          <w:rFonts w:hint="eastAsia" w:ascii="宋体" w:hAnsi="宋体" w:cs="宋体"/>
          <w:color w:val="000000"/>
          <w:sz w:val="32"/>
          <w:szCs w:val="32"/>
        </w:rPr>
        <w:t>浉</w:t>
      </w:r>
      <w:r>
        <w:rPr>
          <w:rFonts w:hint="eastAsia" w:ascii="仿宋_GB2312" w:hAnsi="仿宋_GB2312" w:eastAsia="仿宋_GB2312" w:cs="仿宋_GB2312"/>
          <w:color w:val="000000"/>
          <w:sz w:val="32"/>
          <w:szCs w:val="32"/>
        </w:rPr>
        <w:t>河特色，展示了</w:t>
      </w:r>
      <w:r>
        <w:rPr>
          <w:rFonts w:hint="eastAsia" w:ascii="宋体" w:hAnsi="宋体" w:cs="宋体"/>
          <w:color w:val="000000"/>
          <w:sz w:val="32"/>
          <w:szCs w:val="32"/>
        </w:rPr>
        <w:t>浉</w:t>
      </w:r>
      <w:r>
        <w:rPr>
          <w:rFonts w:hint="eastAsia" w:ascii="仿宋_GB2312" w:hAnsi="仿宋_GB2312" w:eastAsia="仿宋_GB2312" w:cs="仿宋_GB2312"/>
          <w:color w:val="000000"/>
          <w:sz w:val="32"/>
          <w:szCs w:val="32"/>
        </w:rPr>
        <w:t>河魅力和新成就。</w:t>
      </w:r>
      <w:r>
        <w:rPr>
          <w:rFonts w:hint="eastAsia" w:ascii="宋体" w:hAnsi="宋体" w:eastAsia="仿宋_GB2312" w:cs="宋体"/>
          <w:color w:val="000000"/>
          <w:sz w:val="32"/>
          <w:szCs w:val="32"/>
          <w:lang w:eastAsia="zh-CN"/>
        </w:rPr>
        <w:t>信阳市浉河区茶产业发展服务局</w:t>
      </w:r>
      <w:r>
        <w:rPr>
          <w:rFonts w:hint="eastAsia" w:ascii="仿宋_GB2312" w:hAnsi="仿宋_GB2312" w:eastAsia="仿宋_GB2312" w:cs="仿宋_GB2312"/>
          <w:color w:val="000000"/>
          <w:sz w:val="32"/>
          <w:szCs w:val="32"/>
        </w:rPr>
        <w:t>被信阳市人民政府授予“第</w:t>
      </w:r>
      <w:r>
        <w:rPr>
          <w:rFonts w:ascii="仿宋_GB2312" w:hAnsi="仿宋_GB2312" w:eastAsia="仿宋_GB2312" w:cs="仿宋_GB2312"/>
          <w:color w:val="000000"/>
          <w:sz w:val="32"/>
          <w:szCs w:val="32"/>
        </w:rPr>
        <w:t>26</w:t>
      </w:r>
      <w:r>
        <w:rPr>
          <w:rFonts w:hint="eastAsia" w:ascii="仿宋_GB2312" w:hAnsi="仿宋_GB2312" w:eastAsia="仿宋_GB2312" w:cs="仿宋_GB2312"/>
          <w:color w:val="000000"/>
          <w:sz w:val="32"/>
          <w:szCs w:val="32"/>
        </w:rPr>
        <w:t>届茶文化节筹备工作优秀单位”。</w:t>
      </w:r>
    </w:p>
    <w:p>
      <w:pPr>
        <w:ind w:firstLine="643" w:firstLineChars="200"/>
        <w:rPr>
          <w:rFonts w:eastAsia="仿宋_GB2312"/>
          <w:sz w:val="32"/>
          <w:szCs w:val="32"/>
        </w:rPr>
      </w:pPr>
      <w:r>
        <w:rPr>
          <w:rFonts w:hint="eastAsia" w:ascii="仿宋_GB2312" w:hAnsi="仿宋" w:eastAsia="仿宋_GB2312" w:cs="仿宋_GB2312"/>
          <w:b/>
          <w:bCs/>
          <w:sz w:val="32"/>
          <w:szCs w:val="32"/>
        </w:rPr>
        <w:t>四是</w:t>
      </w:r>
      <w:r>
        <w:rPr>
          <w:rFonts w:hint="eastAsia" w:ascii="楷体_GB2312" w:eastAsia="楷体_GB2312"/>
          <w:b/>
          <w:color w:val="000000"/>
          <w:sz w:val="32"/>
          <w:szCs w:val="32"/>
        </w:rPr>
        <w:t>延伸产业链条，着力融合发展。</w:t>
      </w:r>
      <w:r>
        <w:rPr>
          <w:rFonts w:hint="eastAsia" w:eastAsia="仿宋_GB2312"/>
          <w:sz w:val="32"/>
          <w:szCs w:val="32"/>
        </w:rPr>
        <w:t>采取以奖代补政策鼓励吸纳社会资金投入，兴建十大茶坊、茶博物馆、茶叶标准化初制加工厂，着力打造百公里茶园旅游观光带，形成茶特色旅游项目，吸引游客前来采茶、品茶、喝茶、吃茶、用茶、购茶。引导农民从单纯茶叶采摘、加工转向茶叶观赏休闲、旅游服务，带动茶农扩大就业。与全国供销合作总社杭州茶叶研究院、信阳师院生命科学学院建立合作关系，开展监控、培训、服务，在</w:t>
      </w:r>
      <w:r>
        <w:rPr>
          <w:rFonts w:eastAsia="仿宋_GB2312"/>
          <w:sz w:val="32"/>
          <w:szCs w:val="32"/>
        </w:rPr>
        <w:t>10</w:t>
      </w:r>
      <w:r>
        <w:rPr>
          <w:rFonts w:hint="eastAsia" w:eastAsia="仿宋_GB2312"/>
          <w:sz w:val="32"/>
          <w:szCs w:val="32"/>
        </w:rPr>
        <w:t>多家茶企业建立高校实训基地，开展校企合作。</w:t>
      </w:r>
      <w:r>
        <w:rPr>
          <w:rFonts w:hint="eastAsia" w:ascii="仿宋_GB2312" w:eastAsia="仿宋_GB2312"/>
          <w:sz w:val="32"/>
          <w:szCs w:val="32"/>
        </w:rPr>
        <w:t>茶叶电子商务我区茶叶销售开辟了新的发展途径，文新、豫信、毛尖茶网线上销售蓬勃发展。</w:t>
      </w:r>
      <w:r>
        <w:rPr>
          <w:rFonts w:hint="eastAsia" w:eastAsia="仿宋_GB2312"/>
          <w:sz w:val="32"/>
          <w:szCs w:val="32"/>
        </w:rPr>
        <w:t>积极开发茶机械化、茶包装、茶用具、茶基水等茶行业配套产业，逐渐形成全链条、全循环趋势。</w:t>
      </w:r>
    </w:p>
    <w:p>
      <w:pPr>
        <w:ind w:firstLine="640" w:firstLineChars="200"/>
        <w:jc w:val="left"/>
        <w:rPr>
          <w:rFonts w:ascii="黑体" w:hAnsi="黑体" w:eastAsia="黑体" w:cs="仿宋"/>
          <w:bCs/>
          <w:sz w:val="32"/>
          <w:szCs w:val="32"/>
        </w:rPr>
      </w:pPr>
      <w:r>
        <w:rPr>
          <w:rFonts w:hint="eastAsia" w:ascii="黑体" w:hAnsi="黑体" w:eastAsia="黑体" w:cs="仿宋"/>
          <w:bCs/>
          <w:sz w:val="32"/>
          <w:szCs w:val="32"/>
        </w:rPr>
        <w:t>九、政府性基金预算财政拨款收入支出决算情况说明</w:t>
      </w:r>
    </w:p>
    <w:p>
      <w:pPr>
        <w:kinsoku w:val="0"/>
        <w:overflowPunct w:val="0"/>
        <w:autoSpaceDE w:val="0"/>
        <w:autoSpaceDN w:val="0"/>
        <w:adjustRightInd w:val="0"/>
        <w:snapToGrid w:val="0"/>
        <w:spacing w:line="360" w:lineRule="auto"/>
        <w:ind w:firstLine="640" w:firstLineChars="200"/>
        <w:rPr>
          <w:rFonts w:ascii="仿宋" w:hAnsi="仿宋" w:eastAsia="仿宋" w:cs="Times New Roman"/>
          <w:sz w:val="32"/>
          <w:szCs w:val="32"/>
        </w:rPr>
      </w:pPr>
      <w:r>
        <w:rPr>
          <w:rFonts w:ascii="仿宋" w:hAnsi="仿宋" w:eastAsia="仿宋" w:cs="仿宋"/>
          <w:sz w:val="32"/>
          <w:szCs w:val="32"/>
        </w:rPr>
        <w:t>2018</w:t>
      </w:r>
      <w:r>
        <w:rPr>
          <w:rFonts w:hint="eastAsia" w:ascii="仿宋" w:hAnsi="仿宋" w:eastAsia="仿宋" w:cs="仿宋"/>
          <w:sz w:val="32"/>
          <w:szCs w:val="32"/>
        </w:rPr>
        <w:t>年度政府性基金预算财政拨款支出年初预算为</w:t>
      </w:r>
      <w:r>
        <w:rPr>
          <w:rFonts w:ascii="仿宋" w:hAnsi="仿宋" w:eastAsia="仿宋" w:cs="仿宋"/>
          <w:sz w:val="32"/>
          <w:szCs w:val="32"/>
        </w:rPr>
        <w:t>0</w:t>
      </w:r>
      <w:r>
        <w:rPr>
          <w:rFonts w:hint="eastAsia" w:ascii="仿宋" w:hAnsi="仿宋" w:eastAsia="仿宋" w:cs="仿宋"/>
          <w:sz w:val="32"/>
          <w:szCs w:val="32"/>
        </w:rPr>
        <w:t>万元，支出决算为</w:t>
      </w:r>
      <w:r>
        <w:rPr>
          <w:rFonts w:ascii="仿宋" w:hAnsi="仿宋" w:eastAsia="仿宋" w:cs="仿宋"/>
          <w:sz w:val="32"/>
          <w:szCs w:val="32"/>
        </w:rPr>
        <w:t>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w:t>
      </w:r>
    </w:p>
    <w:p>
      <w:pPr>
        <w:ind w:firstLine="640" w:firstLineChars="200"/>
        <w:jc w:val="left"/>
        <w:rPr>
          <w:rFonts w:ascii="黑体" w:hAnsi="黑体" w:eastAsia="黑体" w:cs="仿宋"/>
          <w:bCs/>
          <w:sz w:val="32"/>
          <w:szCs w:val="32"/>
        </w:rPr>
      </w:pPr>
      <w:r>
        <w:rPr>
          <w:rFonts w:hint="eastAsia" w:ascii="黑体" w:hAnsi="黑体" w:eastAsia="黑体" w:cs="仿宋"/>
          <w:bCs/>
          <w:sz w:val="32"/>
          <w:szCs w:val="32"/>
        </w:rPr>
        <w:t>十、</w:t>
      </w:r>
      <w:r>
        <w:rPr>
          <w:rFonts w:hint="eastAsia" w:ascii="黑体" w:hAnsi="黑体" w:eastAsia="黑体" w:cs="黑体"/>
          <w:sz w:val="32"/>
          <w:szCs w:val="32"/>
        </w:rPr>
        <w:t>机关运行经费支出情况说明</w:t>
      </w:r>
    </w:p>
    <w:p>
      <w:pPr>
        <w:kinsoku w:val="0"/>
        <w:overflowPunct w:val="0"/>
        <w:autoSpaceDE w:val="0"/>
        <w:autoSpaceDN w:val="0"/>
        <w:adjustRightInd w:val="0"/>
        <w:snapToGrid w:val="0"/>
        <w:spacing w:line="360" w:lineRule="auto"/>
        <w:ind w:firstLine="640" w:firstLineChars="200"/>
        <w:rPr>
          <w:rFonts w:ascii="仿宋" w:hAnsi="仿宋" w:eastAsia="仿宋" w:cs="Times New Roman"/>
          <w:sz w:val="32"/>
          <w:szCs w:val="32"/>
        </w:rPr>
      </w:pPr>
      <w:r>
        <w:rPr>
          <w:rFonts w:ascii="仿宋" w:hAnsi="仿宋" w:eastAsia="仿宋" w:cs="仿宋"/>
          <w:sz w:val="32"/>
          <w:szCs w:val="32"/>
        </w:rPr>
        <w:t>2018</w:t>
      </w:r>
      <w:r>
        <w:rPr>
          <w:rFonts w:hint="eastAsia" w:ascii="仿宋" w:hAnsi="仿宋" w:eastAsia="仿宋" w:cs="仿宋"/>
          <w:sz w:val="32"/>
          <w:szCs w:val="32"/>
        </w:rPr>
        <w:t>年度机关运行经费支出</w:t>
      </w:r>
      <w:r>
        <w:rPr>
          <w:rFonts w:ascii="仿宋" w:hAnsi="仿宋" w:eastAsia="仿宋" w:cs="仿宋"/>
          <w:sz w:val="32"/>
          <w:szCs w:val="32"/>
        </w:rPr>
        <w:t>157.91</w:t>
      </w:r>
      <w:r>
        <w:rPr>
          <w:rFonts w:hint="eastAsia" w:ascii="仿宋" w:hAnsi="仿宋" w:eastAsia="仿宋" w:cs="仿宋"/>
          <w:sz w:val="32"/>
          <w:szCs w:val="32"/>
        </w:rPr>
        <w:t>万元，比</w:t>
      </w:r>
      <w:r>
        <w:rPr>
          <w:rFonts w:ascii="仿宋" w:hAnsi="仿宋" w:eastAsia="仿宋" w:cs="仿宋"/>
          <w:sz w:val="32"/>
          <w:szCs w:val="32"/>
        </w:rPr>
        <w:t>2017</w:t>
      </w:r>
      <w:r>
        <w:rPr>
          <w:rFonts w:hint="eastAsia" w:ascii="仿宋" w:hAnsi="仿宋" w:eastAsia="仿宋" w:cs="仿宋"/>
          <w:sz w:val="32"/>
          <w:szCs w:val="32"/>
        </w:rPr>
        <w:t>年增加</w:t>
      </w:r>
      <w:r>
        <w:rPr>
          <w:rFonts w:ascii="仿宋" w:hAnsi="仿宋" w:eastAsia="仿宋" w:cs="仿宋"/>
          <w:sz w:val="32"/>
          <w:szCs w:val="32"/>
        </w:rPr>
        <w:t>5.27</w:t>
      </w:r>
      <w:r>
        <w:rPr>
          <w:rFonts w:hint="eastAsia" w:ascii="仿宋" w:hAnsi="仿宋" w:eastAsia="仿宋" w:cs="仿宋"/>
          <w:sz w:val="32"/>
          <w:szCs w:val="32"/>
        </w:rPr>
        <w:t>万元，增加了</w:t>
      </w:r>
      <w:r>
        <w:rPr>
          <w:rFonts w:ascii="仿宋" w:hAnsi="仿宋" w:eastAsia="仿宋" w:cs="仿宋"/>
          <w:sz w:val="32"/>
          <w:szCs w:val="32"/>
        </w:rPr>
        <w:t>3.45%</w:t>
      </w:r>
      <w:r>
        <w:rPr>
          <w:rFonts w:hint="eastAsia" w:ascii="仿宋" w:hAnsi="仿宋" w:eastAsia="仿宋" w:cs="仿宋"/>
          <w:sz w:val="32"/>
          <w:szCs w:val="32"/>
        </w:rPr>
        <w:t>。主要由于人员的增加，人员工资、社保等支出加大。</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十一、政府采购支出情况说明</w:t>
      </w:r>
    </w:p>
    <w:p>
      <w:pPr>
        <w:kinsoku w:val="0"/>
        <w:overflowPunct w:val="0"/>
        <w:autoSpaceDE w:val="0"/>
        <w:autoSpaceDN w:val="0"/>
        <w:adjustRightInd w:val="0"/>
        <w:snapToGrid w:val="0"/>
        <w:spacing w:line="560" w:lineRule="exact"/>
        <w:ind w:firstLine="640" w:firstLineChars="200"/>
        <w:rPr>
          <w:rFonts w:hint="eastAsia" w:ascii="仿宋" w:hAnsi="仿宋" w:eastAsia="仿宋" w:cs="仿宋"/>
          <w:sz w:val="32"/>
          <w:szCs w:val="32"/>
        </w:rPr>
      </w:pPr>
      <w:r>
        <w:rPr>
          <w:rFonts w:ascii="仿宋" w:hAnsi="仿宋" w:eastAsia="仿宋" w:cs="仿宋"/>
          <w:sz w:val="32"/>
          <w:szCs w:val="32"/>
        </w:rPr>
        <w:t>2018</w:t>
      </w:r>
      <w:r>
        <w:rPr>
          <w:rFonts w:hint="eastAsia" w:ascii="仿宋" w:hAnsi="仿宋" w:eastAsia="仿宋" w:cs="仿宋"/>
          <w:sz w:val="32"/>
          <w:szCs w:val="32"/>
        </w:rPr>
        <w:t>年度政府采购支出总额</w:t>
      </w:r>
      <w:r>
        <w:rPr>
          <w:rFonts w:ascii="仿宋" w:hAnsi="仿宋" w:eastAsia="仿宋" w:cs="仿宋"/>
          <w:sz w:val="32"/>
          <w:szCs w:val="32"/>
        </w:rPr>
        <w:t>3.03</w:t>
      </w:r>
      <w:r>
        <w:rPr>
          <w:rFonts w:hint="eastAsia" w:ascii="仿宋" w:hAnsi="仿宋" w:eastAsia="仿宋" w:cs="仿宋"/>
          <w:sz w:val="32"/>
          <w:szCs w:val="32"/>
        </w:rPr>
        <w:t>万元，主要用于局本级单位和所属二级机构全年所需办公设备购置。其中：政府采购货物支出</w:t>
      </w:r>
      <w:r>
        <w:rPr>
          <w:rFonts w:ascii="仿宋" w:hAnsi="仿宋" w:eastAsia="仿宋" w:cs="仿宋"/>
          <w:sz w:val="32"/>
          <w:szCs w:val="32"/>
        </w:rPr>
        <w:t>3.03</w:t>
      </w:r>
      <w:r>
        <w:rPr>
          <w:rFonts w:hint="eastAsia" w:ascii="仿宋" w:hAnsi="仿宋" w:eastAsia="仿宋" w:cs="仿宋"/>
          <w:sz w:val="32"/>
          <w:szCs w:val="32"/>
        </w:rPr>
        <w:t>万元，占政府采购支出总额的</w:t>
      </w:r>
      <w:r>
        <w:rPr>
          <w:rFonts w:ascii="仿宋" w:hAnsi="仿宋" w:eastAsia="仿宋" w:cs="仿宋"/>
          <w:sz w:val="32"/>
          <w:szCs w:val="32"/>
        </w:rPr>
        <w:t>100%</w:t>
      </w:r>
      <w:r>
        <w:rPr>
          <w:rFonts w:hint="eastAsia" w:ascii="仿宋" w:hAnsi="仿宋" w:eastAsia="仿宋" w:cs="仿宋"/>
          <w:sz w:val="32"/>
          <w:szCs w:val="32"/>
        </w:rPr>
        <w:t>。政府采购工程支出</w:t>
      </w:r>
      <w:r>
        <w:rPr>
          <w:rFonts w:ascii="仿宋" w:hAnsi="仿宋" w:eastAsia="仿宋" w:cs="仿宋"/>
          <w:sz w:val="32"/>
          <w:szCs w:val="32"/>
        </w:rPr>
        <w:t>0</w:t>
      </w:r>
      <w:r>
        <w:rPr>
          <w:rFonts w:hint="eastAsia" w:ascii="仿宋" w:hAnsi="仿宋" w:eastAsia="仿宋" w:cs="仿宋"/>
          <w:sz w:val="32"/>
          <w:szCs w:val="32"/>
        </w:rPr>
        <w:t>万元，政府采购服务支出</w:t>
      </w:r>
      <w:r>
        <w:rPr>
          <w:rFonts w:ascii="仿宋" w:hAnsi="仿宋" w:eastAsia="仿宋" w:cs="仿宋"/>
          <w:sz w:val="32"/>
          <w:szCs w:val="32"/>
        </w:rPr>
        <w:t>0</w:t>
      </w:r>
      <w:r>
        <w:rPr>
          <w:rFonts w:hint="eastAsia" w:ascii="仿宋" w:hAnsi="仿宋" w:eastAsia="仿宋" w:cs="仿宋"/>
          <w:sz w:val="32"/>
          <w:szCs w:val="32"/>
        </w:rPr>
        <w:t>万元。授予中小企业合同金额0万元，占政府采购支出总额的0%，其中：授予小微企业合同金额0万元，占政府采购支出总额的0%。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十二、国有资产占用情况说明</w:t>
      </w:r>
    </w:p>
    <w:p>
      <w:pPr>
        <w:kinsoku w:val="0"/>
        <w:overflowPunct w:val="0"/>
        <w:autoSpaceDE w:val="0"/>
        <w:autoSpaceDN w:val="0"/>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年期末，</w:t>
      </w:r>
      <w:r>
        <w:rPr>
          <w:rFonts w:hint="eastAsia" w:ascii="仿宋" w:hAnsi="仿宋" w:eastAsia="仿宋" w:cs="仿宋"/>
          <w:sz w:val="32"/>
          <w:szCs w:val="32"/>
          <w:lang w:eastAsia="zh-CN"/>
        </w:rPr>
        <w:t>信阳市浉河区茶产业发展服务局</w:t>
      </w:r>
      <w:r>
        <w:rPr>
          <w:rFonts w:hint="eastAsia" w:ascii="仿宋" w:hAnsi="仿宋" w:eastAsia="仿宋" w:cs="仿宋"/>
          <w:sz w:val="32"/>
          <w:szCs w:val="32"/>
        </w:rPr>
        <w:t>共有车辆0辆，其中：省级领导干部用车0辆、主要领导干部用车0辆、机要通信用车0辆、应急保障车0辆、执法执勤用车0辆、特种专业技术用车0辆、离退休干部用车0辆、其他用车0辆；单位价值50万元以上通用设备</w:t>
      </w:r>
      <w:r>
        <w:rPr>
          <w:rFonts w:hint="eastAsia" w:ascii="仿宋" w:hAnsi="仿宋" w:eastAsia="仿宋" w:cs="仿宋"/>
          <w:sz w:val="32"/>
          <w:szCs w:val="32"/>
          <w:lang w:val="en-US" w:eastAsia="zh-CN"/>
        </w:rPr>
        <w:t>1</w:t>
      </w:r>
      <w:r>
        <w:rPr>
          <w:rFonts w:hint="eastAsia" w:ascii="仿宋" w:hAnsi="仿宋" w:eastAsia="仿宋" w:cs="仿宋"/>
          <w:sz w:val="32"/>
          <w:szCs w:val="32"/>
        </w:rPr>
        <w:t>台（套），单位价值100万元以上专用设备0台（套）。</w:t>
      </w:r>
    </w:p>
    <w:p>
      <w:pPr>
        <w:kinsoku w:val="0"/>
        <w:overflowPunct w:val="0"/>
        <w:autoSpaceDE w:val="0"/>
        <w:autoSpaceDN w:val="0"/>
        <w:adjustRightInd w:val="0"/>
        <w:snapToGrid w:val="0"/>
        <w:spacing w:line="360" w:lineRule="auto"/>
        <w:ind w:firstLine="640" w:firstLineChars="200"/>
        <w:rPr>
          <w:rFonts w:ascii="仿宋" w:hAnsi="仿宋" w:eastAsia="仿宋" w:cs="Times New Roman"/>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Times New Roman"/>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Times New Roman"/>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Times New Roman"/>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Times New Roman"/>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Times New Roman"/>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Times New Roman"/>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Times New Roman"/>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Times New Roman"/>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Times New Roman"/>
          <w:sz w:val="32"/>
          <w:szCs w:val="32"/>
        </w:rPr>
      </w:pPr>
    </w:p>
    <w:p>
      <w:pPr>
        <w:kinsoku w:val="0"/>
        <w:overflowPunct w:val="0"/>
        <w:autoSpaceDE w:val="0"/>
        <w:autoSpaceDN w:val="0"/>
        <w:adjustRightInd w:val="0"/>
        <w:snapToGrid w:val="0"/>
        <w:spacing w:line="360" w:lineRule="auto"/>
        <w:ind w:firstLine="2160" w:firstLineChars="450"/>
        <w:rPr>
          <w:rFonts w:ascii="仿宋" w:hAnsi="仿宋" w:eastAsia="仿宋" w:cs="Times New Roman"/>
          <w:sz w:val="32"/>
          <w:szCs w:val="32"/>
        </w:rPr>
      </w:pPr>
      <w:r>
        <w:rPr>
          <w:rFonts w:hint="eastAsia" w:ascii="隶书" w:hAnsi="隶书" w:eastAsia="隶书" w:cs="隶书"/>
          <w:sz w:val="48"/>
          <w:szCs w:val="48"/>
        </w:rPr>
        <w:t>第四部分　　名词解释</w:t>
      </w:r>
    </w:p>
    <w:p>
      <w:pPr>
        <w:rPr>
          <w:rFonts w:ascii="仿宋" w:hAnsi="仿宋" w:eastAsia="仿宋" w:cs="Times New Roman"/>
          <w:sz w:val="28"/>
          <w:szCs w:val="28"/>
        </w:rPr>
      </w:pPr>
    </w:p>
    <w:p>
      <w:pPr>
        <w:rPr>
          <w:rFonts w:ascii="仿宋" w:hAnsi="仿宋" w:eastAsia="仿宋" w:cs="Times New Roman"/>
          <w:sz w:val="28"/>
          <w:szCs w:val="28"/>
        </w:rPr>
      </w:pPr>
    </w:p>
    <w:p>
      <w:pPr>
        <w:rPr>
          <w:rFonts w:ascii="仿宋" w:hAnsi="仿宋" w:eastAsia="仿宋" w:cs="Times New Roman"/>
          <w:sz w:val="28"/>
          <w:szCs w:val="28"/>
        </w:rPr>
      </w:pPr>
    </w:p>
    <w:p>
      <w:pPr>
        <w:rPr>
          <w:rFonts w:ascii="仿宋" w:hAnsi="仿宋" w:eastAsia="仿宋" w:cs="Times New Roman"/>
          <w:sz w:val="28"/>
          <w:szCs w:val="28"/>
        </w:rPr>
      </w:pPr>
    </w:p>
    <w:p>
      <w:pPr>
        <w:rPr>
          <w:rFonts w:ascii="仿宋" w:hAnsi="仿宋" w:eastAsia="仿宋" w:cs="Times New Roman"/>
          <w:sz w:val="28"/>
          <w:szCs w:val="28"/>
        </w:rPr>
      </w:pPr>
    </w:p>
    <w:p>
      <w:pPr>
        <w:rPr>
          <w:rFonts w:ascii="仿宋" w:hAnsi="仿宋" w:eastAsia="仿宋" w:cs="Times New Roman"/>
          <w:sz w:val="28"/>
          <w:szCs w:val="28"/>
        </w:rPr>
      </w:pPr>
    </w:p>
    <w:p>
      <w:pPr>
        <w:rPr>
          <w:rFonts w:ascii="仿宋" w:hAnsi="仿宋" w:eastAsia="仿宋" w:cs="Times New Roman"/>
          <w:sz w:val="28"/>
          <w:szCs w:val="28"/>
        </w:rPr>
      </w:pPr>
    </w:p>
    <w:p>
      <w:pPr>
        <w:rPr>
          <w:rFonts w:ascii="仿宋" w:hAnsi="仿宋" w:eastAsia="仿宋" w:cs="Times New Roman"/>
          <w:sz w:val="28"/>
          <w:szCs w:val="28"/>
        </w:rPr>
      </w:pP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财政拨款收入：</w:t>
      </w:r>
      <w:r>
        <w:rPr>
          <w:rFonts w:hint="eastAsia" w:ascii="仿宋_GB2312" w:hAnsi="宋体" w:eastAsia="仿宋_GB2312" w:cs="仿宋_GB2312"/>
          <w:sz w:val="32"/>
          <w:szCs w:val="32"/>
        </w:rPr>
        <w:t>是指省级财政当年拨付的资金。</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事业收入：</w:t>
      </w:r>
      <w:r>
        <w:rPr>
          <w:rFonts w:hint="eastAsia" w:ascii="仿宋_GB2312" w:hAnsi="宋体" w:eastAsia="仿宋_GB2312" w:cs="仿宋_GB2312"/>
          <w:sz w:val="32"/>
          <w:szCs w:val="32"/>
        </w:rPr>
        <w:t>是指事业单位开展专业业务活动及辅助活动所取得的收入。如：</w:t>
      </w:r>
      <w:bookmarkStart w:id="0" w:name="_GoBack"/>
      <w:r>
        <w:rPr>
          <w:rFonts w:hint="eastAsia" w:ascii="仿宋_GB2312" w:hAnsi="宋体" w:eastAsia="仿宋_GB2312" w:cs="仿宋_GB2312"/>
          <w:sz w:val="32"/>
          <w:szCs w:val="32"/>
        </w:rPr>
        <w:t>Ｘ</w:t>
      </w:r>
      <w:bookmarkEnd w:id="0"/>
      <w:r>
        <w:rPr>
          <w:rFonts w:hint="eastAsia" w:ascii="仿宋_GB2312" w:hAnsi="宋体" w:eastAsia="仿宋_GB2312" w:cs="仿宋_GB2312"/>
          <w:sz w:val="32"/>
          <w:szCs w:val="32"/>
        </w:rPr>
        <w:t>Ｘ刊物发行收入，ＸＸ协会收取的会费收入等。</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经营收入：</w:t>
      </w:r>
      <w:r>
        <w:rPr>
          <w:rFonts w:hint="eastAsia" w:ascii="仿宋_GB2312" w:hAnsi="宋体" w:eastAsia="仿宋_GB2312" w:cs="仿宋_GB2312"/>
          <w:sz w:val="32"/>
          <w:szCs w:val="32"/>
        </w:rPr>
        <w:t>指事业单位在专业业务活动及其辅助活动之外开展非独立核算经营活动取得的收入。如：ＸＸ杂志社广告收入等。</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其他收入：</w:t>
      </w:r>
      <w:r>
        <w:rPr>
          <w:rFonts w:hint="eastAsia" w:ascii="仿宋_GB2312" w:hAnsi="宋体" w:eastAsia="仿宋_GB2312" w:cs="仿宋_GB2312"/>
          <w:sz w:val="32"/>
          <w:szCs w:val="32"/>
        </w:rPr>
        <w:t>指除上述“财政拨款收入”、“事业收入”、“事业单位经营收入”、“经营收入”等以外的收入。主要是按规定动用的售房收入、存款利息收入等。</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用事业基金弥补收支差额：</w:t>
      </w:r>
      <w:r>
        <w:rPr>
          <w:rFonts w:hint="eastAsia" w:ascii="仿宋_GB2312" w:hAnsi="宋体" w:eastAsia="仿宋_GB2312" w:cs="仿宋_GB2312"/>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仿宋_GB2312"/>
          <w:b/>
          <w:bCs/>
          <w:sz w:val="32"/>
          <w:szCs w:val="32"/>
        </w:rPr>
        <w:t>。</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年初结转和结余：</w:t>
      </w:r>
      <w:r>
        <w:rPr>
          <w:rFonts w:hint="eastAsia" w:ascii="仿宋_GB2312" w:hAnsi="宋体" w:eastAsia="仿宋_GB2312" w:cs="仿宋_GB2312"/>
          <w:sz w:val="32"/>
          <w:szCs w:val="32"/>
        </w:rPr>
        <w:t>指以前年度尚未完成、结转到本年按有关规定继续使用的资金。</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一般公共服务（类）财政事务（款）行政运行（项）</w:t>
      </w:r>
      <w:r>
        <w:rPr>
          <w:rFonts w:hint="eastAsia" w:ascii="仿宋_GB2312" w:hAnsi="宋体" w:eastAsia="仿宋_GB2312" w:cs="仿宋_GB2312"/>
          <w:b/>
          <w:bCs/>
          <w:color w:val="auto"/>
          <w:sz w:val="32"/>
          <w:szCs w:val="32"/>
        </w:rPr>
        <w:t>（请根据单位实际情况，参照《</w:t>
      </w:r>
      <w:r>
        <w:rPr>
          <w:rFonts w:ascii="仿宋_GB2312" w:hAnsi="宋体" w:eastAsia="仿宋_GB2312" w:cs="仿宋_GB2312"/>
          <w:b/>
          <w:bCs/>
          <w:color w:val="auto"/>
          <w:sz w:val="32"/>
          <w:szCs w:val="32"/>
        </w:rPr>
        <w:t>2018</w:t>
      </w:r>
      <w:r>
        <w:rPr>
          <w:rFonts w:hint="eastAsia" w:ascii="仿宋_GB2312" w:hAnsi="宋体" w:eastAsia="仿宋_GB2312" w:cs="仿宋_GB2312"/>
          <w:b/>
          <w:bCs/>
          <w:color w:val="auto"/>
          <w:sz w:val="32"/>
          <w:szCs w:val="32"/>
        </w:rPr>
        <w:t>年政府收支分类科目》和对口中央部门决算公开信息填写）：</w:t>
      </w:r>
      <w:r>
        <w:rPr>
          <w:rFonts w:hint="eastAsia" w:ascii="仿宋_GB2312" w:hAnsi="宋体" w:eastAsia="仿宋_GB2312" w:cs="仿宋_GB2312"/>
          <w:color w:val="auto"/>
          <w:sz w:val="32"/>
          <w:szCs w:val="32"/>
        </w:rPr>
        <w:t>是指ＸＸ厅（局）用于保障机</w:t>
      </w:r>
      <w:r>
        <w:rPr>
          <w:rFonts w:hint="eastAsia" w:ascii="仿宋_GB2312" w:hAnsi="宋体" w:eastAsia="仿宋_GB2312" w:cs="仿宋_GB2312"/>
          <w:sz w:val="32"/>
          <w:szCs w:val="32"/>
        </w:rPr>
        <w:t>构正常运行、开展日常工作的基本支出。</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一般公共服务（类）财政事务（款）一般行政管理事务（项）：</w:t>
      </w:r>
      <w:r>
        <w:rPr>
          <w:rFonts w:hint="eastAsia" w:ascii="仿宋_GB2312" w:hAnsi="宋体" w:eastAsia="仿宋_GB2312" w:cs="仿宋_GB2312"/>
          <w:sz w:val="32"/>
          <w:szCs w:val="32"/>
        </w:rPr>
        <w:t>指ＸＸ厅（局）行政单位及参照公务员法管理的事业单位开展财政立法、决算编审、资产产权管理等未单独设置项级科目的专门性财政管理工作的项目支出。</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结余分配：</w:t>
      </w:r>
      <w:r>
        <w:rPr>
          <w:rFonts w:hint="eastAsia" w:ascii="仿宋_GB2312" w:hAnsi="宋体" w:eastAsia="仿宋_GB2312" w:cs="仿宋_GB2312"/>
          <w:sz w:val="32"/>
          <w:szCs w:val="32"/>
        </w:rPr>
        <w:t>指事业单位按规定提取的职工福利基金、事业基金和缴纳的所得税，以及建设单位按规定应交回的基本建设竣工项目结余资金。</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年末结转和结余：</w:t>
      </w:r>
      <w:r>
        <w:rPr>
          <w:rFonts w:hint="eastAsia" w:ascii="仿宋_GB2312" w:hAnsi="宋体" w:eastAsia="仿宋_GB2312" w:cs="仿宋_GB2312"/>
          <w:sz w:val="32"/>
          <w:szCs w:val="32"/>
        </w:rPr>
        <w:t>指本年度或以前年度预算安排、因客观条件发生变化无法按原计划实施，需延迟到以后年度按有关规定继续使用的资金。</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基本支出：</w:t>
      </w:r>
      <w:r>
        <w:rPr>
          <w:rFonts w:hint="eastAsia" w:ascii="仿宋_GB2312" w:hAnsi="宋体" w:eastAsia="仿宋_GB2312" w:cs="仿宋_GB2312"/>
          <w:sz w:val="32"/>
          <w:szCs w:val="32"/>
        </w:rPr>
        <w:t>指为保障机构正常运转、完成日常工作任务而发生的人员支出和公用支出。</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项目支出：</w:t>
      </w:r>
      <w:r>
        <w:rPr>
          <w:rFonts w:hint="eastAsia" w:ascii="仿宋_GB2312" w:hAnsi="宋体" w:eastAsia="仿宋_GB2312" w:cs="仿宋_GB2312"/>
          <w:sz w:val="32"/>
          <w:szCs w:val="32"/>
        </w:rPr>
        <w:t>指在基本支出之外为完成特定行政任务和事业发展目标所发生的支出。</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经营支出：</w:t>
      </w:r>
      <w:r>
        <w:rPr>
          <w:rFonts w:hint="eastAsia" w:ascii="仿宋_GB2312" w:hAnsi="宋体" w:eastAsia="仿宋_GB2312" w:cs="仿宋_GB2312"/>
          <w:sz w:val="32"/>
          <w:szCs w:val="32"/>
        </w:rPr>
        <w:t>指事业单位在专业业务活动及其辅助活动之外开展非独立核算经营活动发生的支出。</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“三公”经费：</w:t>
      </w:r>
      <w:r>
        <w:rPr>
          <w:rFonts w:hint="eastAsia" w:ascii="仿宋_GB2312" w:hAnsi="宋体" w:eastAsia="仿宋_GB2312" w:cs="仿宋_GB2312"/>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Times New Roman"/>
          <w:sz w:val="28"/>
          <w:szCs w:val="28"/>
        </w:rPr>
      </w:pPr>
      <w:r>
        <w:rPr>
          <w:rFonts w:hint="eastAsia" w:ascii="仿宋_GB2312" w:hAnsi="宋体" w:eastAsia="仿宋_GB2312" w:cs="仿宋_GB2312"/>
          <w:b/>
          <w:bCs/>
          <w:sz w:val="32"/>
          <w:szCs w:val="32"/>
        </w:rPr>
        <w:t>机关运行经费：</w:t>
      </w:r>
      <w:r>
        <w:rPr>
          <w:rFonts w:hint="eastAsia" w:ascii="仿宋_GB2312" w:hAnsi="宋体" w:eastAsia="仿宋_GB2312" w:cs="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 w:hAnsi="仿宋" w:eastAsia="仿宋" w:cs="Times New Roman"/>
          <w:sz w:val="28"/>
          <w:szCs w:val="28"/>
        </w:rPr>
      </w:pPr>
    </w:p>
    <w:p>
      <w:pPr>
        <w:adjustRightInd w:val="0"/>
        <w:ind w:firstLine="560" w:firstLineChars="200"/>
        <w:rPr>
          <w:rFonts w:ascii="仿宋" w:hAnsi="仿宋" w:eastAsia="仿宋" w:cs="Times New Roman"/>
          <w:sz w:val="28"/>
          <w:szCs w:val="28"/>
        </w:rPr>
      </w:pPr>
    </w:p>
    <w:p/>
    <w:sectPr>
      <w:pgSz w:w="11850" w:h="16783"/>
      <w:pgMar w:top="1247" w:right="1361" w:bottom="119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snapToGrid w:val="0"/>
                  <w:rPr>
                    <w:rFonts w:cs="Times New Roman"/>
                    <w:sz w:val="18"/>
                    <w:szCs w:val="18"/>
                  </w:rPr>
                </w:pPr>
                <w:r>
                  <w:fldChar w:fldCharType="begin"/>
                </w:r>
                <w:r>
                  <w:instrText xml:space="preserve"> PAGE  \* MERGEFORMAT </w:instrText>
                </w:r>
                <w:r>
                  <w:fldChar w:fldCharType="separate"/>
                </w:r>
                <w:r>
                  <w:rPr>
                    <w:sz w:val="18"/>
                    <w:szCs w:val="18"/>
                  </w:rPr>
                  <w:t>23</w:t>
                </w:r>
                <w:r>
                  <w:rPr>
                    <w:sz w:val="18"/>
                    <w:szCs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00206B"/>
    <w:multiLevelType w:val="singleLevel"/>
    <w:tmpl w:val="5100206B"/>
    <w:lvl w:ilvl="0" w:tentative="0">
      <w:start w:val="2"/>
      <w:numFmt w:val="chineseCounting"/>
      <w:suff w:val="space"/>
      <w:lvlText w:val="第%1部分"/>
      <w:lvlJc w:val="left"/>
      <w:rPr>
        <w:rFonts w:hint="eastAsia"/>
      </w:r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3">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abstractNum w:abstractNumId="4">
    <w:nsid w:val="5B315CB0"/>
    <w:multiLevelType w:val="singleLevel"/>
    <w:tmpl w:val="5B315CB0"/>
    <w:lvl w:ilvl="0" w:tentative="0">
      <w:start w:val="1"/>
      <w:numFmt w:val="chineseCounting"/>
      <w:suff w:val="nothing"/>
      <w:lvlText w:val="（%1）"/>
      <w:lvlJc w:val="left"/>
      <w:rPr>
        <w:rFonts w:hint="eastAsia"/>
      </w:rPr>
    </w:lvl>
  </w:abstractNum>
  <w:abstractNum w:abstractNumId="5">
    <w:nsid w:val="6B4295E2"/>
    <w:multiLevelType w:val="singleLevel"/>
    <w:tmpl w:val="6B4295E2"/>
    <w:lvl w:ilvl="0" w:tentative="0">
      <w:start w:val="7"/>
      <w:numFmt w:val="chineseCounting"/>
      <w:suff w:val="nothing"/>
      <w:lvlText w:val="%1、"/>
      <w:lvlJc w:val="left"/>
      <w:rPr>
        <w:rFonts w:hint="eastAsia"/>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8C5"/>
    <w:rsid w:val="00001341"/>
    <w:rsid w:val="00016A96"/>
    <w:rsid w:val="000572B7"/>
    <w:rsid w:val="00116412"/>
    <w:rsid w:val="0019110C"/>
    <w:rsid w:val="001E0C19"/>
    <w:rsid w:val="001E527C"/>
    <w:rsid w:val="00524004"/>
    <w:rsid w:val="00554136"/>
    <w:rsid w:val="006A1129"/>
    <w:rsid w:val="00716FBC"/>
    <w:rsid w:val="007338B3"/>
    <w:rsid w:val="007D3D5D"/>
    <w:rsid w:val="0084582C"/>
    <w:rsid w:val="00862AA2"/>
    <w:rsid w:val="00874B70"/>
    <w:rsid w:val="008F1E5A"/>
    <w:rsid w:val="008F7C79"/>
    <w:rsid w:val="009000E1"/>
    <w:rsid w:val="009042DC"/>
    <w:rsid w:val="00922113"/>
    <w:rsid w:val="009B78C5"/>
    <w:rsid w:val="00B42B2C"/>
    <w:rsid w:val="00C92FAD"/>
    <w:rsid w:val="00C933BC"/>
    <w:rsid w:val="00D05AD8"/>
    <w:rsid w:val="00D40DA5"/>
    <w:rsid w:val="00FD5160"/>
    <w:rsid w:val="01EF47C4"/>
    <w:rsid w:val="1398473F"/>
    <w:rsid w:val="2FC54A09"/>
    <w:rsid w:val="3311477A"/>
    <w:rsid w:val="579F0579"/>
    <w:rsid w:val="5BE367A2"/>
    <w:rsid w:val="60CA773B"/>
    <w:rsid w:val="668F0DD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semiHidden/>
    <w:qFormat/>
    <w:locked/>
    <w:uiPriority w:val="99"/>
    <w:rPr>
      <w:rFonts w:ascii="Calibri" w:hAnsi="Calibri" w:cs="Calibri"/>
      <w:sz w:val="18"/>
      <w:szCs w:val="18"/>
    </w:rPr>
  </w:style>
  <w:style w:type="character" w:customStyle="1" w:styleId="7">
    <w:name w:val="Header Char"/>
    <w:basedOn w:val="5"/>
    <w:link w:val="3"/>
    <w:semiHidden/>
    <w:qFormat/>
    <w:locked/>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28</Pages>
  <Words>1789</Words>
  <Characters>10203</Characters>
  <Lines>0</Lines>
  <Paragraphs>0</Paragraphs>
  <TotalTime>3</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棒棒糖</cp:lastModifiedBy>
  <dcterms:modified xsi:type="dcterms:W3CDTF">2021-06-17T09:04:48Z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40703D2C74BA40E88310B7916BE6C541</vt:lpwstr>
  </property>
</Properties>
</file>