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hint="eastAsia" w:ascii="黑体" w:eastAsia="黑体" w:cs="黑体"/>
          <w:sz w:val="52"/>
          <w:szCs w:val="52"/>
          <w:lang w:eastAsia="zh-CN"/>
        </w:rPr>
      </w:pPr>
      <w:r>
        <w:rPr>
          <w:rFonts w:hint="eastAsia" w:ascii="隶书" w:eastAsia="隶书" w:cs="隶书"/>
          <w:sz w:val="52"/>
          <w:szCs w:val="52"/>
          <w:lang w:eastAsia="zh-CN"/>
        </w:rPr>
        <w:t>信阳市浉河区城市管理局</w:t>
      </w:r>
    </w:p>
    <w:p>
      <w:pPr>
        <w:jc w:val="center"/>
        <w:rPr>
          <w:rFonts w:ascii="隶书" w:eastAsia="隶书" w:cs="隶书"/>
          <w:sz w:val="52"/>
          <w:szCs w:val="52"/>
        </w:rPr>
      </w:pPr>
      <w:r>
        <w:rPr>
          <w:rFonts w:ascii="隶书" w:eastAsia="隶书" w:cs="隶书"/>
          <w:sz w:val="52"/>
          <w:szCs w:val="52"/>
        </w:rPr>
        <w:t>2018</w:t>
      </w:r>
      <w:r>
        <w:rPr>
          <w:rFonts w:hint="eastAsia" w:ascii="隶书" w:eastAsia="隶书" w:cs="隶书"/>
          <w:sz w:val="52"/>
          <w:szCs w:val="52"/>
        </w:rPr>
        <w:t>年度部门决算</w:t>
      </w:r>
    </w:p>
    <w:p>
      <w:pPr>
        <w:jc w:val="center"/>
        <w:rPr>
          <w:rFonts w:ascii="隶书" w:eastAsia="隶书" w:cs="隶书"/>
          <w:sz w:val="52"/>
          <w:szCs w:val="52"/>
        </w:rPr>
      </w:pPr>
    </w:p>
    <w:p>
      <w:pPr>
        <w:jc w:val="center"/>
        <w:rPr>
          <w:rFonts w:ascii="隶书" w:eastAsia="隶书" w:cs="隶书"/>
          <w:sz w:val="52"/>
          <w:szCs w:val="52"/>
        </w:rPr>
      </w:pPr>
    </w:p>
    <w:p>
      <w:pPr>
        <w:jc w:val="center"/>
        <w:rPr>
          <w:rFonts w:ascii="隶书" w:eastAsia="隶书" w:cs="隶书"/>
          <w:sz w:val="52"/>
          <w:szCs w:val="52"/>
        </w:rPr>
      </w:pPr>
    </w:p>
    <w:p>
      <w:pPr>
        <w:jc w:val="center"/>
        <w:rPr>
          <w:rFonts w:ascii="隶书" w:eastAsia="隶书" w:cs="隶书"/>
          <w:sz w:val="52"/>
          <w:szCs w:val="52"/>
        </w:rPr>
      </w:pPr>
    </w:p>
    <w:p>
      <w:pPr>
        <w:jc w:val="center"/>
        <w:rPr>
          <w:rFonts w:ascii="隶书" w:eastAsia="隶书" w:cs="隶书"/>
          <w:sz w:val="44"/>
          <w:szCs w:val="44"/>
        </w:rPr>
        <w:sectPr>
          <w:pgSz w:w="11906" w:h="16838"/>
          <w:pgMar w:top="1440" w:right="1800" w:bottom="1440" w:left="1800" w:header="851" w:footer="992" w:gutter="0"/>
          <w:pgNumType w:fmt="numberInDash" w:start="1"/>
          <w:cols w:equalWidth="0" w:num="1">
            <w:col w:w="8306"/>
          </w:cols>
          <w:docGrid w:type="lines" w:linePitch="312" w:charSpace="0"/>
        </w:sectPr>
      </w:pPr>
      <w:r>
        <w:rPr>
          <w:rFonts w:hint="eastAsia" w:ascii="隶书" w:eastAsia="隶书" w:cs="隶书"/>
          <w:sz w:val="44"/>
          <w:szCs w:val="44"/>
        </w:rPr>
        <w:t>二</w:t>
      </w:r>
      <w:r>
        <w:rPr>
          <w:rFonts w:ascii="隶书" w:eastAsia="隶书" w:cs="隶书"/>
          <w:sz w:val="44"/>
          <w:szCs w:val="44"/>
        </w:rPr>
        <w:t>0</w:t>
      </w:r>
      <w:r>
        <w:rPr>
          <w:rFonts w:hint="eastAsia" w:ascii="隶书" w:eastAsia="隶书" w:cs="隶书"/>
          <w:sz w:val="44"/>
          <w:szCs w:val="44"/>
        </w:rPr>
        <w:t>一九年九月</w:t>
      </w:r>
    </w:p>
    <w:p>
      <w:pPr>
        <w:jc w:val="center"/>
        <w:rPr>
          <w:rFonts w:ascii="黑体" w:eastAsia="黑体" w:cs="黑体"/>
          <w:sz w:val="32"/>
          <w:szCs w:val="32"/>
        </w:rPr>
      </w:pPr>
      <w:r>
        <w:rPr>
          <w:rFonts w:hint="eastAsia" w:ascii="黑体" w:eastAsia="黑体" w:cs="黑体"/>
          <w:sz w:val="32"/>
          <w:szCs w:val="32"/>
        </w:rPr>
        <w:t>目　　录</w:t>
      </w:r>
    </w:p>
    <w:p>
      <w:pPr>
        <w:jc w:val="left"/>
        <w:rPr>
          <w:rFonts w:ascii="黑体" w:eastAsia="黑体" w:cs="黑体"/>
          <w:sz w:val="32"/>
          <w:szCs w:val="32"/>
        </w:rPr>
      </w:pPr>
      <w:r>
        <w:rPr>
          <w:rFonts w:hint="eastAsia" w:ascii="黑体" w:eastAsia="黑体" w:cs="黑体"/>
          <w:sz w:val="32"/>
          <w:szCs w:val="32"/>
        </w:rPr>
        <w:t>第一部分　　</w:t>
      </w:r>
      <w:r>
        <w:rPr>
          <w:rFonts w:hint="eastAsia" w:ascii="黑体" w:eastAsia="黑体" w:cs="黑体"/>
          <w:sz w:val="32"/>
          <w:szCs w:val="32"/>
          <w:lang w:eastAsia="zh-CN"/>
        </w:rPr>
        <w:t>信阳市浉河区城市管理局</w:t>
      </w:r>
      <w:r>
        <w:rPr>
          <w:rFonts w:hint="eastAsia" w:ascii="黑体" w:eastAsia="黑体" w:cs="黑体"/>
          <w:sz w:val="32"/>
          <w:szCs w:val="32"/>
        </w:rPr>
        <w:t>概况</w:t>
      </w:r>
    </w:p>
    <w:p>
      <w:pPr>
        <w:numPr>
          <w:ilvl w:val="0"/>
          <w:numId w:val="1"/>
        </w:numPr>
        <w:jc w:val="left"/>
        <w:rPr>
          <w:rFonts w:ascii="宋体" w:cs="宋体"/>
          <w:sz w:val="32"/>
          <w:szCs w:val="32"/>
        </w:rPr>
      </w:pPr>
      <w:r>
        <w:rPr>
          <w:rFonts w:hint="eastAsia" w:ascii="宋体" w:cs="宋体"/>
          <w:sz w:val="32"/>
          <w:szCs w:val="32"/>
        </w:rPr>
        <w:t>部门职责</w:t>
      </w:r>
    </w:p>
    <w:p>
      <w:pPr>
        <w:jc w:val="left"/>
        <w:rPr>
          <w:rFonts w:ascii="宋体" w:cs="宋体"/>
          <w:sz w:val="32"/>
          <w:szCs w:val="32"/>
        </w:rPr>
      </w:pPr>
      <w:r>
        <w:rPr>
          <w:rFonts w:hint="eastAsia" w:ascii="宋体" w:cs="宋体"/>
          <w:sz w:val="32"/>
          <w:szCs w:val="32"/>
          <w:lang w:val="en-US" w:eastAsia="zh-CN"/>
        </w:rPr>
        <w:t>二、</w:t>
      </w:r>
      <w:r>
        <w:rPr>
          <w:rFonts w:hint="eastAsia" w:ascii="宋体" w:cs="宋体"/>
          <w:sz w:val="32"/>
          <w:szCs w:val="32"/>
        </w:rPr>
        <w:t>机构设置</w:t>
      </w:r>
    </w:p>
    <w:p>
      <w:pPr>
        <w:jc w:val="left"/>
        <w:rPr>
          <w:rFonts w:ascii="黑体" w:eastAsia="黑体" w:cs="黑体"/>
          <w:sz w:val="32"/>
          <w:szCs w:val="32"/>
        </w:rPr>
      </w:pPr>
      <w:r>
        <w:rPr>
          <w:rFonts w:hint="eastAsia" w:ascii="黑体" w:eastAsia="黑体" w:cs="黑体"/>
          <w:sz w:val="32"/>
          <w:szCs w:val="32"/>
        </w:rPr>
        <w:t>第二部分　　</w:t>
      </w:r>
      <w:r>
        <w:rPr>
          <w:rFonts w:ascii="黑体" w:eastAsia="黑体" w:cs="黑体"/>
          <w:sz w:val="32"/>
          <w:szCs w:val="32"/>
        </w:rPr>
        <w:t>2018</w:t>
      </w:r>
      <w:r>
        <w:rPr>
          <w:rFonts w:hint="eastAsia" w:ascii="黑体" w:eastAsia="黑体" w:cs="黑体"/>
          <w:sz w:val="32"/>
          <w:szCs w:val="32"/>
        </w:rPr>
        <w:t>年度部门决算情况说明</w:t>
      </w:r>
    </w:p>
    <w:p>
      <w:pPr>
        <w:jc w:val="left"/>
        <w:rPr>
          <w:rFonts w:ascii="宋体" w:cs="宋体"/>
          <w:sz w:val="32"/>
          <w:szCs w:val="32"/>
        </w:rPr>
      </w:pPr>
      <w:r>
        <w:rPr>
          <w:rFonts w:hint="eastAsia" w:ascii="宋体" w:cs="宋体"/>
          <w:sz w:val="32"/>
          <w:szCs w:val="32"/>
        </w:rPr>
        <w:t>一、收入支出决算总体情况说明</w:t>
      </w:r>
    </w:p>
    <w:p>
      <w:pPr>
        <w:jc w:val="left"/>
        <w:rPr>
          <w:rFonts w:ascii="宋体" w:cs="宋体"/>
          <w:sz w:val="32"/>
          <w:szCs w:val="32"/>
        </w:rPr>
      </w:pPr>
      <w:r>
        <w:rPr>
          <w:rFonts w:hint="eastAsia" w:ascii="宋体" w:cs="宋体"/>
          <w:sz w:val="32"/>
          <w:szCs w:val="32"/>
        </w:rPr>
        <w:t>二、收入决算表情况说明</w:t>
      </w:r>
    </w:p>
    <w:p>
      <w:pPr>
        <w:jc w:val="left"/>
        <w:rPr>
          <w:rFonts w:ascii="宋体" w:cs="宋体"/>
          <w:sz w:val="32"/>
          <w:szCs w:val="32"/>
        </w:rPr>
      </w:pPr>
      <w:r>
        <w:rPr>
          <w:rFonts w:hint="eastAsia" w:ascii="宋体" w:cs="宋体"/>
          <w:sz w:val="32"/>
          <w:szCs w:val="32"/>
        </w:rPr>
        <w:t>三、支出决算表情况说明</w:t>
      </w:r>
    </w:p>
    <w:p>
      <w:pPr>
        <w:jc w:val="left"/>
        <w:rPr>
          <w:rFonts w:ascii="宋体" w:cs="宋体"/>
          <w:sz w:val="32"/>
          <w:szCs w:val="32"/>
        </w:rPr>
      </w:pPr>
      <w:r>
        <w:rPr>
          <w:rFonts w:hint="eastAsia" w:ascii="宋体" w:cs="宋体"/>
          <w:sz w:val="32"/>
          <w:szCs w:val="32"/>
        </w:rPr>
        <w:t>四、财政拨款收入支出决算总体情况说明</w:t>
      </w:r>
    </w:p>
    <w:p>
      <w:pPr>
        <w:jc w:val="left"/>
        <w:rPr>
          <w:rFonts w:ascii="宋体" w:cs="宋体"/>
          <w:sz w:val="32"/>
          <w:szCs w:val="32"/>
        </w:rPr>
      </w:pPr>
      <w:r>
        <w:rPr>
          <w:rFonts w:hint="eastAsia" w:ascii="宋体" w:cs="宋体"/>
          <w:sz w:val="32"/>
          <w:szCs w:val="32"/>
        </w:rPr>
        <w:t>五、一般公共预算财政拨款支出决算情况说明</w:t>
      </w:r>
    </w:p>
    <w:p>
      <w:pPr>
        <w:jc w:val="left"/>
        <w:rPr>
          <w:rFonts w:ascii="宋体" w:cs="宋体"/>
          <w:sz w:val="32"/>
          <w:szCs w:val="32"/>
        </w:rPr>
      </w:pPr>
      <w:r>
        <w:rPr>
          <w:rFonts w:hint="eastAsia" w:ascii="宋体" w:cs="宋体"/>
          <w:sz w:val="32"/>
          <w:szCs w:val="32"/>
        </w:rPr>
        <w:t>六、一般公共预算财政拨款基本支出决算情况说明</w:t>
      </w:r>
    </w:p>
    <w:p>
      <w:pPr>
        <w:jc w:val="left"/>
        <w:rPr>
          <w:rFonts w:ascii="宋体" w:cs="宋体"/>
          <w:sz w:val="32"/>
          <w:szCs w:val="32"/>
        </w:rPr>
      </w:pPr>
      <w:r>
        <w:rPr>
          <w:rFonts w:hint="eastAsia" w:ascii="宋体" w:cs="宋体"/>
          <w:sz w:val="32"/>
          <w:szCs w:val="32"/>
        </w:rPr>
        <w:t>七、一般公共预算财政拨款“三公”经费支出决算情况说明</w:t>
      </w:r>
    </w:p>
    <w:p>
      <w:pPr>
        <w:jc w:val="left"/>
        <w:rPr>
          <w:rFonts w:ascii="宋体" w:cs="宋体"/>
          <w:sz w:val="32"/>
          <w:szCs w:val="32"/>
        </w:rPr>
      </w:pPr>
      <w:r>
        <w:rPr>
          <w:rFonts w:hint="eastAsia" w:ascii="宋体" w:cs="宋体"/>
          <w:sz w:val="32"/>
          <w:szCs w:val="32"/>
        </w:rPr>
        <w:t>八、预算绩效情况说明</w:t>
      </w:r>
    </w:p>
    <w:p>
      <w:pPr>
        <w:jc w:val="left"/>
        <w:rPr>
          <w:rFonts w:ascii="宋体" w:cs="宋体"/>
          <w:sz w:val="32"/>
          <w:szCs w:val="32"/>
        </w:rPr>
      </w:pPr>
      <w:r>
        <w:rPr>
          <w:rFonts w:hint="eastAsia" w:ascii="宋体" w:cs="宋体"/>
          <w:sz w:val="32"/>
          <w:szCs w:val="32"/>
        </w:rPr>
        <w:t>九、政府性基金预算财政拨款收入支出决算情况说明</w:t>
      </w:r>
    </w:p>
    <w:p>
      <w:pPr>
        <w:jc w:val="left"/>
        <w:rPr>
          <w:rFonts w:ascii="宋体" w:cs="宋体"/>
          <w:sz w:val="32"/>
          <w:szCs w:val="32"/>
        </w:rPr>
      </w:pPr>
      <w:r>
        <w:rPr>
          <w:rFonts w:hint="eastAsia" w:ascii="宋体" w:cs="宋体"/>
          <w:sz w:val="32"/>
          <w:szCs w:val="32"/>
        </w:rPr>
        <w:t>十、机关运行经费支出情况说明</w:t>
      </w:r>
    </w:p>
    <w:p>
      <w:pPr>
        <w:jc w:val="left"/>
        <w:rPr>
          <w:rFonts w:ascii="宋体" w:cs="宋体"/>
          <w:sz w:val="32"/>
          <w:szCs w:val="32"/>
        </w:rPr>
      </w:pPr>
      <w:r>
        <w:rPr>
          <w:rFonts w:hint="eastAsia" w:ascii="宋体" w:cs="宋体"/>
          <w:sz w:val="32"/>
          <w:szCs w:val="32"/>
        </w:rPr>
        <w:t>十一、政府采购支出情况说明</w:t>
      </w:r>
    </w:p>
    <w:p>
      <w:pPr>
        <w:jc w:val="left"/>
        <w:rPr>
          <w:rFonts w:ascii="宋体" w:cs="宋体"/>
          <w:sz w:val="32"/>
          <w:szCs w:val="32"/>
        </w:rPr>
      </w:pPr>
      <w:r>
        <w:rPr>
          <w:rFonts w:hint="eastAsia" w:ascii="宋体" w:cs="宋体"/>
          <w:sz w:val="32"/>
          <w:szCs w:val="32"/>
        </w:rPr>
        <w:t>十二、国有资产占用情况说明</w:t>
      </w:r>
    </w:p>
    <w:p>
      <w:pPr>
        <w:jc w:val="left"/>
        <w:rPr>
          <w:rFonts w:ascii="黑体" w:eastAsia="黑体" w:cs="黑体"/>
          <w:sz w:val="32"/>
          <w:szCs w:val="32"/>
        </w:rPr>
      </w:pPr>
      <w:r>
        <w:rPr>
          <w:rFonts w:hint="eastAsia" w:ascii="黑体" w:eastAsia="黑体" w:cs="黑体"/>
          <w:sz w:val="32"/>
          <w:szCs w:val="32"/>
        </w:rPr>
        <w:t>第三部分　　名词解释</w:t>
      </w:r>
    </w:p>
    <w:p>
      <w:pPr>
        <w:jc w:val="left"/>
        <w:rPr>
          <w:rFonts w:ascii="黑体" w:eastAsia="黑体" w:cs="黑体"/>
          <w:sz w:val="32"/>
          <w:szCs w:val="32"/>
        </w:rPr>
      </w:pPr>
      <w:r>
        <w:rPr>
          <w:rFonts w:hint="eastAsia" w:ascii="黑体" w:eastAsia="黑体" w:cs="黑体"/>
          <w:sz w:val="32"/>
          <w:szCs w:val="32"/>
        </w:rPr>
        <w:t>第四部分</w:t>
      </w:r>
      <w:r>
        <w:rPr>
          <w:rFonts w:ascii="黑体" w:eastAsia="黑体" w:cs="黑体"/>
          <w:sz w:val="32"/>
          <w:szCs w:val="32"/>
        </w:rPr>
        <w:t xml:space="preserve">   2018</w:t>
      </w:r>
      <w:r>
        <w:rPr>
          <w:rFonts w:hint="eastAsia" w:ascii="黑体" w:eastAsia="黑体" w:cs="黑体"/>
          <w:sz w:val="32"/>
          <w:szCs w:val="32"/>
        </w:rPr>
        <w:t>年度部门决算表（</w:t>
      </w:r>
      <w:r>
        <w:rPr>
          <w:rFonts w:ascii="黑体" w:eastAsia="黑体" w:cs="黑体"/>
          <w:sz w:val="32"/>
          <w:szCs w:val="32"/>
        </w:rPr>
        <w:t>EXCEL</w:t>
      </w:r>
      <w:r>
        <w:rPr>
          <w:rFonts w:hint="eastAsia" w:ascii="黑体" w:eastAsia="黑体" w:cs="黑体"/>
          <w:sz w:val="32"/>
          <w:szCs w:val="32"/>
        </w:rPr>
        <w:t>表格形式）</w:t>
      </w:r>
    </w:p>
    <w:p>
      <w:pPr>
        <w:jc w:val="left"/>
        <w:rPr>
          <w:rFonts w:ascii="黑体" w:eastAsia="黑体" w:cs="黑体"/>
          <w:sz w:val="32"/>
          <w:szCs w:val="32"/>
        </w:rPr>
      </w:pPr>
    </w:p>
    <w:p>
      <w:pPr>
        <w:numPr>
          <w:ilvl w:val="0"/>
          <w:numId w:val="2"/>
        </w:numPr>
        <w:jc w:val="left"/>
        <w:rPr>
          <w:rFonts w:ascii="黑体" w:eastAsia="黑体" w:cs="黑体"/>
          <w:sz w:val="32"/>
          <w:szCs w:val="32"/>
        </w:rPr>
      </w:pPr>
      <w:r>
        <w:rPr>
          <w:rFonts w:hint="eastAsia" w:ascii="黑体" w:eastAsia="黑体" w:cs="黑体"/>
          <w:sz w:val="32"/>
          <w:szCs w:val="32"/>
        </w:rPr>
        <w:t>收入支出决算总表</w:t>
      </w:r>
    </w:p>
    <w:p>
      <w:pPr>
        <w:jc w:val="left"/>
        <w:rPr>
          <w:rFonts w:ascii="黑体" w:eastAsia="黑体" w:cs="黑体"/>
          <w:sz w:val="32"/>
          <w:szCs w:val="32"/>
        </w:rPr>
      </w:pPr>
    </w:p>
    <w:p>
      <w:pPr>
        <w:numPr>
          <w:ilvl w:val="0"/>
          <w:numId w:val="2"/>
        </w:numPr>
        <w:jc w:val="left"/>
        <w:rPr>
          <w:rFonts w:ascii="黑体" w:eastAsia="黑体" w:cs="黑体"/>
          <w:sz w:val="32"/>
          <w:szCs w:val="32"/>
        </w:rPr>
      </w:pPr>
      <w:r>
        <w:rPr>
          <w:rFonts w:hint="eastAsia" w:ascii="黑体" w:eastAsia="黑体" w:cs="黑体"/>
          <w:sz w:val="32"/>
          <w:szCs w:val="32"/>
        </w:rPr>
        <w:t>收入决算表</w:t>
      </w:r>
    </w:p>
    <w:p>
      <w:pPr>
        <w:jc w:val="left"/>
        <w:rPr>
          <w:rFonts w:ascii="黑体" w:eastAsia="黑体" w:cs="黑体"/>
          <w:sz w:val="32"/>
          <w:szCs w:val="32"/>
        </w:rPr>
      </w:pPr>
    </w:p>
    <w:p>
      <w:pPr>
        <w:numPr>
          <w:ilvl w:val="0"/>
          <w:numId w:val="2"/>
        </w:numPr>
        <w:jc w:val="left"/>
        <w:rPr>
          <w:rFonts w:ascii="黑体" w:eastAsia="黑体" w:cs="黑体"/>
          <w:sz w:val="32"/>
          <w:szCs w:val="32"/>
        </w:rPr>
      </w:pPr>
      <w:r>
        <w:rPr>
          <w:rFonts w:hint="eastAsia" w:ascii="黑体" w:eastAsia="黑体" w:cs="黑体"/>
          <w:sz w:val="32"/>
          <w:szCs w:val="32"/>
        </w:rPr>
        <w:t>支出决算表</w:t>
      </w:r>
    </w:p>
    <w:p>
      <w:pPr>
        <w:jc w:val="left"/>
        <w:rPr>
          <w:rFonts w:ascii="黑体" w:eastAsia="黑体" w:cs="黑体"/>
          <w:sz w:val="32"/>
          <w:szCs w:val="32"/>
        </w:rPr>
      </w:pPr>
    </w:p>
    <w:p>
      <w:pPr>
        <w:numPr>
          <w:ilvl w:val="0"/>
          <w:numId w:val="2"/>
        </w:numPr>
        <w:jc w:val="left"/>
        <w:rPr>
          <w:rFonts w:ascii="黑体" w:eastAsia="黑体" w:cs="黑体"/>
          <w:sz w:val="32"/>
          <w:szCs w:val="32"/>
        </w:rPr>
      </w:pPr>
      <w:r>
        <w:rPr>
          <w:rFonts w:hint="eastAsia" w:ascii="黑体" w:eastAsia="黑体" w:cs="黑体"/>
          <w:sz w:val="32"/>
          <w:szCs w:val="32"/>
        </w:rPr>
        <w:t>财政拨款收入支出决算总表</w:t>
      </w:r>
    </w:p>
    <w:p>
      <w:pPr>
        <w:jc w:val="left"/>
        <w:rPr>
          <w:rFonts w:ascii="黑体" w:eastAsia="黑体" w:cs="黑体"/>
          <w:sz w:val="32"/>
          <w:szCs w:val="32"/>
        </w:rPr>
      </w:pPr>
    </w:p>
    <w:p>
      <w:pPr>
        <w:numPr>
          <w:ilvl w:val="0"/>
          <w:numId w:val="2"/>
        </w:numPr>
        <w:jc w:val="left"/>
        <w:rPr>
          <w:rFonts w:ascii="黑体" w:eastAsia="黑体" w:cs="黑体"/>
          <w:sz w:val="32"/>
          <w:szCs w:val="32"/>
        </w:rPr>
      </w:pPr>
      <w:r>
        <w:rPr>
          <w:rFonts w:hint="eastAsia" w:ascii="黑体" w:eastAsia="黑体" w:cs="黑体"/>
          <w:sz w:val="32"/>
          <w:szCs w:val="32"/>
        </w:rPr>
        <w:t>一般公共预算财政拨款支出决算表</w:t>
      </w:r>
    </w:p>
    <w:p>
      <w:pPr>
        <w:jc w:val="left"/>
        <w:rPr>
          <w:rFonts w:ascii="黑体" w:eastAsia="黑体" w:cs="黑体"/>
          <w:sz w:val="32"/>
          <w:szCs w:val="32"/>
        </w:rPr>
      </w:pPr>
    </w:p>
    <w:p>
      <w:pPr>
        <w:numPr>
          <w:ilvl w:val="0"/>
          <w:numId w:val="2"/>
        </w:numPr>
        <w:jc w:val="left"/>
        <w:rPr>
          <w:rFonts w:ascii="黑体" w:eastAsia="黑体" w:cs="黑体"/>
          <w:sz w:val="32"/>
          <w:szCs w:val="32"/>
        </w:rPr>
      </w:pPr>
      <w:r>
        <w:rPr>
          <w:rFonts w:hint="eastAsia" w:ascii="黑体" w:eastAsia="黑体" w:cs="黑体"/>
          <w:sz w:val="32"/>
          <w:szCs w:val="32"/>
        </w:rPr>
        <w:t>一般公共预算财政拨款基本支出决算表</w:t>
      </w:r>
    </w:p>
    <w:p>
      <w:pPr>
        <w:jc w:val="left"/>
        <w:rPr>
          <w:rFonts w:ascii="黑体" w:eastAsia="黑体" w:cs="黑体"/>
          <w:sz w:val="32"/>
          <w:szCs w:val="32"/>
        </w:rPr>
      </w:pPr>
    </w:p>
    <w:p>
      <w:pPr>
        <w:numPr>
          <w:ilvl w:val="0"/>
          <w:numId w:val="2"/>
        </w:numPr>
        <w:jc w:val="left"/>
        <w:rPr>
          <w:rFonts w:ascii="黑体" w:eastAsia="黑体" w:cs="黑体"/>
          <w:sz w:val="32"/>
          <w:szCs w:val="32"/>
        </w:rPr>
      </w:pPr>
      <w:r>
        <w:rPr>
          <w:rFonts w:hint="eastAsia" w:ascii="黑体" w:eastAsia="黑体" w:cs="黑体"/>
          <w:sz w:val="32"/>
          <w:szCs w:val="32"/>
        </w:rPr>
        <w:t>一般公共预算财政拨款“三公”经费支出决算表</w:t>
      </w:r>
    </w:p>
    <w:p>
      <w:pPr>
        <w:jc w:val="left"/>
        <w:rPr>
          <w:rFonts w:ascii="黑体" w:eastAsia="黑体" w:cs="黑体"/>
          <w:sz w:val="32"/>
          <w:szCs w:val="32"/>
        </w:rPr>
      </w:pPr>
    </w:p>
    <w:p>
      <w:pPr>
        <w:jc w:val="left"/>
        <w:rPr>
          <w:rFonts w:ascii="黑体" w:eastAsia="黑体" w:cs="黑体"/>
          <w:sz w:val="32"/>
          <w:szCs w:val="32"/>
        </w:rPr>
        <w:sectPr>
          <w:footerReference r:id="rId3" w:type="default"/>
          <w:pgSz w:w="11906" w:h="16838"/>
          <w:pgMar w:top="1440" w:right="1800" w:bottom="1440" w:left="1800" w:header="851" w:footer="992" w:gutter="0"/>
          <w:pgNumType w:fmt="numberInDash"/>
          <w:cols w:equalWidth="0" w:num="1">
            <w:col w:w="8306"/>
          </w:cols>
          <w:docGrid w:type="lines" w:linePitch="312" w:charSpace="0"/>
        </w:sectPr>
      </w:pPr>
      <w:r>
        <w:rPr>
          <w:rFonts w:hint="eastAsia" w:ascii="黑体" w:eastAsia="黑体" w:cs="黑体"/>
          <w:sz w:val="32"/>
          <w:szCs w:val="32"/>
        </w:rPr>
        <w:t>八、政府性基金预算财政拨款收入支出决算表</w:t>
      </w: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sectPr>
          <w:footerReference r:id="rId4" w:type="default"/>
          <w:pgSz w:w="11906" w:h="16838"/>
          <w:pgMar w:top="1440" w:right="1800" w:bottom="1440" w:left="1800" w:header="851" w:footer="992" w:gutter="0"/>
          <w:pgNumType w:fmt="numberInDash" w:start="1"/>
          <w:cols w:equalWidth="0" w:num="1">
            <w:col w:w="8306"/>
          </w:cols>
          <w:docGrid w:type="lines" w:linePitch="312" w:charSpace="0"/>
        </w:sectPr>
      </w:pPr>
      <w:r>
        <w:rPr>
          <w:rFonts w:hint="eastAsia" w:ascii="隶书" w:eastAsia="隶书" w:cs="隶书"/>
          <w:sz w:val="48"/>
          <w:szCs w:val="48"/>
        </w:rPr>
        <w:t>第一部分　　</w:t>
      </w:r>
      <w:r>
        <w:rPr>
          <w:rFonts w:hint="eastAsia" w:ascii="隶书" w:eastAsia="隶书" w:cs="隶书"/>
          <w:sz w:val="48"/>
          <w:szCs w:val="48"/>
          <w:lang w:eastAsia="zh-CN"/>
        </w:rPr>
        <w:t>信阳市浉河区城市管理局</w:t>
      </w:r>
      <w:r>
        <w:rPr>
          <w:rFonts w:hint="eastAsia" w:ascii="隶书" w:eastAsia="隶书" w:cs="隶书"/>
          <w:sz w:val="48"/>
          <w:szCs w:val="48"/>
        </w:rPr>
        <w:t>概况</w:t>
      </w:r>
    </w:p>
    <w:p>
      <w:pPr>
        <w:pStyle w:val="4"/>
        <w:widowControl/>
        <w:spacing w:beforeAutospacing="0" w:afterAutospacing="0" w:line="560" w:lineRule="exact"/>
        <w:ind w:firstLine="640" w:firstLineChars="200"/>
        <w:jc w:val="both"/>
        <w:rPr>
          <w:rFonts w:ascii="黑体" w:eastAsia="黑体" w:cs="黑体"/>
          <w:sz w:val="32"/>
          <w:szCs w:val="32"/>
        </w:rPr>
      </w:pPr>
      <w:r>
        <w:rPr>
          <w:rFonts w:hint="eastAsia" w:ascii="黑体" w:eastAsia="黑体" w:cs="黑体"/>
          <w:sz w:val="32"/>
          <w:szCs w:val="32"/>
        </w:rPr>
        <w:t>一、部门职责</w:t>
      </w:r>
    </w:p>
    <w:p>
      <w:pPr>
        <w:pStyle w:val="4"/>
        <w:widowControl/>
        <w:spacing w:beforeAutospacing="0" w:afterAutospacing="0" w:line="560" w:lineRule="exact"/>
        <w:ind w:firstLine="643" w:firstLineChars="200"/>
        <w:jc w:val="both"/>
        <w:rPr>
          <w:rFonts w:ascii="仿宋" w:eastAsia="仿宋"/>
          <w:sz w:val="32"/>
          <w:szCs w:val="32"/>
        </w:rPr>
      </w:pPr>
      <w:r>
        <w:rPr>
          <w:rFonts w:hint="eastAsia" w:ascii="仿宋" w:eastAsia="仿宋"/>
          <w:b/>
          <w:bCs/>
          <w:sz w:val="32"/>
          <w:szCs w:val="32"/>
        </w:rPr>
        <w:t>（一）、</w:t>
      </w:r>
      <w:r>
        <w:rPr>
          <w:rFonts w:ascii="仿宋" w:eastAsia="仿宋"/>
          <w:sz w:val="32"/>
          <w:szCs w:val="32"/>
        </w:rPr>
        <w:t>2018</w:t>
      </w:r>
      <w:r>
        <w:rPr>
          <w:rFonts w:hint="eastAsia" w:ascii="仿宋" w:eastAsia="仿宋"/>
          <w:sz w:val="32"/>
          <w:szCs w:val="32"/>
        </w:rPr>
        <w:t>年，</w:t>
      </w:r>
      <w:r>
        <w:rPr>
          <w:rFonts w:hint="eastAsia" w:ascii="仿宋" w:eastAsia="仿宋"/>
          <w:sz w:val="32"/>
          <w:szCs w:val="32"/>
          <w:lang w:eastAsia="zh-CN"/>
        </w:rPr>
        <w:t>信阳市浉河区城市管理局</w:t>
      </w:r>
      <w:r>
        <w:rPr>
          <w:rFonts w:hint="eastAsia" w:ascii="仿宋" w:eastAsia="仿宋"/>
          <w:sz w:val="32"/>
          <w:szCs w:val="32"/>
        </w:rPr>
        <w:t>在区委、区政府的坚强领导和市城市管理局的正确指导下，统一思想认识，明确目标任务，以国家卫生城市建设和创建全国文明城市工作为契机，持续推进城市精细化管理，强化市容市貌整治、城乡环境卫生管理、市政设施建设、城市防汛、园林管理养护和城市水环境管理等工作，</w:t>
      </w:r>
      <w:r>
        <w:rPr>
          <w:rFonts w:hint="eastAsia" w:ascii="仿宋_GB2312" w:eastAsia="仿宋_GB2312"/>
          <w:sz w:val="32"/>
          <w:szCs w:val="32"/>
        </w:rPr>
        <w:t>为广大市民群众营造更加良好的市容环境，</w:t>
      </w:r>
      <w:r>
        <w:rPr>
          <w:rFonts w:hint="eastAsia" w:ascii="仿宋" w:eastAsia="仿宋"/>
          <w:sz w:val="32"/>
          <w:szCs w:val="32"/>
        </w:rPr>
        <w:t>使城市形象和品位得到显著提升。</w:t>
      </w:r>
    </w:p>
    <w:p>
      <w:pPr>
        <w:pStyle w:val="4"/>
        <w:widowControl/>
        <w:spacing w:beforeAutospacing="0" w:afterAutospacing="0" w:line="560" w:lineRule="exact"/>
        <w:ind w:firstLine="643" w:firstLineChars="200"/>
        <w:jc w:val="both"/>
        <w:rPr>
          <w:rFonts w:ascii="黑体" w:eastAsia="黑体" w:cs="黑体"/>
          <w:b/>
          <w:sz w:val="32"/>
          <w:szCs w:val="32"/>
        </w:rPr>
      </w:pPr>
      <w:r>
        <w:rPr>
          <w:rFonts w:hint="eastAsia" w:ascii="黑体" w:eastAsia="黑体" w:cs="黑体"/>
          <w:b/>
          <w:sz w:val="32"/>
          <w:szCs w:val="32"/>
        </w:rPr>
        <w:t>（二）、工作开展情况</w:t>
      </w:r>
    </w:p>
    <w:p>
      <w:pPr>
        <w:pStyle w:val="4"/>
        <w:widowControl/>
        <w:spacing w:beforeAutospacing="0" w:afterAutospacing="0" w:line="560" w:lineRule="exact"/>
        <w:ind w:firstLine="643" w:firstLineChars="200"/>
        <w:jc w:val="both"/>
        <w:rPr>
          <w:rFonts w:ascii="楷体" w:eastAsia="楷体" w:cs="楷体"/>
          <w:b/>
          <w:bCs/>
          <w:sz w:val="32"/>
          <w:szCs w:val="32"/>
        </w:rPr>
      </w:pPr>
      <w:r>
        <w:rPr>
          <w:rFonts w:hint="eastAsia" w:ascii="楷体" w:eastAsia="楷体" w:cs="楷体"/>
          <w:b/>
          <w:bCs/>
          <w:sz w:val="32"/>
          <w:szCs w:val="32"/>
        </w:rPr>
        <w:t>（</w:t>
      </w:r>
      <w:r>
        <w:rPr>
          <w:rFonts w:ascii="楷体" w:eastAsia="楷体" w:cs="楷体"/>
          <w:b/>
          <w:bCs/>
          <w:sz w:val="32"/>
          <w:szCs w:val="32"/>
        </w:rPr>
        <w:t>1</w:t>
      </w:r>
      <w:r>
        <w:rPr>
          <w:rFonts w:hint="eastAsia" w:ascii="楷体" w:eastAsia="楷体" w:cs="楷体"/>
          <w:b/>
          <w:bCs/>
          <w:sz w:val="32"/>
          <w:szCs w:val="32"/>
        </w:rPr>
        <w:t>）强化市容秩序综合整治，进一步改善城市环境。</w:t>
      </w:r>
    </w:p>
    <w:p>
      <w:pPr>
        <w:pStyle w:val="4"/>
        <w:widowControl/>
        <w:spacing w:beforeAutospacing="0" w:afterAutospacing="0" w:line="560" w:lineRule="exact"/>
        <w:ind w:firstLine="640" w:firstLineChars="200"/>
        <w:jc w:val="both"/>
        <w:rPr>
          <w:rFonts w:ascii="楷体" w:eastAsia="楷体" w:cs="楷体"/>
          <w:bCs/>
          <w:sz w:val="32"/>
          <w:szCs w:val="32"/>
        </w:rPr>
      </w:pPr>
      <w:r>
        <w:rPr>
          <w:rFonts w:hint="eastAsia" w:ascii="仿宋" w:eastAsia="仿宋"/>
          <w:bCs/>
          <w:sz w:val="32"/>
          <w:szCs w:val="32"/>
        </w:rPr>
        <w:t>一是全力开展“一建一创”活动。二是开展重点区域的专项整治行动。三是大力提升城市清洁环境。</w:t>
      </w:r>
      <w:r>
        <w:rPr>
          <w:rFonts w:hint="eastAsia" w:ascii="仿宋" w:eastAsia="仿宋" w:cs="仿宋"/>
          <w:bCs/>
          <w:sz w:val="32"/>
          <w:szCs w:val="32"/>
        </w:rPr>
        <w:t>四是</w:t>
      </w:r>
      <w:r>
        <w:rPr>
          <w:rFonts w:hint="eastAsia" w:ascii="仿宋" w:eastAsia="仿宋"/>
          <w:bCs/>
          <w:sz w:val="32"/>
          <w:szCs w:val="32"/>
        </w:rPr>
        <w:t>认真做好城管职能进社区工作。</w:t>
      </w:r>
    </w:p>
    <w:p>
      <w:pPr>
        <w:widowControl/>
        <w:spacing w:line="560" w:lineRule="exact"/>
        <w:ind w:left="640"/>
        <w:rPr>
          <w:rFonts w:ascii="楷体" w:eastAsia="楷体" w:cs="楷体"/>
          <w:b/>
          <w:bCs/>
          <w:kern w:val="0"/>
          <w:sz w:val="32"/>
          <w:szCs w:val="32"/>
        </w:rPr>
      </w:pPr>
      <w:r>
        <w:rPr>
          <w:rFonts w:hint="eastAsia" w:ascii="楷体" w:eastAsia="楷体" w:cs="楷体"/>
          <w:b/>
          <w:bCs/>
          <w:kern w:val="0"/>
          <w:sz w:val="32"/>
          <w:szCs w:val="32"/>
        </w:rPr>
        <w:t>（</w:t>
      </w:r>
      <w:r>
        <w:rPr>
          <w:rFonts w:ascii="楷体" w:eastAsia="楷体" w:cs="楷体"/>
          <w:b/>
          <w:bCs/>
          <w:kern w:val="0"/>
          <w:sz w:val="32"/>
          <w:szCs w:val="32"/>
        </w:rPr>
        <w:t>2</w:t>
      </w:r>
      <w:r>
        <w:rPr>
          <w:rFonts w:hint="eastAsia" w:ascii="楷体" w:eastAsia="楷体" w:cs="楷体"/>
          <w:b/>
          <w:bCs/>
          <w:kern w:val="0"/>
          <w:sz w:val="32"/>
          <w:szCs w:val="32"/>
        </w:rPr>
        <w:t>）强化乡镇卫生环境整治，做好农村生活垃圾清运工作。</w:t>
      </w:r>
    </w:p>
    <w:p>
      <w:pPr>
        <w:widowControl/>
        <w:spacing w:line="560" w:lineRule="exact"/>
        <w:ind w:left="640" w:firstLine="640" w:firstLineChars="200"/>
        <w:rPr>
          <w:rFonts w:ascii="楷体" w:eastAsia="楷体" w:cs="楷体"/>
          <w:kern w:val="0"/>
          <w:sz w:val="32"/>
          <w:szCs w:val="32"/>
        </w:rPr>
      </w:pPr>
      <w:r>
        <w:rPr>
          <w:rFonts w:hint="eastAsia" w:ascii="仿宋" w:eastAsia="仿宋" w:cs="仿宋"/>
          <w:kern w:val="0"/>
          <w:sz w:val="32"/>
          <w:szCs w:val="32"/>
        </w:rPr>
        <w:t>一是成立高规格组织领导机构。二是制定工作方案。三是强化工作保障。</w:t>
      </w:r>
      <w:r>
        <w:rPr>
          <w:rFonts w:hint="eastAsia" w:ascii="Arial" w:hAnsi="Arial" w:eastAsia="仿宋"/>
          <w:kern w:val="0"/>
          <w:sz w:val="32"/>
          <w:szCs w:val="32"/>
        </w:rPr>
        <w:t>四</w:t>
      </w:r>
      <w:r>
        <w:rPr>
          <w:rFonts w:hint="eastAsia" w:ascii="仿宋" w:eastAsia="仿宋" w:cs="仿宋"/>
          <w:kern w:val="0"/>
          <w:sz w:val="32"/>
          <w:szCs w:val="32"/>
        </w:rPr>
        <w:t>是集中开展陈年垃圾点排查清理工作。</w:t>
      </w:r>
    </w:p>
    <w:p>
      <w:pPr>
        <w:spacing w:line="560" w:lineRule="exact"/>
        <w:ind w:left="487" w:leftChars="232"/>
        <w:rPr>
          <w:rFonts w:ascii="楷体" w:eastAsia="楷体" w:cs="楷体"/>
          <w:b/>
          <w:bCs/>
          <w:kern w:val="0"/>
          <w:sz w:val="32"/>
          <w:szCs w:val="32"/>
        </w:rPr>
      </w:pPr>
      <w:r>
        <w:rPr>
          <w:rFonts w:hint="eastAsia" w:ascii="楷体" w:eastAsia="楷体" w:cs="楷体"/>
          <w:b/>
          <w:bCs/>
          <w:kern w:val="0"/>
          <w:sz w:val="32"/>
          <w:szCs w:val="32"/>
        </w:rPr>
        <w:t>（</w:t>
      </w:r>
      <w:r>
        <w:rPr>
          <w:rFonts w:ascii="楷体" w:eastAsia="楷体" w:cs="楷体"/>
          <w:b/>
          <w:bCs/>
          <w:kern w:val="0"/>
          <w:sz w:val="32"/>
          <w:szCs w:val="32"/>
        </w:rPr>
        <w:t>3</w:t>
      </w:r>
      <w:r>
        <w:rPr>
          <w:rFonts w:hint="eastAsia" w:ascii="楷体" w:eastAsia="楷体" w:cs="楷体"/>
          <w:b/>
          <w:bCs/>
          <w:kern w:val="0"/>
          <w:sz w:val="32"/>
          <w:szCs w:val="32"/>
        </w:rPr>
        <w:t>）强化园林植物日常管养，提升景观效果。</w:t>
      </w:r>
    </w:p>
    <w:p>
      <w:pPr>
        <w:spacing w:line="560" w:lineRule="exact"/>
        <w:ind w:left="487" w:leftChars="232" w:firstLine="640" w:firstLineChars="200"/>
        <w:rPr>
          <w:rFonts w:ascii="楷体" w:eastAsia="楷体" w:cs="楷体"/>
          <w:kern w:val="0"/>
          <w:sz w:val="32"/>
          <w:szCs w:val="32"/>
        </w:rPr>
      </w:pPr>
      <w:r>
        <w:rPr>
          <w:rFonts w:hint="eastAsia" w:ascii="仿宋" w:eastAsia="仿宋"/>
          <w:sz w:val="32"/>
          <w:szCs w:val="32"/>
        </w:rPr>
        <w:t>一是消除死树危树。二是严格补植标准。三是提升景观效果。</w:t>
      </w:r>
    </w:p>
    <w:p>
      <w:pPr>
        <w:spacing w:line="560" w:lineRule="exact"/>
        <w:ind w:left="487" w:leftChars="232"/>
        <w:rPr>
          <w:rFonts w:ascii="楷体" w:eastAsia="楷体" w:cs="楷体"/>
          <w:b/>
          <w:bCs/>
          <w:kern w:val="0"/>
          <w:sz w:val="32"/>
          <w:szCs w:val="32"/>
        </w:rPr>
      </w:pPr>
      <w:r>
        <w:rPr>
          <w:rFonts w:hint="eastAsia" w:ascii="楷体" w:eastAsia="楷体" w:cs="楷体"/>
          <w:b/>
          <w:bCs/>
          <w:kern w:val="0"/>
          <w:sz w:val="32"/>
          <w:szCs w:val="32"/>
        </w:rPr>
        <w:t>（</w:t>
      </w:r>
      <w:r>
        <w:rPr>
          <w:rFonts w:ascii="楷体" w:eastAsia="楷体" w:cs="楷体"/>
          <w:b/>
          <w:bCs/>
          <w:kern w:val="0"/>
          <w:sz w:val="32"/>
          <w:szCs w:val="32"/>
        </w:rPr>
        <w:t>4</w:t>
      </w:r>
      <w:r>
        <w:rPr>
          <w:rFonts w:hint="eastAsia" w:ascii="楷体" w:eastAsia="楷体" w:cs="楷体"/>
          <w:b/>
          <w:bCs/>
          <w:kern w:val="0"/>
          <w:sz w:val="32"/>
          <w:szCs w:val="32"/>
        </w:rPr>
        <w:t>）强化市政基础设施建设，改善城市面貌。</w:t>
      </w:r>
    </w:p>
    <w:p>
      <w:pPr>
        <w:spacing w:line="560" w:lineRule="exact"/>
        <w:ind w:left="487" w:leftChars="232" w:firstLine="640" w:firstLineChars="200"/>
        <w:rPr>
          <w:rFonts w:ascii="楷体" w:eastAsia="楷体" w:cs="楷体"/>
          <w:kern w:val="0"/>
          <w:sz w:val="32"/>
          <w:szCs w:val="32"/>
        </w:rPr>
      </w:pPr>
      <w:r>
        <w:rPr>
          <w:rFonts w:hint="eastAsia" w:ascii="仿宋" w:eastAsia="仿宋" w:cs="仿宋"/>
          <w:sz w:val="32"/>
          <w:szCs w:val="32"/>
        </w:rPr>
        <w:t>一是建立问题整改台帐，强力对照整改。二是积极筹措维修资金，强化沟通协调。三是保证建设质量标准，加强工作保障。</w:t>
      </w:r>
      <w:r>
        <w:rPr>
          <w:rFonts w:hint="eastAsia" w:ascii="仿宋" w:eastAsia="仿宋" w:cs="仿宋"/>
          <w:kern w:val="0"/>
          <w:sz w:val="32"/>
          <w:szCs w:val="32"/>
        </w:rPr>
        <w:t>四是认真落实市、区十件实事。</w:t>
      </w:r>
    </w:p>
    <w:p>
      <w:pPr>
        <w:spacing w:line="560" w:lineRule="exact"/>
        <w:ind w:left="487" w:leftChars="232"/>
        <w:rPr>
          <w:rFonts w:ascii="楷体" w:eastAsia="楷体" w:cs="楷体"/>
          <w:b/>
          <w:bCs/>
          <w:kern w:val="0"/>
          <w:sz w:val="32"/>
          <w:szCs w:val="32"/>
        </w:rPr>
      </w:pPr>
      <w:r>
        <w:rPr>
          <w:rFonts w:hint="eastAsia" w:ascii="楷体" w:eastAsia="楷体" w:cs="楷体"/>
          <w:b/>
          <w:bCs/>
          <w:kern w:val="0"/>
          <w:sz w:val="32"/>
          <w:szCs w:val="32"/>
        </w:rPr>
        <w:t>（</w:t>
      </w:r>
      <w:r>
        <w:rPr>
          <w:rFonts w:ascii="楷体" w:eastAsia="楷体" w:cs="楷体"/>
          <w:b/>
          <w:bCs/>
          <w:kern w:val="0"/>
          <w:sz w:val="32"/>
          <w:szCs w:val="32"/>
        </w:rPr>
        <w:t>5</w:t>
      </w:r>
      <w:r>
        <w:rPr>
          <w:rFonts w:hint="eastAsia" w:ascii="楷体" w:eastAsia="楷体" w:cs="楷体"/>
          <w:b/>
          <w:bCs/>
          <w:kern w:val="0"/>
          <w:sz w:val="32"/>
          <w:szCs w:val="32"/>
        </w:rPr>
        <w:t>）强化中心城市防汛工作，确保安全度汛。</w:t>
      </w:r>
    </w:p>
    <w:p>
      <w:pPr>
        <w:spacing w:line="560" w:lineRule="exact"/>
        <w:ind w:left="487" w:leftChars="232" w:firstLine="640" w:firstLineChars="200"/>
        <w:rPr>
          <w:rFonts w:ascii="仿宋" w:eastAsia="仿宋" w:cs="仿宋"/>
          <w:sz w:val="32"/>
          <w:szCs w:val="32"/>
        </w:rPr>
      </w:pPr>
      <w:r>
        <w:rPr>
          <w:rFonts w:hint="eastAsia" w:ascii="仿宋" w:eastAsia="仿宋" w:cs="仿宋"/>
          <w:sz w:val="32"/>
          <w:szCs w:val="32"/>
        </w:rPr>
        <w:t>一是加强保洁，改善内河环境。二是提高认识</w:t>
      </w:r>
      <w:r>
        <w:rPr>
          <w:rFonts w:ascii="仿宋" w:eastAsia="仿宋" w:cs="仿宋"/>
          <w:sz w:val="32"/>
          <w:szCs w:val="32"/>
        </w:rPr>
        <w:t>,</w:t>
      </w:r>
      <w:r>
        <w:rPr>
          <w:rFonts w:hint="eastAsia" w:ascii="仿宋" w:eastAsia="仿宋" w:cs="仿宋"/>
          <w:sz w:val="32"/>
          <w:szCs w:val="32"/>
        </w:rPr>
        <w:t>转变工作态度。三是顾全大局</w:t>
      </w:r>
      <w:r>
        <w:rPr>
          <w:rFonts w:ascii="仿宋" w:eastAsia="仿宋" w:cs="仿宋"/>
          <w:sz w:val="32"/>
          <w:szCs w:val="32"/>
        </w:rPr>
        <w:t>,</w:t>
      </w:r>
      <w:r>
        <w:rPr>
          <w:rFonts w:hint="eastAsia" w:ascii="仿宋" w:eastAsia="仿宋" w:cs="仿宋"/>
          <w:sz w:val="32"/>
          <w:szCs w:val="32"/>
        </w:rPr>
        <w:t>勇于承担任务。四是强化沟通</w:t>
      </w:r>
      <w:r>
        <w:rPr>
          <w:rFonts w:ascii="仿宋" w:eastAsia="仿宋" w:cs="仿宋"/>
          <w:sz w:val="32"/>
          <w:szCs w:val="32"/>
        </w:rPr>
        <w:t>,</w:t>
      </w:r>
      <w:r>
        <w:rPr>
          <w:rFonts w:hint="eastAsia" w:ascii="仿宋" w:eastAsia="仿宋" w:cs="仿宋"/>
          <w:sz w:val="32"/>
          <w:szCs w:val="32"/>
        </w:rPr>
        <w:t>注重工作保障。</w:t>
      </w:r>
    </w:p>
    <w:p>
      <w:pPr>
        <w:spacing w:line="560" w:lineRule="exact"/>
        <w:ind w:left="487" w:leftChars="232"/>
        <w:rPr>
          <w:rFonts w:ascii="仿宋" w:eastAsia="仿宋" w:cs="仿宋"/>
          <w:b/>
          <w:sz w:val="32"/>
          <w:szCs w:val="32"/>
        </w:rPr>
      </w:pPr>
      <w:r>
        <w:rPr>
          <w:rFonts w:hint="eastAsia" w:ascii="楷体" w:eastAsia="楷体" w:cs="楷体"/>
          <w:b/>
          <w:bCs/>
          <w:sz w:val="32"/>
          <w:szCs w:val="32"/>
        </w:rPr>
        <w:t>（</w:t>
      </w:r>
      <w:r>
        <w:rPr>
          <w:rFonts w:ascii="楷体" w:eastAsia="楷体" w:cs="楷体"/>
          <w:b/>
          <w:bCs/>
          <w:sz w:val="32"/>
          <w:szCs w:val="32"/>
        </w:rPr>
        <w:t>6</w:t>
      </w:r>
      <w:r>
        <w:rPr>
          <w:rFonts w:hint="eastAsia" w:ascii="楷体" w:eastAsia="楷体" w:cs="楷体"/>
          <w:b/>
          <w:bCs/>
          <w:sz w:val="32"/>
          <w:szCs w:val="32"/>
        </w:rPr>
        <w:t>）围绕全区中心工作，积极服务全区经济建设和社会事业发展</w:t>
      </w:r>
      <w:r>
        <w:rPr>
          <w:rFonts w:hint="eastAsia" w:ascii="仿宋" w:eastAsia="仿宋" w:cs="仿宋"/>
          <w:b/>
          <w:bCs/>
          <w:sz w:val="32"/>
          <w:szCs w:val="32"/>
        </w:rPr>
        <w:t>。</w:t>
      </w:r>
      <w:r>
        <w:rPr>
          <w:rFonts w:hint="eastAsia" w:ascii="仿宋" w:eastAsia="仿宋" w:cs="仿宋"/>
          <w:b/>
          <w:sz w:val="32"/>
        </w:rPr>
        <w:t>六是加大黑臭水体治理工作。</w:t>
      </w:r>
    </w:p>
    <w:p>
      <w:pPr>
        <w:spacing w:line="560" w:lineRule="exact"/>
        <w:ind w:left="487" w:leftChars="232" w:firstLine="640" w:firstLineChars="200"/>
        <w:rPr>
          <w:rFonts w:ascii="仿宋" w:eastAsia="仿宋" w:cs="仿宋"/>
          <w:bCs/>
          <w:sz w:val="32"/>
        </w:rPr>
      </w:pPr>
      <w:r>
        <w:rPr>
          <w:rFonts w:hint="eastAsia" w:ascii="仿宋" w:eastAsia="仿宋" w:cs="仿宋"/>
          <w:bCs/>
          <w:sz w:val="32"/>
          <w:szCs w:val="32"/>
        </w:rPr>
        <w:t>一是全力以赴开展精准扶贫工作。二是</w:t>
      </w:r>
      <w:r>
        <w:rPr>
          <w:rFonts w:hint="eastAsia" w:ascii="仿宋" w:eastAsia="仿宋" w:cs="仿宋"/>
          <w:bCs/>
          <w:kern w:val="0"/>
          <w:sz w:val="32"/>
          <w:szCs w:val="32"/>
        </w:rPr>
        <w:t>是加强环境污染攻坚治理</w:t>
      </w:r>
      <w:r>
        <w:rPr>
          <w:rFonts w:hint="eastAsia" w:ascii="仿宋" w:eastAsia="仿宋" w:cs="仿宋"/>
          <w:bCs/>
          <w:sz w:val="32"/>
        </w:rPr>
        <w:t>工作。</w:t>
      </w:r>
      <w:r>
        <w:rPr>
          <w:rFonts w:hint="eastAsia" w:ascii="仿宋" w:eastAsia="仿宋" w:cs="仿宋"/>
          <w:bCs/>
          <w:sz w:val="32"/>
          <w:szCs w:val="32"/>
        </w:rPr>
        <w:t>三是加大对私搭乱建集中整治力度。</w:t>
      </w:r>
      <w:r>
        <w:rPr>
          <w:rFonts w:hint="eastAsia" w:ascii="仿宋" w:eastAsia="仿宋" w:cs="仿宋"/>
          <w:bCs/>
          <w:kern w:val="0"/>
          <w:sz w:val="32"/>
          <w:szCs w:val="32"/>
        </w:rPr>
        <w:t>四</w:t>
      </w:r>
      <w:r>
        <w:rPr>
          <w:rFonts w:hint="eastAsia" w:ascii="仿宋" w:eastAsia="仿宋" w:cs="仿宋"/>
          <w:bCs/>
          <w:sz w:val="32"/>
          <w:szCs w:val="32"/>
        </w:rPr>
        <w:t>持续加强农村生活垃圾收集处理工作。</w:t>
      </w:r>
      <w:r>
        <w:rPr>
          <w:rFonts w:hint="eastAsia" w:ascii="仿宋" w:eastAsia="仿宋" w:cs="仿宋"/>
          <w:bCs/>
          <w:sz w:val="32"/>
        </w:rPr>
        <w:t>五是全力做好出山店水库、兵站路打通搬迁户包保和浉河大市场危房户搬迁工作。</w:t>
      </w:r>
      <w:r>
        <w:rPr>
          <w:rFonts w:hint="eastAsia" w:ascii="仿宋" w:eastAsia="仿宋" w:cs="宋体"/>
          <w:bCs/>
          <w:sz w:val="32"/>
        </w:rPr>
        <w:t>七是积极开展科普日宣传活动。八是扎实开展国家卫生城市建设和全国文明城市创建宣传工作。</w:t>
      </w:r>
    </w:p>
    <w:p>
      <w:pPr>
        <w:spacing w:line="360" w:lineRule="auto"/>
        <w:ind w:firstLine="960" w:firstLineChars="300"/>
        <w:jc w:val="left"/>
        <w:rPr>
          <w:rFonts w:ascii="楷体_GB2312" w:eastAsia="楷体_GB2312" w:cs="楷体_GB2312"/>
          <w:sz w:val="32"/>
          <w:szCs w:val="32"/>
        </w:rPr>
      </w:pPr>
    </w:p>
    <w:p>
      <w:pPr>
        <w:spacing w:line="360" w:lineRule="auto"/>
        <w:ind w:left="640"/>
        <w:jc w:val="left"/>
        <w:outlineLvl w:val="1"/>
        <w:rPr>
          <w:rFonts w:ascii="黑体" w:eastAsia="黑体" w:cs="黑体"/>
          <w:sz w:val="32"/>
          <w:szCs w:val="32"/>
        </w:rPr>
      </w:pPr>
    </w:p>
    <w:p>
      <w:pPr>
        <w:spacing w:line="360" w:lineRule="auto"/>
        <w:ind w:firstLine="640" w:firstLineChars="200"/>
        <w:jc w:val="left"/>
        <w:rPr>
          <w:rFonts w:ascii="黑体" w:eastAsia="黑体" w:cs="黑体"/>
          <w:sz w:val="32"/>
          <w:szCs w:val="32"/>
        </w:rPr>
      </w:pPr>
      <w:r>
        <w:rPr>
          <w:rFonts w:hint="eastAsia" w:ascii="黑体" w:eastAsia="黑体" w:cs="黑体"/>
          <w:sz w:val="32"/>
          <w:szCs w:val="32"/>
        </w:rPr>
        <w:t>二、机构设置</w:t>
      </w:r>
    </w:p>
    <w:p>
      <w:pPr>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lang w:eastAsia="zh-CN"/>
        </w:rPr>
        <w:t>信阳市浉河区城市管理局</w:t>
      </w:r>
      <w:r>
        <w:rPr>
          <w:rFonts w:hint="eastAsia" w:ascii="仿宋_GB2312" w:eastAsia="仿宋_GB2312" w:cs="仿宋_GB2312"/>
          <w:sz w:val="32"/>
          <w:szCs w:val="32"/>
        </w:rPr>
        <w:t>内设</w:t>
      </w:r>
      <w:r>
        <w:rPr>
          <w:rFonts w:ascii="仿宋_GB2312" w:eastAsia="仿宋_GB2312" w:cs="仿宋_GB2312"/>
          <w:sz w:val="32"/>
          <w:szCs w:val="32"/>
        </w:rPr>
        <w:t>5</w:t>
      </w:r>
      <w:r>
        <w:rPr>
          <w:rFonts w:hint="eastAsia" w:ascii="仿宋_GB2312" w:eastAsia="仿宋_GB2312" w:cs="仿宋_GB2312"/>
          <w:sz w:val="32"/>
          <w:szCs w:val="32"/>
        </w:rPr>
        <w:t>个职能股室（办公室、人事股、建设管理股、公用事业股、监察室）、</w:t>
      </w:r>
      <w:r>
        <w:rPr>
          <w:rFonts w:ascii="仿宋_GB2312" w:eastAsia="仿宋_GB2312" w:cs="仿宋_GB2312"/>
          <w:sz w:val="32"/>
          <w:szCs w:val="32"/>
        </w:rPr>
        <w:t>4</w:t>
      </w:r>
      <w:r>
        <w:rPr>
          <w:rFonts w:hint="eastAsia" w:ascii="仿宋_GB2312" w:eastAsia="仿宋_GB2312" w:cs="仿宋_GB2312"/>
          <w:sz w:val="32"/>
          <w:szCs w:val="32"/>
        </w:rPr>
        <w:t>个二级机构（浉河区环境卫生管理所、浉河区园林绿化管理所、浉河区城市道路基础设施管理所、浉河区城管执法监察队）和胜利路步行街管理办公室。</w:t>
      </w:r>
    </w:p>
    <w:p>
      <w:pPr>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从决算单位构成看，</w:t>
      </w:r>
      <w:r>
        <w:rPr>
          <w:rFonts w:hint="eastAsia" w:ascii="仿宋_GB2312" w:eastAsia="仿宋_GB2312" w:cs="仿宋_GB2312"/>
          <w:sz w:val="32"/>
          <w:szCs w:val="32"/>
          <w:lang w:eastAsia="zh-CN"/>
        </w:rPr>
        <w:t>信阳市浉河区城市管理局</w:t>
      </w:r>
      <w:r>
        <w:rPr>
          <w:rFonts w:hint="eastAsia" w:ascii="仿宋_GB2312" w:eastAsia="仿宋_GB2312" w:cs="仿宋_GB2312"/>
          <w:sz w:val="32"/>
          <w:szCs w:val="32"/>
        </w:rPr>
        <w:t>决算包括：本级决算，和所属单位在内的汇总决算。</w:t>
      </w: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pPr>
    </w:p>
    <w:p>
      <w:pPr>
        <w:jc w:val="center"/>
        <w:outlineLvl w:val="0"/>
        <w:rPr>
          <w:rFonts w:ascii="隶书" w:eastAsia="隶书" w:cs="隶书"/>
          <w:sz w:val="48"/>
          <w:szCs w:val="48"/>
        </w:rPr>
      </w:pPr>
    </w:p>
    <w:p>
      <w:pPr>
        <w:jc w:val="center"/>
        <w:outlineLvl w:val="0"/>
        <w:rPr>
          <w:rFonts w:ascii="隶书" w:eastAsia="隶书" w:cs="隶书"/>
          <w:sz w:val="48"/>
          <w:szCs w:val="48"/>
        </w:rPr>
      </w:pPr>
    </w:p>
    <w:p>
      <w:pPr>
        <w:jc w:val="center"/>
        <w:outlineLvl w:val="0"/>
        <w:rPr>
          <w:rFonts w:ascii="隶书" w:eastAsia="隶书" w:cs="隶书"/>
          <w:sz w:val="48"/>
          <w:szCs w:val="48"/>
        </w:rPr>
      </w:pPr>
    </w:p>
    <w:p>
      <w:pPr>
        <w:jc w:val="center"/>
        <w:outlineLvl w:val="0"/>
        <w:rPr>
          <w:rFonts w:ascii="隶书" w:eastAsia="隶书" w:cs="隶书"/>
          <w:sz w:val="48"/>
          <w:szCs w:val="48"/>
        </w:rPr>
      </w:pPr>
    </w:p>
    <w:p>
      <w:pPr>
        <w:jc w:val="center"/>
        <w:outlineLvl w:val="0"/>
        <w:rPr>
          <w:rFonts w:ascii="隶书" w:eastAsia="隶书" w:cs="隶书"/>
          <w:sz w:val="48"/>
          <w:szCs w:val="48"/>
        </w:rPr>
      </w:pPr>
    </w:p>
    <w:p>
      <w:pPr>
        <w:jc w:val="center"/>
        <w:outlineLvl w:val="0"/>
        <w:rPr>
          <w:rFonts w:ascii="隶书" w:eastAsia="隶书" w:cs="隶书"/>
          <w:sz w:val="48"/>
          <w:szCs w:val="48"/>
        </w:rPr>
      </w:pPr>
      <w:r>
        <w:rPr>
          <w:rFonts w:hint="eastAsia" w:ascii="隶书" w:eastAsia="隶书" w:cs="隶书"/>
          <w:sz w:val="48"/>
          <w:szCs w:val="48"/>
        </w:rPr>
        <w:t>第二部分</w:t>
      </w:r>
    </w:p>
    <w:p>
      <w:pPr>
        <w:jc w:val="center"/>
        <w:rPr>
          <w:rFonts w:hint="eastAsia" w:ascii="隶书" w:eastAsia="隶书" w:cs="隶书"/>
          <w:sz w:val="48"/>
          <w:szCs w:val="48"/>
          <w:lang w:eastAsia="zh-CN"/>
        </w:rPr>
      </w:pPr>
      <w:r>
        <w:rPr>
          <w:rFonts w:hint="eastAsia" w:ascii="隶书" w:eastAsia="隶书" w:cs="隶书"/>
          <w:sz w:val="48"/>
          <w:szCs w:val="48"/>
          <w:lang w:eastAsia="zh-CN"/>
        </w:rPr>
        <w:t>信阳市浉河区城市管理局</w:t>
      </w:r>
    </w:p>
    <w:p>
      <w:pPr>
        <w:jc w:val="center"/>
        <w:rPr>
          <w:rFonts w:ascii="隶书" w:eastAsia="隶书" w:cs="隶书"/>
          <w:sz w:val="48"/>
          <w:szCs w:val="48"/>
        </w:rPr>
        <w:sectPr>
          <w:pgSz w:w="11906" w:h="16838"/>
          <w:pgMar w:top="1440" w:right="1800" w:bottom="1440" w:left="1800" w:header="851" w:footer="992" w:gutter="0"/>
          <w:pgNumType w:fmt="numberInDash"/>
          <w:cols w:equalWidth="0" w:num="1">
            <w:col w:w="8306"/>
          </w:cols>
          <w:docGrid w:type="lines" w:linePitch="312" w:charSpace="0"/>
        </w:sectPr>
      </w:pPr>
      <w:r>
        <w:rPr>
          <w:rFonts w:ascii="隶书" w:eastAsia="隶书" w:cs="隶书"/>
          <w:sz w:val="48"/>
          <w:szCs w:val="48"/>
        </w:rPr>
        <w:t>2018</w:t>
      </w:r>
      <w:r>
        <w:rPr>
          <w:rFonts w:hint="eastAsia" w:ascii="隶书" w:eastAsia="隶书" w:cs="隶书"/>
          <w:sz w:val="48"/>
          <w:szCs w:val="48"/>
        </w:rPr>
        <w:t>年度部门决算情况说明</w:t>
      </w:r>
    </w:p>
    <w:p>
      <w:pPr>
        <w:numPr>
          <w:ilvl w:val="0"/>
          <w:numId w:val="3"/>
        </w:numPr>
        <w:adjustRightInd w:val="0"/>
        <w:snapToGrid w:val="0"/>
        <w:spacing w:line="360" w:lineRule="auto"/>
        <w:ind w:firstLine="640" w:firstLineChars="200"/>
        <w:outlineLvl w:val="1"/>
        <w:rPr>
          <w:rFonts w:ascii="黑体" w:eastAsia="黑体"/>
          <w:sz w:val="32"/>
          <w:szCs w:val="32"/>
        </w:rPr>
      </w:pPr>
      <w:r>
        <w:rPr>
          <w:rFonts w:hint="eastAsia" w:ascii="黑体" w:eastAsia="黑体"/>
          <w:sz w:val="32"/>
          <w:szCs w:val="32"/>
        </w:rPr>
        <w:t>收入支出决算总体情况说明</w:t>
      </w:r>
    </w:p>
    <w:p>
      <w:pPr>
        <w:adjustRightInd w:val="0"/>
        <w:snapToGrid w:val="0"/>
        <w:spacing w:line="360" w:lineRule="auto"/>
        <w:ind w:firstLine="640" w:firstLineChars="200"/>
        <w:rPr>
          <w:rFonts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年度收、支总计</w:t>
      </w:r>
      <w:r>
        <w:rPr>
          <w:rFonts w:ascii="仿宋_GB2312" w:eastAsia="仿宋_GB2312" w:cs="Courier New"/>
          <w:sz w:val="32"/>
          <w:szCs w:val="32"/>
        </w:rPr>
        <w:t>3541.11</w:t>
      </w:r>
      <w:r>
        <w:rPr>
          <w:rFonts w:hint="eastAsia" w:ascii="仿宋_GB2312" w:eastAsia="仿宋_GB2312" w:cs="Courier New"/>
          <w:sz w:val="32"/>
          <w:szCs w:val="32"/>
        </w:rPr>
        <w:t>万元，与上年度相比，收、支总计各增加</w:t>
      </w:r>
      <w:r>
        <w:rPr>
          <w:rFonts w:ascii="仿宋_GB2312" w:eastAsia="仿宋_GB2312" w:cs="Courier New"/>
          <w:sz w:val="32"/>
          <w:szCs w:val="32"/>
        </w:rPr>
        <w:t>1733.48</w:t>
      </w:r>
      <w:r>
        <w:rPr>
          <w:rFonts w:hint="eastAsia" w:ascii="仿宋_GB2312" w:eastAsia="仿宋_GB2312" w:cs="Courier New"/>
          <w:sz w:val="32"/>
          <w:szCs w:val="32"/>
        </w:rPr>
        <w:t>万元，增长</w:t>
      </w:r>
      <w:r>
        <w:rPr>
          <w:rFonts w:ascii="仿宋_GB2312" w:eastAsia="仿宋_GB2312" w:cs="Courier New"/>
          <w:sz w:val="32"/>
          <w:szCs w:val="32"/>
        </w:rPr>
        <w:t>48.95%</w:t>
      </w:r>
      <w:r>
        <w:rPr>
          <w:rFonts w:hint="eastAsia" w:ascii="仿宋_GB2312" w:eastAsia="仿宋_GB2312" w:cs="Courier New"/>
          <w:sz w:val="32"/>
          <w:szCs w:val="32"/>
        </w:rPr>
        <w:t>。主要原因是市环卫作业下划到我局。</w:t>
      </w:r>
    </w:p>
    <w:p>
      <w:pPr>
        <w:adjustRightInd w:val="0"/>
        <w:snapToGrid w:val="0"/>
        <w:spacing w:line="360" w:lineRule="auto"/>
        <w:rPr>
          <w:rFonts w:ascii="仿宋_GB2312" w:eastAsia="仿宋_GB2312" w:cs="Courier New"/>
          <w:sz w:val="32"/>
          <w:szCs w:val="32"/>
        </w:rPr>
      </w:pPr>
    </w:p>
    <w:p>
      <w:pPr>
        <w:numPr>
          <w:ilvl w:val="0"/>
          <w:numId w:val="3"/>
        </w:numPr>
        <w:adjustRightInd w:val="0"/>
        <w:snapToGrid w:val="0"/>
        <w:spacing w:line="360" w:lineRule="auto"/>
        <w:ind w:firstLine="640" w:firstLineChars="200"/>
        <w:outlineLvl w:val="1"/>
        <w:rPr>
          <w:rFonts w:ascii="黑体" w:eastAsia="黑体"/>
          <w:sz w:val="32"/>
          <w:szCs w:val="32"/>
        </w:rPr>
      </w:pPr>
      <w:r>
        <w:rPr>
          <w:rFonts w:hint="eastAsia" w:ascii="黑体" w:eastAsia="黑体" w:cs="Times New Roman"/>
          <w:sz w:val="32"/>
          <w:szCs w:val="32"/>
        </w:rPr>
        <w:t>收入决算情况说明</w:t>
      </w:r>
    </w:p>
    <w:p>
      <w:pPr>
        <w:adjustRightInd w:val="0"/>
        <w:snapToGrid w:val="0"/>
        <w:spacing w:line="360" w:lineRule="auto"/>
        <w:ind w:firstLine="640" w:firstLineChars="200"/>
        <w:rPr>
          <w:rFonts w:ascii="仿宋_GB2312" w:eastAsia="仿宋_GB2312"/>
          <w:sz w:val="32"/>
          <w:szCs w:val="32"/>
        </w:rPr>
      </w:pPr>
      <w:r>
        <w:rPr>
          <w:rFonts w:ascii="仿宋_GB2312" w:eastAsia="仿宋_GB2312" w:cs="Courier New"/>
          <w:sz w:val="32"/>
          <w:szCs w:val="32"/>
        </w:rPr>
        <w:t>2018</w:t>
      </w:r>
      <w:r>
        <w:rPr>
          <w:rFonts w:hint="eastAsia" w:ascii="仿宋_GB2312" w:eastAsia="仿宋_GB2312" w:cs="Courier New"/>
          <w:sz w:val="32"/>
          <w:szCs w:val="32"/>
        </w:rPr>
        <w:t>年度</w:t>
      </w:r>
      <w:r>
        <w:rPr>
          <w:rFonts w:hint="eastAsia" w:ascii="仿宋_GB2312" w:eastAsia="仿宋_GB2312"/>
          <w:sz w:val="32"/>
          <w:szCs w:val="32"/>
        </w:rPr>
        <w:t>收入合计</w:t>
      </w:r>
      <w:r>
        <w:rPr>
          <w:rFonts w:ascii="仿宋_GB2312" w:eastAsia="仿宋_GB2312" w:cs="Courier New"/>
          <w:sz w:val="32"/>
          <w:szCs w:val="32"/>
        </w:rPr>
        <w:t>3541.11</w:t>
      </w:r>
      <w:r>
        <w:rPr>
          <w:rFonts w:hint="eastAsia" w:ascii="仿宋_GB2312" w:eastAsia="仿宋_GB2312"/>
          <w:sz w:val="32"/>
          <w:szCs w:val="32"/>
        </w:rPr>
        <w:t>万元，其中：财政拨款收入</w:t>
      </w:r>
      <w:r>
        <w:rPr>
          <w:rFonts w:ascii="仿宋_GB2312" w:eastAsia="仿宋_GB2312" w:cs="Courier New"/>
          <w:sz w:val="32"/>
          <w:szCs w:val="32"/>
        </w:rPr>
        <w:t>3541.11</w:t>
      </w:r>
      <w:r>
        <w:rPr>
          <w:rFonts w:hint="eastAsia" w:ascii="仿宋_GB2312" w:eastAsia="仿宋_GB2312"/>
          <w:sz w:val="32"/>
          <w:szCs w:val="32"/>
        </w:rPr>
        <w:t>万元，占</w:t>
      </w:r>
      <w:r>
        <w:rPr>
          <w:rFonts w:ascii="仿宋_GB2312" w:eastAsia="仿宋_GB2312"/>
          <w:sz w:val="32"/>
          <w:szCs w:val="32"/>
        </w:rPr>
        <w:t>100%</w:t>
      </w:r>
      <w:r>
        <w:rPr>
          <w:rFonts w:hint="eastAsia" w:ascii="仿宋_GB2312" w:eastAsia="仿宋_GB2312"/>
          <w:sz w:val="32"/>
          <w:szCs w:val="32"/>
        </w:rPr>
        <w:t>；上级补助收入</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，事业收入</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；经营收入</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；附属单位上缴收入</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其他收入</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w:t>
      </w:r>
    </w:p>
    <w:p>
      <w:pPr>
        <w:adjustRightInd w:val="0"/>
        <w:snapToGrid w:val="0"/>
        <w:spacing w:line="360" w:lineRule="auto"/>
        <w:ind w:firstLine="640" w:firstLineChars="200"/>
        <w:rPr>
          <w:rFonts w:ascii="仿宋_GB2312" w:eastAsia="仿宋_GB2312"/>
          <w:sz w:val="32"/>
          <w:szCs w:val="32"/>
        </w:rPr>
      </w:pPr>
    </w:p>
    <w:p>
      <w:pPr>
        <w:numPr>
          <w:ilvl w:val="0"/>
          <w:numId w:val="3"/>
        </w:numPr>
        <w:adjustRightInd w:val="0"/>
        <w:snapToGrid w:val="0"/>
        <w:spacing w:line="360" w:lineRule="auto"/>
        <w:ind w:firstLine="640" w:firstLineChars="200"/>
        <w:outlineLvl w:val="1"/>
        <w:rPr>
          <w:rFonts w:ascii="黑体" w:eastAsia="黑体"/>
          <w:sz w:val="32"/>
          <w:szCs w:val="32"/>
        </w:rPr>
      </w:pPr>
      <w:r>
        <w:rPr>
          <w:rFonts w:hint="eastAsia" w:ascii="黑体" w:eastAsia="黑体" w:cs="Times New Roman"/>
          <w:sz w:val="32"/>
          <w:szCs w:val="32"/>
        </w:rPr>
        <w:t>关于支出决算情况说明</w:t>
      </w:r>
    </w:p>
    <w:p>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年度支出合计</w:t>
      </w:r>
      <w:r>
        <w:rPr>
          <w:rFonts w:ascii="仿宋_GB2312" w:eastAsia="仿宋_GB2312"/>
          <w:sz w:val="32"/>
          <w:szCs w:val="32"/>
        </w:rPr>
        <w:t>3541.11</w:t>
      </w:r>
      <w:r>
        <w:rPr>
          <w:rFonts w:hint="eastAsia" w:ascii="仿宋_GB2312" w:eastAsia="仿宋_GB2312"/>
          <w:sz w:val="32"/>
          <w:szCs w:val="32"/>
        </w:rPr>
        <w:t>万元，其中：基本支出</w:t>
      </w:r>
      <w:r>
        <w:rPr>
          <w:rFonts w:ascii="仿宋_GB2312" w:eastAsia="仿宋_GB2312"/>
          <w:sz w:val="32"/>
          <w:szCs w:val="32"/>
        </w:rPr>
        <w:t>1566.83</w:t>
      </w:r>
      <w:r>
        <w:rPr>
          <w:rFonts w:hint="eastAsia" w:ascii="仿宋_GB2312" w:eastAsia="仿宋_GB2312"/>
          <w:sz w:val="32"/>
          <w:szCs w:val="32"/>
        </w:rPr>
        <w:t>万元，占</w:t>
      </w:r>
      <w:r>
        <w:rPr>
          <w:rFonts w:ascii="仿宋_GB2312" w:eastAsia="仿宋_GB2312"/>
          <w:sz w:val="32"/>
          <w:szCs w:val="32"/>
        </w:rPr>
        <w:t>44.25%</w:t>
      </w:r>
      <w:r>
        <w:rPr>
          <w:rFonts w:hint="eastAsia" w:ascii="仿宋_GB2312" w:eastAsia="仿宋_GB2312"/>
          <w:sz w:val="32"/>
          <w:szCs w:val="32"/>
        </w:rPr>
        <w:t>；项目支出</w:t>
      </w:r>
      <w:r>
        <w:rPr>
          <w:rFonts w:ascii="仿宋_GB2312" w:eastAsia="仿宋_GB2312"/>
          <w:sz w:val="32"/>
          <w:szCs w:val="32"/>
        </w:rPr>
        <w:t>1974.28</w:t>
      </w:r>
      <w:r>
        <w:rPr>
          <w:rFonts w:hint="eastAsia" w:ascii="仿宋_GB2312" w:eastAsia="仿宋_GB2312"/>
          <w:sz w:val="32"/>
          <w:szCs w:val="32"/>
        </w:rPr>
        <w:t>万元，占</w:t>
      </w:r>
      <w:r>
        <w:rPr>
          <w:rFonts w:ascii="仿宋_GB2312" w:eastAsia="仿宋_GB2312"/>
          <w:sz w:val="32"/>
          <w:szCs w:val="32"/>
        </w:rPr>
        <w:t>55.75%</w:t>
      </w:r>
      <w:r>
        <w:rPr>
          <w:rFonts w:hint="eastAsia" w:ascii="仿宋_GB2312" w:eastAsia="仿宋_GB2312"/>
          <w:sz w:val="32"/>
          <w:szCs w:val="32"/>
        </w:rPr>
        <w:t>；上缴上级支出占</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。经营支出</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。对附属单位补助支出</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w:t>
      </w:r>
    </w:p>
    <w:p>
      <w:pPr>
        <w:numPr>
          <w:ilvl w:val="0"/>
          <w:numId w:val="3"/>
        </w:numPr>
        <w:adjustRightInd w:val="0"/>
        <w:snapToGrid w:val="0"/>
        <w:spacing w:line="360" w:lineRule="auto"/>
        <w:ind w:firstLine="640" w:firstLineChars="200"/>
        <w:outlineLvl w:val="1"/>
        <w:rPr>
          <w:rFonts w:ascii="黑体" w:eastAsia="黑体"/>
          <w:sz w:val="32"/>
          <w:szCs w:val="32"/>
        </w:rPr>
      </w:pPr>
      <w:r>
        <w:rPr>
          <w:rFonts w:hint="eastAsia" w:ascii="黑体" w:eastAsia="黑体" w:cs="Times New Roman"/>
          <w:sz w:val="32"/>
          <w:szCs w:val="32"/>
        </w:rPr>
        <w:t>财政拨款收入支出决算总体情况说明</w:t>
      </w:r>
    </w:p>
    <w:p>
      <w:pPr>
        <w:adjustRightInd w:val="0"/>
        <w:snapToGrid w:val="0"/>
        <w:spacing w:line="360" w:lineRule="auto"/>
        <w:ind w:firstLine="640" w:firstLineChars="200"/>
        <w:rPr>
          <w:rFonts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年财政拨款收、支总计均为</w:t>
      </w:r>
      <w:r>
        <w:rPr>
          <w:rFonts w:ascii="仿宋_GB2312" w:eastAsia="仿宋_GB2312" w:cs="Courier New"/>
          <w:sz w:val="32"/>
          <w:szCs w:val="32"/>
        </w:rPr>
        <w:t>3541.11</w:t>
      </w:r>
      <w:r>
        <w:rPr>
          <w:rFonts w:hint="eastAsia" w:ascii="仿宋_GB2312" w:eastAsia="仿宋_GB2312" w:cs="Courier New"/>
          <w:sz w:val="32"/>
          <w:szCs w:val="32"/>
        </w:rPr>
        <w:t>万元。与上年度相比，财政拨款收、支总计各增加</w:t>
      </w:r>
      <w:r>
        <w:rPr>
          <w:rFonts w:ascii="仿宋_GB2312" w:eastAsia="仿宋_GB2312" w:cs="Courier New"/>
          <w:sz w:val="32"/>
          <w:szCs w:val="32"/>
        </w:rPr>
        <w:t>1733.48</w:t>
      </w:r>
      <w:r>
        <w:rPr>
          <w:rFonts w:hint="eastAsia" w:ascii="仿宋_GB2312" w:eastAsia="仿宋_GB2312" w:cs="Courier New"/>
          <w:sz w:val="32"/>
          <w:szCs w:val="32"/>
        </w:rPr>
        <w:t>万元，</w:t>
      </w:r>
      <w:r>
        <w:rPr>
          <w:rFonts w:ascii="仿宋_GB2312" w:eastAsia="仿宋_GB2312" w:cs="Courier New"/>
          <w:sz w:val="32"/>
          <w:szCs w:val="32"/>
        </w:rPr>
        <w:t>48.95%</w:t>
      </w:r>
      <w:r>
        <w:rPr>
          <w:rFonts w:hint="eastAsia" w:ascii="仿宋_GB2312" w:eastAsia="仿宋_GB2312" w:cs="Courier New"/>
          <w:sz w:val="32"/>
          <w:szCs w:val="32"/>
        </w:rPr>
        <w:t>。主要原因是市环卫作业下划到我局。</w:t>
      </w:r>
    </w:p>
    <w:p>
      <w:pPr>
        <w:adjustRightInd w:val="0"/>
        <w:snapToGrid w:val="0"/>
        <w:spacing w:line="360" w:lineRule="auto"/>
        <w:ind w:firstLine="640" w:firstLineChars="200"/>
        <w:rPr>
          <w:rFonts w:ascii="仿宋_GB2312" w:eastAsia="仿宋_GB2312" w:cs="Courier New"/>
          <w:sz w:val="32"/>
          <w:szCs w:val="32"/>
        </w:rPr>
      </w:pPr>
    </w:p>
    <w:p>
      <w:pPr>
        <w:adjustRightInd w:val="0"/>
        <w:snapToGrid w:val="0"/>
        <w:spacing w:line="360" w:lineRule="auto"/>
        <w:ind w:firstLine="640" w:firstLineChars="200"/>
        <w:rPr>
          <w:rFonts w:ascii="仿宋_GB2312" w:eastAsia="仿宋_GB2312" w:cs="Courier New"/>
          <w:sz w:val="32"/>
          <w:szCs w:val="32"/>
        </w:rPr>
      </w:pPr>
    </w:p>
    <w:p>
      <w:pPr>
        <w:numPr>
          <w:ilvl w:val="0"/>
          <w:numId w:val="3"/>
        </w:numPr>
        <w:adjustRightInd w:val="0"/>
        <w:snapToGrid w:val="0"/>
        <w:spacing w:line="360" w:lineRule="auto"/>
        <w:ind w:firstLine="640" w:firstLineChars="200"/>
        <w:outlineLvl w:val="1"/>
        <w:rPr>
          <w:rFonts w:ascii="黑体" w:eastAsia="黑体"/>
          <w:sz w:val="32"/>
          <w:szCs w:val="32"/>
        </w:rPr>
      </w:pPr>
      <w:r>
        <w:rPr>
          <w:rFonts w:hint="eastAsia" w:ascii="黑体" w:eastAsia="黑体" w:cs="Times New Roman"/>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eastAsia="楷体_GB2312" w:cs="楷体_GB2312"/>
          <w:sz w:val="32"/>
          <w:szCs w:val="32"/>
        </w:rPr>
      </w:pPr>
      <w:r>
        <w:rPr>
          <w:rFonts w:hint="eastAsia" w:ascii="楷体_GB2312" w:eastAsia="楷体_GB2312" w:cs="楷体_GB2312"/>
          <w:sz w:val="32"/>
          <w:szCs w:val="32"/>
        </w:rPr>
        <w:t>总体情况。</w:t>
      </w:r>
    </w:p>
    <w:p>
      <w:pPr>
        <w:adjustRightInd w:val="0"/>
        <w:snapToGrid w:val="0"/>
        <w:spacing w:line="360" w:lineRule="auto"/>
        <w:ind w:firstLine="640" w:firstLineChars="200"/>
        <w:rPr>
          <w:rFonts w:ascii="楷体_GB2312" w:eastAsia="楷体_GB2312" w:cs="楷体_GB2312"/>
          <w:sz w:val="32"/>
          <w:szCs w:val="32"/>
        </w:rPr>
      </w:pPr>
      <w:r>
        <w:rPr>
          <w:rFonts w:ascii="仿宋_GB2312" w:eastAsia="仿宋_GB2312" w:cs="Courier New"/>
          <w:sz w:val="32"/>
          <w:szCs w:val="32"/>
        </w:rPr>
        <w:t>2018</w:t>
      </w:r>
      <w:r>
        <w:rPr>
          <w:rFonts w:hint="eastAsia" w:ascii="仿宋_GB2312" w:eastAsia="仿宋_GB2312" w:cs="Courier New"/>
          <w:sz w:val="32"/>
          <w:szCs w:val="32"/>
        </w:rPr>
        <w:t>年度一般公共预算财政拨款支出</w:t>
      </w:r>
      <w:r>
        <w:rPr>
          <w:rFonts w:ascii="仿宋_GB2312" w:eastAsia="仿宋_GB2312" w:cs="Courier New"/>
          <w:sz w:val="32"/>
          <w:szCs w:val="32"/>
        </w:rPr>
        <w:t>3541.11</w:t>
      </w:r>
      <w:r>
        <w:rPr>
          <w:rFonts w:hint="eastAsia" w:ascii="仿宋_GB2312" w:eastAsia="仿宋_GB2312" w:cs="Courier New"/>
          <w:sz w:val="32"/>
          <w:szCs w:val="32"/>
        </w:rPr>
        <w:t>万元，占本年支出合计的</w:t>
      </w:r>
      <w:r>
        <w:rPr>
          <w:rFonts w:ascii="仿宋_GB2312" w:eastAsia="仿宋_GB2312" w:cs="Courier New"/>
          <w:sz w:val="32"/>
          <w:szCs w:val="32"/>
        </w:rPr>
        <w:t>100%</w:t>
      </w:r>
      <w:r>
        <w:rPr>
          <w:rFonts w:hint="eastAsia" w:ascii="仿宋_GB2312" w:eastAsia="仿宋_GB2312" w:cs="Courier New"/>
          <w:sz w:val="32"/>
          <w:szCs w:val="32"/>
        </w:rPr>
        <w:t>。与上年度相比，一般公共预算财政拨款支出增加</w:t>
      </w:r>
      <w:r>
        <w:rPr>
          <w:rFonts w:ascii="仿宋_GB2312" w:eastAsia="仿宋_GB2312" w:cs="Courier New"/>
          <w:sz w:val="32"/>
          <w:szCs w:val="32"/>
        </w:rPr>
        <w:t>1733.48</w:t>
      </w:r>
      <w:r>
        <w:rPr>
          <w:rFonts w:hint="eastAsia" w:ascii="仿宋_GB2312" w:eastAsia="仿宋_GB2312" w:cs="Courier New"/>
          <w:sz w:val="32"/>
          <w:szCs w:val="32"/>
        </w:rPr>
        <w:t>万元，增长</w:t>
      </w:r>
      <w:r>
        <w:rPr>
          <w:rFonts w:ascii="仿宋_GB2312" w:eastAsia="仿宋_GB2312" w:cs="Courier New"/>
          <w:sz w:val="32"/>
          <w:szCs w:val="32"/>
        </w:rPr>
        <w:t>48.9%</w:t>
      </w:r>
      <w:r>
        <w:rPr>
          <w:rFonts w:hint="eastAsia" w:ascii="仿宋_GB2312" w:eastAsia="仿宋_GB2312" w:cs="Courier New"/>
          <w:sz w:val="32"/>
          <w:szCs w:val="32"/>
        </w:rPr>
        <w:t>。主要原因是市环卫作业下划到我局。</w:t>
      </w:r>
    </w:p>
    <w:p>
      <w:pPr>
        <w:tabs>
          <w:tab w:val="left" w:pos="0"/>
        </w:tabs>
        <w:adjustRightInd w:val="0"/>
        <w:snapToGrid w:val="0"/>
        <w:spacing w:line="360" w:lineRule="auto"/>
        <w:ind w:firstLine="640" w:firstLineChars="200"/>
        <w:rPr>
          <w:rFonts w:ascii="楷体_GB2312" w:eastAsia="楷体_GB2312" w:cs="楷体_GB2312"/>
          <w:sz w:val="32"/>
          <w:szCs w:val="32"/>
        </w:rPr>
      </w:pPr>
      <w:r>
        <w:rPr>
          <w:rFonts w:hint="eastAsia" w:ascii="楷体_GB2312" w:eastAsia="楷体_GB2312" w:cs="楷体_GB2312"/>
          <w:sz w:val="32"/>
          <w:szCs w:val="32"/>
        </w:rPr>
        <w:t>二、结构情况。</w:t>
      </w:r>
    </w:p>
    <w:p>
      <w:pPr>
        <w:adjustRightInd w:val="0"/>
        <w:snapToGrid w:val="0"/>
        <w:spacing w:line="360" w:lineRule="auto"/>
        <w:ind w:firstLine="640" w:firstLineChars="200"/>
        <w:rPr>
          <w:rFonts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年度一般公共预算财政拨款支出</w:t>
      </w:r>
      <w:r>
        <w:rPr>
          <w:rFonts w:ascii="仿宋_GB2312" w:eastAsia="仿宋_GB2312" w:cs="Courier New"/>
          <w:sz w:val="32"/>
          <w:szCs w:val="32"/>
          <w:shd w:val="pct10" w:color="auto" w:fill="FFFFFF"/>
        </w:rPr>
        <w:t>3541.11</w:t>
      </w:r>
      <w:r>
        <w:rPr>
          <w:rFonts w:hint="eastAsia" w:ascii="仿宋_GB2312" w:eastAsia="仿宋_GB2312" w:cs="Courier New"/>
          <w:sz w:val="32"/>
          <w:szCs w:val="32"/>
        </w:rPr>
        <w:t>万元，主要用于以下方面：</w:t>
      </w:r>
      <w:r>
        <w:rPr>
          <w:rFonts w:hint="eastAsia" w:ascii="仿宋_GB2312" w:eastAsia="仿宋_GB2312" w:cs="Courier New"/>
          <w:b/>
          <w:bCs/>
          <w:sz w:val="32"/>
          <w:szCs w:val="32"/>
        </w:rPr>
        <w:t>一般公共服务（类）</w:t>
      </w:r>
      <w:r>
        <w:rPr>
          <w:rFonts w:hint="eastAsia" w:ascii="仿宋_GB2312" w:eastAsia="仿宋_GB2312" w:cs="Courier New"/>
          <w:sz w:val="32"/>
          <w:szCs w:val="32"/>
        </w:rPr>
        <w:t>支出</w:t>
      </w:r>
      <w:r>
        <w:rPr>
          <w:rFonts w:ascii="仿宋_GB2312" w:eastAsia="仿宋_GB2312" w:cs="Courier New"/>
          <w:sz w:val="32"/>
          <w:szCs w:val="32"/>
        </w:rPr>
        <w:t>1191.82</w:t>
      </w:r>
      <w:r>
        <w:rPr>
          <w:rFonts w:hint="eastAsia" w:ascii="仿宋_GB2312" w:eastAsia="仿宋_GB2312" w:cs="Courier New"/>
          <w:sz w:val="32"/>
          <w:szCs w:val="32"/>
        </w:rPr>
        <w:t>万元，占</w:t>
      </w:r>
      <w:r>
        <w:rPr>
          <w:rFonts w:ascii="仿宋_GB2312" w:eastAsia="仿宋_GB2312" w:cs="Courier New"/>
          <w:sz w:val="32"/>
          <w:szCs w:val="32"/>
        </w:rPr>
        <w:t>33.65%</w:t>
      </w:r>
      <w:r>
        <w:rPr>
          <w:rFonts w:hint="eastAsia" w:ascii="仿宋_GB2312" w:eastAsia="仿宋_GB2312" w:cs="Courier New"/>
          <w:sz w:val="32"/>
          <w:szCs w:val="32"/>
        </w:rPr>
        <w:t>；</w:t>
      </w:r>
      <w:r>
        <w:rPr>
          <w:rFonts w:ascii="仿宋_GB2312" w:eastAsia="仿宋_GB2312" w:cs="Courier New"/>
          <w:sz w:val="32"/>
          <w:szCs w:val="32"/>
        </w:rPr>
        <w:t xml:space="preserve"> </w:t>
      </w:r>
      <w:r>
        <w:rPr>
          <w:rFonts w:hint="eastAsia" w:ascii="仿宋_GB2312" w:eastAsia="仿宋_GB2312" w:cs="Courier New"/>
          <w:sz w:val="32"/>
          <w:szCs w:val="32"/>
        </w:rPr>
        <w:t>城乡社区项目</w:t>
      </w:r>
      <w:r>
        <w:rPr>
          <w:rFonts w:hint="eastAsia" w:ascii="仿宋_GB2312" w:eastAsia="仿宋_GB2312" w:cs="Courier New"/>
          <w:b/>
          <w:bCs/>
          <w:sz w:val="32"/>
          <w:szCs w:val="32"/>
        </w:rPr>
        <w:t>（类）</w:t>
      </w:r>
      <w:r>
        <w:rPr>
          <w:rFonts w:hint="eastAsia" w:ascii="仿宋_GB2312" w:eastAsia="仿宋_GB2312" w:cs="Courier New"/>
          <w:sz w:val="32"/>
          <w:szCs w:val="32"/>
        </w:rPr>
        <w:t>支出</w:t>
      </w:r>
      <w:r>
        <w:rPr>
          <w:rFonts w:ascii="仿宋_GB2312" w:eastAsia="仿宋_GB2312" w:cs="Courier New"/>
          <w:sz w:val="32"/>
          <w:szCs w:val="32"/>
        </w:rPr>
        <w:t>2349.82</w:t>
      </w:r>
      <w:r>
        <w:rPr>
          <w:rFonts w:hint="eastAsia" w:ascii="仿宋_GB2312" w:eastAsia="仿宋_GB2312" w:cs="Courier New"/>
          <w:sz w:val="32"/>
          <w:szCs w:val="32"/>
        </w:rPr>
        <w:t>万元，占</w:t>
      </w:r>
      <w:r>
        <w:rPr>
          <w:rFonts w:ascii="仿宋_GB2312" w:eastAsia="仿宋_GB2312" w:cs="Courier New"/>
          <w:sz w:val="32"/>
          <w:szCs w:val="32"/>
        </w:rPr>
        <w:t>66.35%</w:t>
      </w:r>
      <w:r>
        <w:rPr>
          <w:rFonts w:hint="eastAsia" w:ascii="仿宋_GB2312" w:eastAsia="仿宋_GB2312" w:cs="Courier New"/>
          <w:sz w:val="32"/>
          <w:szCs w:val="32"/>
        </w:rPr>
        <w:t>；</w:t>
      </w:r>
    </w:p>
    <w:p>
      <w:pPr>
        <w:numPr>
          <w:ilvl w:val="0"/>
          <w:numId w:val="4"/>
        </w:numPr>
        <w:adjustRightInd w:val="0"/>
        <w:snapToGrid w:val="0"/>
        <w:spacing w:line="360" w:lineRule="auto"/>
        <w:ind w:firstLine="640" w:firstLineChars="200"/>
        <w:rPr>
          <w:rFonts w:ascii="楷体_GB2312" w:eastAsia="楷体_GB2312" w:cs="楷体_GB2312"/>
          <w:sz w:val="32"/>
          <w:szCs w:val="32"/>
        </w:rPr>
      </w:pPr>
      <w:r>
        <w:rPr>
          <w:rFonts w:hint="eastAsia" w:ascii="楷体_GB2312" w:eastAsia="楷体_GB2312" w:cs="楷体_GB2312"/>
          <w:sz w:val="32"/>
          <w:szCs w:val="32"/>
        </w:rPr>
        <w:t>具体情况。</w:t>
      </w:r>
    </w:p>
    <w:p>
      <w:pPr>
        <w:adjustRightInd w:val="0"/>
        <w:snapToGrid w:val="0"/>
        <w:spacing w:line="360" w:lineRule="auto"/>
        <w:ind w:firstLine="640" w:firstLineChars="200"/>
        <w:rPr>
          <w:rFonts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年度一般公共预算财政拨款支出年初预算为</w:t>
      </w:r>
      <w:r>
        <w:rPr>
          <w:rFonts w:ascii="仿宋_GB2312" w:eastAsia="仿宋_GB2312" w:cs="Courier New"/>
          <w:sz w:val="32"/>
          <w:szCs w:val="32"/>
        </w:rPr>
        <w:t>1632.46</w:t>
      </w:r>
      <w:r>
        <w:rPr>
          <w:rFonts w:hint="eastAsia" w:ascii="仿宋_GB2312" w:eastAsia="仿宋_GB2312" w:cs="Courier New"/>
          <w:sz w:val="32"/>
          <w:szCs w:val="32"/>
        </w:rPr>
        <w:t>万元，支出决算为</w:t>
      </w:r>
      <w:r>
        <w:rPr>
          <w:rFonts w:ascii="仿宋_GB2312" w:eastAsia="仿宋_GB2312" w:cs="Courier New"/>
          <w:sz w:val="32"/>
          <w:szCs w:val="32"/>
        </w:rPr>
        <w:t>3541.11</w:t>
      </w:r>
      <w:r>
        <w:rPr>
          <w:rFonts w:hint="eastAsia" w:ascii="仿宋_GB2312" w:eastAsia="仿宋_GB2312" w:cs="Courier New"/>
          <w:sz w:val="32"/>
          <w:szCs w:val="32"/>
        </w:rPr>
        <w:t>万元，完成年初预算的</w:t>
      </w:r>
      <w:r>
        <w:rPr>
          <w:rFonts w:ascii="仿宋_GB2312" w:eastAsia="仿宋_GB2312" w:cs="Courier New"/>
          <w:sz w:val="32"/>
          <w:szCs w:val="32"/>
        </w:rPr>
        <w:t>216.92%</w:t>
      </w:r>
      <w:r>
        <w:rPr>
          <w:rFonts w:hint="eastAsia" w:ascii="仿宋_GB2312" w:eastAsia="仿宋_GB2312" w:cs="Courier New"/>
          <w:sz w:val="32"/>
          <w:szCs w:val="32"/>
        </w:rPr>
        <w:t>。其中：</w:t>
      </w:r>
    </w:p>
    <w:p>
      <w:pPr>
        <w:numPr>
          <w:ilvl w:val="0"/>
          <w:numId w:val="5"/>
        </w:numPr>
        <w:adjustRightInd w:val="0"/>
        <w:snapToGrid w:val="0"/>
        <w:spacing w:line="360" w:lineRule="auto"/>
        <w:ind w:firstLine="640" w:firstLineChars="200"/>
        <w:rPr>
          <w:rFonts w:hint="eastAsia" w:ascii="仿宋_GB2312" w:eastAsia="仿宋_GB2312" w:cs="Courier New"/>
          <w:sz w:val="32"/>
          <w:szCs w:val="32"/>
        </w:rPr>
      </w:pPr>
      <w:r>
        <w:rPr>
          <w:rFonts w:ascii="??_GB2312" w:eastAsia="Times New Roman" w:cs="Courier New"/>
          <w:b/>
          <w:bCs/>
          <w:sz w:val="32"/>
          <w:szCs w:val="32"/>
        </w:rPr>
        <w:t>一般公共服务（类）</w:t>
      </w:r>
      <w:r>
        <w:rPr>
          <w:rFonts w:hint="eastAsia" w:ascii="??_GB2312" w:eastAsia="Times New Roman" w:cs="Courier New"/>
          <w:b/>
          <w:bCs/>
          <w:sz w:val="32"/>
          <w:szCs w:val="32"/>
        </w:rPr>
        <w:t>政府办公厅（室）及相关机构事务</w:t>
      </w:r>
      <w:r>
        <w:rPr>
          <w:rFonts w:ascii="??_GB2312" w:eastAsia="Times New Roman" w:cs="Courier New"/>
          <w:b/>
          <w:bCs/>
          <w:sz w:val="32"/>
          <w:szCs w:val="32"/>
        </w:rPr>
        <w:t>（款）</w:t>
      </w:r>
      <w:r>
        <w:rPr>
          <w:rFonts w:hint="eastAsia" w:ascii="??_GB2312" w:eastAsia="Times New Roman" w:cs="Courier New"/>
          <w:b/>
          <w:bCs/>
          <w:sz w:val="32"/>
          <w:szCs w:val="32"/>
        </w:rPr>
        <w:t>事业运行</w:t>
      </w:r>
      <w:r>
        <w:rPr>
          <w:rFonts w:ascii="??_GB2312" w:eastAsia="Times New Roman" w:cs="Courier New"/>
          <w:b/>
          <w:bCs/>
          <w:sz w:val="32"/>
          <w:szCs w:val="32"/>
        </w:rPr>
        <w:t>（项）。</w:t>
      </w:r>
      <w:r>
        <w:rPr>
          <w:rFonts w:hint="eastAsia" w:ascii="仿宋_GB2312" w:eastAsia="仿宋_GB2312" w:cs="Courier New"/>
          <w:sz w:val="32"/>
          <w:szCs w:val="32"/>
        </w:rPr>
        <w:t>年初预算为</w:t>
      </w:r>
      <w:r>
        <w:rPr>
          <w:rFonts w:ascii="仿宋_GB2312" w:eastAsia="仿宋_GB2312" w:cs="Courier New"/>
          <w:sz w:val="32"/>
          <w:szCs w:val="32"/>
        </w:rPr>
        <w:t>1075.31</w:t>
      </w:r>
      <w:r>
        <w:rPr>
          <w:rFonts w:hint="eastAsia" w:ascii="仿宋_GB2312" w:eastAsia="仿宋_GB2312" w:cs="Courier New"/>
          <w:sz w:val="32"/>
          <w:szCs w:val="32"/>
        </w:rPr>
        <w:t>万元，支出决算为</w:t>
      </w:r>
      <w:r>
        <w:rPr>
          <w:rFonts w:ascii="仿宋_GB2312" w:eastAsia="仿宋_GB2312" w:cs="Courier New"/>
          <w:sz w:val="32"/>
          <w:szCs w:val="32"/>
        </w:rPr>
        <w:t>1191.82</w:t>
      </w:r>
      <w:r>
        <w:rPr>
          <w:rFonts w:hint="eastAsia" w:ascii="仿宋_GB2312" w:eastAsia="仿宋_GB2312" w:cs="Courier New"/>
          <w:sz w:val="32"/>
          <w:szCs w:val="32"/>
        </w:rPr>
        <w:t>万元，完成年初预算的</w:t>
      </w:r>
      <w:r>
        <w:rPr>
          <w:rFonts w:ascii="仿宋_GB2312" w:eastAsia="仿宋_GB2312" w:cs="Courier New"/>
          <w:sz w:val="32"/>
          <w:szCs w:val="32"/>
        </w:rPr>
        <w:t>110.84%</w:t>
      </w:r>
      <w:r>
        <w:rPr>
          <w:rFonts w:hint="eastAsia" w:ascii="仿宋_GB2312" w:eastAsia="仿宋_GB2312" w:cs="Courier New"/>
          <w:sz w:val="32"/>
          <w:szCs w:val="32"/>
        </w:rPr>
        <w:t>。</w:t>
      </w:r>
    </w:p>
    <w:p>
      <w:pPr>
        <w:numPr>
          <w:ilvl w:val="0"/>
          <w:numId w:val="5"/>
        </w:numPr>
        <w:adjustRightInd w:val="0"/>
        <w:snapToGrid w:val="0"/>
        <w:spacing w:line="360" w:lineRule="auto"/>
        <w:ind w:left="0" w:leftChars="0" w:firstLine="640" w:firstLineChars="200"/>
        <w:rPr>
          <w:rFonts w:hint="eastAsia" w:ascii="仿宋_GB2312" w:eastAsia="仿宋_GB2312" w:cs="Courier New"/>
          <w:sz w:val="32"/>
          <w:szCs w:val="32"/>
        </w:rPr>
      </w:pPr>
      <w:r>
        <w:rPr>
          <w:rFonts w:hint="eastAsia" w:ascii="??_GB2312" w:eastAsia="Times New Roman" w:cs="Courier New"/>
          <w:b/>
          <w:bCs/>
          <w:sz w:val="32"/>
          <w:szCs w:val="32"/>
        </w:rPr>
        <w:t>城乡社区支出</w:t>
      </w:r>
      <w:r>
        <w:rPr>
          <w:rFonts w:ascii="??_GB2312" w:eastAsia="Times New Roman" w:cs="Courier New"/>
          <w:b/>
          <w:bCs/>
          <w:sz w:val="32"/>
          <w:szCs w:val="32"/>
        </w:rPr>
        <w:t>（类）</w:t>
      </w:r>
      <w:r>
        <w:rPr>
          <w:rFonts w:hint="eastAsia" w:ascii="??_GB2312" w:eastAsia="Times New Roman" w:cs="Courier New"/>
          <w:b/>
          <w:bCs/>
          <w:sz w:val="32"/>
          <w:szCs w:val="32"/>
        </w:rPr>
        <w:t>城乡社区管理事务</w:t>
      </w:r>
      <w:r>
        <w:rPr>
          <w:rFonts w:ascii="??_GB2312" w:eastAsia="Times New Roman" w:cs="Courier New"/>
          <w:b/>
          <w:bCs/>
          <w:sz w:val="32"/>
          <w:szCs w:val="32"/>
        </w:rPr>
        <w:t>（款）</w:t>
      </w:r>
      <w:r>
        <w:rPr>
          <w:rFonts w:hint="eastAsia" w:ascii="??_GB2312" w:eastAsia="Times New Roman" w:cs="Courier New"/>
          <w:b/>
          <w:bCs/>
          <w:sz w:val="32"/>
          <w:szCs w:val="32"/>
        </w:rPr>
        <w:t>行政运行</w:t>
      </w:r>
      <w:r>
        <w:rPr>
          <w:rFonts w:ascii="??_GB2312" w:eastAsia="Times New Roman" w:cs="Courier New"/>
          <w:b/>
          <w:bCs/>
          <w:sz w:val="32"/>
          <w:szCs w:val="32"/>
        </w:rPr>
        <w:t>（项）。</w:t>
      </w:r>
      <w:r>
        <w:rPr>
          <w:rFonts w:hint="eastAsia" w:ascii="仿宋_GB2312" w:eastAsia="仿宋_GB2312" w:cs="Courier New"/>
          <w:sz w:val="32"/>
          <w:szCs w:val="32"/>
        </w:rPr>
        <w:t>年初预算为</w:t>
      </w:r>
      <w:r>
        <w:rPr>
          <w:rFonts w:ascii="仿宋_GB2312" w:eastAsia="仿宋_GB2312" w:cs="Courier New"/>
          <w:sz w:val="32"/>
          <w:szCs w:val="32"/>
        </w:rPr>
        <w:t>135.66</w:t>
      </w:r>
      <w:r>
        <w:rPr>
          <w:rFonts w:hint="eastAsia" w:ascii="仿宋_GB2312" w:eastAsia="仿宋_GB2312" w:cs="Courier New"/>
          <w:sz w:val="32"/>
          <w:szCs w:val="32"/>
          <w:highlight w:val="none"/>
        </w:rPr>
        <w:t>万元</w:t>
      </w:r>
      <w:r>
        <w:rPr>
          <w:rFonts w:hint="eastAsia" w:ascii="仿宋_GB2312" w:eastAsia="仿宋_GB2312" w:cs="Courier New"/>
          <w:sz w:val="32"/>
          <w:szCs w:val="32"/>
        </w:rPr>
        <w:t>，支出决算为141.17万元，完成年初预算的</w:t>
      </w:r>
      <w:r>
        <w:rPr>
          <w:rFonts w:ascii="仿宋_GB2312" w:eastAsia="仿宋_GB2312" w:cs="Courier New"/>
          <w:sz w:val="32"/>
          <w:szCs w:val="32"/>
        </w:rPr>
        <w:t>104.06%</w:t>
      </w:r>
      <w:r>
        <w:rPr>
          <w:rFonts w:hint="eastAsia" w:ascii="仿宋_GB2312" w:eastAsia="仿宋_GB2312" w:cs="Courier New"/>
          <w:sz w:val="32"/>
          <w:szCs w:val="32"/>
        </w:rPr>
        <w:t>。</w:t>
      </w:r>
    </w:p>
    <w:p>
      <w:pPr>
        <w:numPr>
          <w:ilvl w:val="0"/>
          <w:numId w:val="5"/>
        </w:numPr>
        <w:adjustRightInd w:val="0"/>
        <w:snapToGrid w:val="0"/>
        <w:spacing w:line="360" w:lineRule="auto"/>
        <w:ind w:left="0" w:leftChars="0" w:firstLine="640" w:firstLineChars="200"/>
        <w:rPr>
          <w:rFonts w:hint="eastAsia" w:ascii="仿宋_GB2312" w:eastAsia="仿宋_GB2312" w:cs="Courier New"/>
          <w:sz w:val="32"/>
          <w:szCs w:val="32"/>
        </w:rPr>
      </w:pPr>
      <w:r>
        <w:rPr>
          <w:rFonts w:hint="eastAsia" w:ascii="??_GB2312" w:eastAsia="Times New Roman" w:cs="Courier New"/>
          <w:b/>
          <w:bCs/>
          <w:sz w:val="32"/>
          <w:szCs w:val="32"/>
        </w:rPr>
        <w:t>城乡社区支出</w:t>
      </w:r>
      <w:r>
        <w:rPr>
          <w:rFonts w:ascii="??_GB2312" w:eastAsia="Times New Roman" w:cs="Courier New"/>
          <w:b/>
          <w:bCs/>
          <w:sz w:val="32"/>
          <w:szCs w:val="32"/>
        </w:rPr>
        <w:t>（类）</w:t>
      </w:r>
      <w:r>
        <w:rPr>
          <w:rFonts w:hint="eastAsia" w:ascii="??_GB2312" w:eastAsia="Times New Roman" w:cs="Courier New"/>
          <w:b/>
          <w:bCs/>
          <w:sz w:val="32"/>
          <w:szCs w:val="32"/>
        </w:rPr>
        <w:t>城乡社区管理事务</w:t>
      </w:r>
      <w:r>
        <w:rPr>
          <w:rFonts w:ascii="??_GB2312" w:eastAsia="Times New Roman" w:cs="Courier New"/>
          <w:b/>
          <w:bCs/>
          <w:sz w:val="32"/>
          <w:szCs w:val="32"/>
        </w:rPr>
        <w:t>（款）</w:t>
      </w:r>
      <w:r>
        <w:rPr>
          <w:rFonts w:hint="eastAsia" w:ascii="??_GB2312" w:eastAsia="Times New Roman" w:cs="Courier New"/>
          <w:b/>
          <w:bCs/>
          <w:sz w:val="32"/>
          <w:szCs w:val="32"/>
        </w:rPr>
        <w:t>城管执法</w:t>
      </w:r>
      <w:r>
        <w:rPr>
          <w:rFonts w:ascii="??_GB2312" w:eastAsia="Times New Roman" w:cs="Courier New"/>
          <w:b/>
          <w:bCs/>
          <w:sz w:val="32"/>
          <w:szCs w:val="32"/>
        </w:rPr>
        <w:t>（项）。</w:t>
      </w:r>
    </w:p>
    <w:p>
      <w:pPr>
        <w:numPr>
          <w:ilvl w:val="0"/>
          <w:numId w:val="0"/>
        </w:numPr>
        <w:adjustRightInd w:val="0"/>
        <w:snapToGrid w:val="0"/>
        <w:spacing w:line="360" w:lineRule="auto"/>
        <w:rPr>
          <w:rFonts w:hint="eastAsia" w:ascii="仿宋_GB2312" w:eastAsia="仿宋_GB2312" w:cs="Courier New"/>
          <w:sz w:val="32"/>
          <w:szCs w:val="32"/>
          <w:lang w:eastAsia="zh-CN"/>
        </w:rPr>
      </w:pPr>
      <w:r>
        <w:rPr>
          <w:rFonts w:hint="eastAsia" w:ascii="仿宋_GB2312" w:eastAsia="仿宋_GB2312" w:cs="Courier New"/>
          <w:sz w:val="32"/>
          <w:szCs w:val="32"/>
        </w:rPr>
        <w:t>年初预算为</w:t>
      </w:r>
      <w:r>
        <w:rPr>
          <w:rFonts w:ascii="仿宋_GB2312" w:eastAsia="仿宋_GB2312" w:cs="Courier New"/>
          <w:sz w:val="32"/>
          <w:szCs w:val="32"/>
        </w:rPr>
        <w:t>178.92</w:t>
      </w:r>
      <w:r>
        <w:rPr>
          <w:rFonts w:hint="eastAsia" w:ascii="仿宋_GB2312" w:eastAsia="仿宋_GB2312" w:cs="Courier New"/>
          <w:sz w:val="32"/>
          <w:szCs w:val="32"/>
        </w:rPr>
        <w:t>万元，支出决算为</w:t>
      </w:r>
      <w:r>
        <w:rPr>
          <w:rFonts w:ascii="仿宋_GB2312" w:eastAsia="仿宋_GB2312" w:cs="Courier New"/>
          <w:sz w:val="32"/>
          <w:szCs w:val="32"/>
        </w:rPr>
        <w:t>200.95</w:t>
      </w:r>
      <w:r>
        <w:rPr>
          <w:rFonts w:hint="eastAsia" w:ascii="仿宋_GB2312" w:eastAsia="仿宋_GB2312" w:cs="Courier New"/>
          <w:sz w:val="32"/>
          <w:szCs w:val="32"/>
        </w:rPr>
        <w:t>万元，完成年初预算的</w:t>
      </w:r>
      <w:r>
        <w:rPr>
          <w:rFonts w:ascii="仿宋_GB2312" w:eastAsia="仿宋_GB2312" w:cs="Courier New"/>
          <w:sz w:val="32"/>
          <w:szCs w:val="32"/>
        </w:rPr>
        <w:t>112.31%</w:t>
      </w:r>
      <w:r>
        <w:rPr>
          <w:rFonts w:hint="eastAsia" w:ascii="仿宋_GB2312" w:eastAsia="仿宋_GB2312" w:cs="Courier New"/>
          <w:sz w:val="32"/>
          <w:szCs w:val="32"/>
          <w:lang w:eastAsia="zh-CN"/>
        </w:rPr>
        <w:t>。</w:t>
      </w:r>
    </w:p>
    <w:p>
      <w:pPr>
        <w:numPr>
          <w:ilvl w:val="0"/>
          <w:numId w:val="0"/>
        </w:numPr>
        <w:adjustRightInd w:val="0"/>
        <w:snapToGrid w:val="0"/>
        <w:spacing w:line="360" w:lineRule="auto"/>
        <w:ind w:firstLine="643" w:firstLineChars="200"/>
        <w:rPr>
          <w:rFonts w:ascii="仿宋_GB2312" w:eastAsia="仿宋_GB2312" w:cs="Courier New"/>
          <w:sz w:val="32"/>
          <w:szCs w:val="32"/>
        </w:rPr>
      </w:pPr>
      <w:r>
        <w:rPr>
          <w:rFonts w:hint="eastAsia" w:ascii="??_GB2312" w:cs="Courier New"/>
          <w:b/>
          <w:bCs/>
          <w:sz w:val="32"/>
          <w:szCs w:val="32"/>
          <w:lang w:val="en-US" w:eastAsia="zh-CN"/>
        </w:rPr>
        <w:t>4、</w:t>
      </w:r>
      <w:r>
        <w:rPr>
          <w:rFonts w:hint="eastAsia" w:ascii="??_GB2312" w:eastAsia="Times New Roman" w:cs="Courier New"/>
          <w:b/>
          <w:bCs/>
          <w:sz w:val="32"/>
          <w:szCs w:val="32"/>
        </w:rPr>
        <w:t>城乡社区支出</w:t>
      </w:r>
      <w:r>
        <w:rPr>
          <w:rFonts w:ascii="??_GB2312" w:eastAsia="Times New Roman" w:cs="Courier New"/>
          <w:b/>
          <w:bCs/>
          <w:sz w:val="32"/>
          <w:szCs w:val="32"/>
        </w:rPr>
        <w:t>（类）</w:t>
      </w:r>
      <w:r>
        <w:rPr>
          <w:rFonts w:hint="eastAsia" w:ascii="??_GB2312" w:eastAsia="Times New Roman" w:cs="Courier New"/>
          <w:b/>
          <w:bCs/>
          <w:sz w:val="32"/>
          <w:szCs w:val="32"/>
        </w:rPr>
        <w:t>城乡社区规划与管理</w:t>
      </w:r>
      <w:r>
        <w:rPr>
          <w:rFonts w:ascii="??_GB2312" w:eastAsia="Times New Roman" w:cs="Courier New"/>
          <w:b/>
          <w:bCs/>
          <w:sz w:val="32"/>
          <w:szCs w:val="32"/>
        </w:rPr>
        <w:t>（款）</w:t>
      </w:r>
      <w:r>
        <w:rPr>
          <w:rFonts w:hint="eastAsia" w:ascii="??_GB2312" w:eastAsia="Times New Roman" w:cs="Courier New"/>
          <w:b/>
          <w:bCs/>
          <w:sz w:val="32"/>
          <w:szCs w:val="32"/>
        </w:rPr>
        <w:t>城乡社区规划与管理</w:t>
      </w:r>
      <w:r>
        <w:rPr>
          <w:rFonts w:ascii="??_GB2312" w:eastAsia="Times New Roman" w:cs="Courier New"/>
          <w:b/>
          <w:bCs/>
          <w:sz w:val="32"/>
          <w:szCs w:val="32"/>
        </w:rPr>
        <w:t>（项）。</w:t>
      </w:r>
      <w:r>
        <w:rPr>
          <w:rFonts w:hint="eastAsia" w:ascii="??_GB2312" w:cs="Courier New"/>
          <w:b w:val="0"/>
          <w:bCs w:val="0"/>
          <w:sz w:val="32"/>
          <w:szCs w:val="32"/>
          <w:lang w:val="en-US" w:eastAsia="zh-CN"/>
        </w:rPr>
        <w:t>年初预算为242.57万元，支出决算为274.79万元，完成年初预算的88.27%。</w:t>
      </w:r>
      <w:r>
        <w:rPr>
          <w:rFonts w:hint="eastAsia" w:ascii="仿宋_GB2312" w:eastAsia="仿宋_GB2312" w:cs="Courier New"/>
          <w:sz w:val="32"/>
          <w:szCs w:val="32"/>
        </w:rPr>
        <w:t>决算数与预算数存在差异的主要原因是</w:t>
      </w:r>
      <w:r>
        <w:rPr>
          <w:rFonts w:hint="eastAsia" w:ascii="仿宋_GB2312" w:eastAsia="仿宋_GB2312" w:cs="Courier New"/>
          <w:sz w:val="32"/>
          <w:szCs w:val="32"/>
          <w:lang w:val="en-US" w:eastAsia="zh-CN"/>
        </w:rPr>
        <w:t>项目支出增加</w:t>
      </w:r>
      <w:r>
        <w:rPr>
          <w:rFonts w:hint="eastAsia" w:ascii="仿宋_GB2312" w:eastAsia="仿宋_GB2312" w:cs="Courier New"/>
          <w:sz w:val="32"/>
          <w:szCs w:val="32"/>
        </w:rPr>
        <w:t>。</w:t>
      </w:r>
    </w:p>
    <w:p>
      <w:pPr>
        <w:numPr>
          <w:ilvl w:val="0"/>
          <w:numId w:val="0"/>
        </w:numPr>
        <w:adjustRightInd w:val="0"/>
        <w:snapToGrid w:val="0"/>
        <w:spacing w:line="360" w:lineRule="auto"/>
        <w:ind w:firstLine="643" w:firstLineChars="200"/>
        <w:rPr>
          <w:rFonts w:hint="eastAsia" w:ascii="仿宋_GB2312" w:eastAsia="仿宋_GB2312" w:cs="Courier New"/>
          <w:sz w:val="32"/>
          <w:szCs w:val="32"/>
        </w:rPr>
      </w:pPr>
      <w:r>
        <w:rPr>
          <w:rFonts w:hint="eastAsia" w:ascii="??_GB2312" w:cs="Courier New"/>
          <w:b/>
          <w:bCs/>
          <w:sz w:val="32"/>
          <w:szCs w:val="32"/>
          <w:lang w:val="en-US" w:eastAsia="zh-CN"/>
        </w:rPr>
        <w:t>5、</w:t>
      </w:r>
      <w:r>
        <w:rPr>
          <w:rFonts w:hint="eastAsia" w:ascii="??_GB2312" w:eastAsia="Times New Roman" w:cs="Courier New"/>
          <w:b/>
          <w:bCs/>
          <w:sz w:val="32"/>
          <w:szCs w:val="32"/>
        </w:rPr>
        <w:t>城乡社区支出</w:t>
      </w:r>
      <w:r>
        <w:rPr>
          <w:rFonts w:ascii="??_GB2312" w:eastAsia="Times New Roman" w:cs="Courier New"/>
          <w:b/>
          <w:bCs/>
          <w:sz w:val="32"/>
          <w:szCs w:val="32"/>
        </w:rPr>
        <w:t>（类）</w:t>
      </w:r>
      <w:r>
        <w:rPr>
          <w:rFonts w:hint="eastAsia" w:ascii="??_GB2312" w:eastAsia="Times New Roman" w:cs="Courier New"/>
          <w:b/>
          <w:bCs/>
          <w:sz w:val="32"/>
          <w:szCs w:val="32"/>
        </w:rPr>
        <w:t>城乡社区环境卫生</w:t>
      </w:r>
      <w:r>
        <w:rPr>
          <w:rFonts w:ascii="??_GB2312" w:eastAsia="Times New Roman" w:cs="Courier New"/>
          <w:b/>
          <w:bCs/>
          <w:sz w:val="32"/>
          <w:szCs w:val="32"/>
        </w:rPr>
        <w:t>（款）</w:t>
      </w:r>
      <w:r>
        <w:rPr>
          <w:rFonts w:hint="eastAsia" w:ascii="??_GB2312" w:eastAsia="Times New Roman" w:cs="Courier New"/>
          <w:b/>
          <w:bCs/>
          <w:sz w:val="32"/>
          <w:szCs w:val="32"/>
        </w:rPr>
        <w:t>城乡社区环境卫生</w:t>
      </w:r>
      <w:r>
        <w:rPr>
          <w:rFonts w:ascii="??_GB2312" w:eastAsia="Times New Roman" w:cs="Courier New"/>
          <w:b/>
          <w:bCs/>
          <w:sz w:val="32"/>
          <w:szCs w:val="32"/>
        </w:rPr>
        <w:t>（项）。</w:t>
      </w:r>
      <w:r>
        <w:rPr>
          <w:rFonts w:hint="eastAsia" w:ascii="??_GB2312" w:cs="Courier New"/>
          <w:b w:val="0"/>
          <w:bCs w:val="0"/>
          <w:sz w:val="32"/>
          <w:szCs w:val="32"/>
          <w:lang w:val="en-US" w:eastAsia="zh-CN"/>
        </w:rPr>
        <w:t>年初预算为0万元，支出决算为1,673.87万元，完成年初预算的100%。</w:t>
      </w:r>
      <w:r>
        <w:rPr>
          <w:rFonts w:hint="eastAsia" w:ascii="仿宋_GB2312" w:eastAsia="仿宋_GB2312" w:cs="Courier New"/>
          <w:sz w:val="32"/>
          <w:szCs w:val="32"/>
        </w:rPr>
        <w:t>决算数与预算数存在差异的主要原因是市环卫作业下划到我局</w:t>
      </w:r>
      <w:r>
        <w:rPr>
          <w:rFonts w:hint="eastAsia" w:ascii="仿宋_GB2312" w:eastAsia="仿宋_GB2312" w:cs="Courier New"/>
          <w:sz w:val="32"/>
          <w:szCs w:val="32"/>
          <w:lang w:eastAsia="zh-CN"/>
        </w:rPr>
        <w:t>，</w:t>
      </w:r>
      <w:r>
        <w:rPr>
          <w:rFonts w:hint="eastAsia" w:ascii="仿宋_GB2312" w:eastAsia="仿宋_GB2312" w:cs="Courier New"/>
          <w:sz w:val="32"/>
          <w:szCs w:val="32"/>
          <w:lang w:val="en-US" w:eastAsia="zh-CN"/>
        </w:rPr>
        <w:t>项目支出增加</w:t>
      </w:r>
      <w:r>
        <w:rPr>
          <w:rFonts w:hint="eastAsia" w:ascii="仿宋_GB2312" w:eastAsia="仿宋_GB2312" w:cs="Courier New"/>
          <w:sz w:val="32"/>
          <w:szCs w:val="32"/>
        </w:rPr>
        <w:t>。</w:t>
      </w:r>
    </w:p>
    <w:p>
      <w:pPr>
        <w:numPr>
          <w:ilvl w:val="0"/>
          <w:numId w:val="0"/>
        </w:numPr>
        <w:adjustRightInd w:val="0"/>
        <w:snapToGrid w:val="0"/>
        <w:spacing w:line="360" w:lineRule="auto"/>
        <w:ind w:firstLine="643" w:firstLineChars="200"/>
        <w:rPr>
          <w:rFonts w:hint="eastAsia" w:ascii="仿宋_GB2312" w:eastAsia="仿宋_GB2312" w:cs="Courier New"/>
          <w:sz w:val="32"/>
          <w:szCs w:val="32"/>
        </w:rPr>
      </w:pPr>
      <w:r>
        <w:rPr>
          <w:rFonts w:hint="eastAsia" w:ascii="??_GB2312" w:cs="Courier New"/>
          <w:b/>
          <w:bCs/>
          <w:sz w:val="32"/>
          <w:szCs w:val="32"/>
          <w:lang w:val="en-US" w:eastAsia="zh-CN"/>
        </w:rPr>
        <w:t>6、</w:t>
      </w:r>
      <w:r>
        <w:rPr>
          <w:rFonts w:hint="eastAsia" w:ascii="??_GB2312" w:eastAsia="Times New Roman" w:cs="Courier New"/>
          <w:b/>
          <w:bCs/>
          <w:sz w:val="32"/>
          <w:szCs w:val="32"/>
        </w:rPr>
        <w:t>城乡社区支出</w:t>
      </w:r>
      <w:r>
        <w:rPr>
          <w:rFonts w:ascii="??_GB2312" w:eastAsia="Times New Roman" w:cs="Courier New"/>
          <w:b/>
          <w:bCs/>
          <w:sz w:val="32"/>
          <w:szCs w:val="32"/>
        </w:rPr>
        <w:t>（类）</w:t>
      </w:r>
      <w:r>
        <w:rPr>
          <w:rFonts w:hint="eastAsia" w:ascii="??_GB2312" w:eastAsia="Times New Roman" w:cs="Courier New"/>
          <w:b/>
          <w:bCs/>
          <w:sz w:val="32"/>
          <w:szCs w:val="32"/>
        </w:rPr>
        <w:t>建设市场管理与监督</w:t>
      </w:r>
      <w:r>
        <w:rPr>
          <w:rFonts w:ascii="??_GB2312" w:eastAsia="Times New Roman" w:cs="Courier New"/>
          <w:b/>
          <w:bCs/>
          <w:sz w:val="32"/>
          <w:szCs w:val="32"/>
        </w:rPr>
        <w:t>（款）</w:t>
      </w:r>
      <w:r>
        <w:rPr>
          <w:rFonts w:hint="eastAsia" w:ascii="??_GB2312" w:eastAsia="Times New Roman" w:cs="Courier New"/>
          <w:b/>
          <w:bCs/>
          <w:sz w:val="32"/>
          <w:szCs w:val="32"/>
        </w:rPr>
        <w:t xml:space="preserve"> 建设市场管理与监督</w:t>
      </w:r>
      <w:r>
        <w:rPr>
          <w:rFonts w:ascii="??_GB2312" w:eastAsia="Times New Roman" w:cs="Courier New"/>
          <w:b/>
          <w:bCs/>
          <w:sz w:val="32"/>
          <w:szCs w:val="32"/>
        </w:rPr>
        <w:t>（项）。</w:t>
      </w:r>
      <w:r>
        <w:rPr>
          <w:rFonts w:hint="eastAsia" w:ascii="??_GB2312" w:cs="Courier New"/>
          <w:b w:val="0"/>
          <w:bCs w:val="0"/>
          <w:sz w:val="32"/>
          <w:szCs w:val="32"/>
          <w:lang w:val="en-US" w:eastAsia="zh-CN"/>
        </w:rPr>
        <w:t>年初预算为0万元，支出决算为58.51万元，完成年初预算的100%。</w:t>
      </w:r>
      <w:r>
        <w:rPr>
          <w:rFonts w:hint="eastAsia" w:ascii="仿宋_GB2312" w:eastAsia="仿宋_GB2312" w:cs="Courier New"/>
          <w:sz w:val="32"/>
          <w:szCs w:val="32"/>
        </w:rPr>
        <w:t>决算数与预算数存在差异的主要原因是市环卫作业下划到我局</w:t>
      </w:r>
      <w:r>
        <w:rPr>
          <w:rFonts w:hint="eastAsia" w:ascii="仿宋_GB2312" w:eastAsia="仿宋_GB2312" w:cs="Courier New"/>
          <w:sz w:val="32"/>
          <w:szCs w:val="32"/>
          <w:lang w:eastAsia="zh-CN"/>
        </w:rPr>
        <w:t>，</w:t>
      </w:r>
      <w:r>
        <w:rPr>
          <w:rFonts w:hint="eastAsia" w:ascii="仿宋_GB2312" w:eastAsia="仿宋_GB2312" w:cs="Courier New"/>
          <w:sz w:val="32"/>
          <w:szCs w:val="32"/>
          <w:lang w:val="en-US" w:eastAsia="zh-CN"/>
        </w:rPr>
        <w:t>项目支出增加</w:t>
      </w:r>
      <w:r>
        <w:rPr>
          <w:rFonts w:hint="eastAsia" w:ascii="仿宋_GB2312"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eastAsia="黑体"/>
          <w:sz w:val="32"/>
          <w:szCs w:val="32"/>
        </w:rPr>
      </w:pPr>
      <w:r>
        <w:rPr>
          <w:rFonts w:hint="eastAsia" w:ascii="黑体" w:eastAsia="黑体" w:cs="Times New Roman"/>
          <w:sz w:val="32"/>
          <w:szCs w:val="32"/>
        </w:rPr>
        <w:t>一般公共预算财政拨款基本支出决算情况说明</w:t>
      </w:r>
    </w:p>
    <w:p>
      <w:pPr>
        <w:adjustRightInd w:val="0"/>
        <w:snapToGrid w:val="0"/>
        <w:spacing w:line="360" w:lineRule="auto"/>
        <w:ind w:firstLine="640" w:firstLineChars="200"/>
        <w:rPr>
          <w:rFonts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年一般公共预算财政拨款基本支出</w:t>
      </w:r>
      <w:r>
        <w:rPr>
          <w:rFonts w:ascii="仿宋_GB2312" w:eastAsia="仿宋_GB2312" w:cs="Courier New"/>
          <w:sz w:val="32"/>
          <w:szCs w:val="32"/>
        </w:rPr>
        <w:t>1566.83</w:t>
      </w:r>
      <w:r>
        <w:rPr>
          <w:rFonts w:hint="eastAsia" w:ascii="仿宋_GB2312" w:eastAsia="仿宋_GB2312" w:cs="Courier New"/>
          <w:sz w:val="32"/>
          <w:szCs w:val="32"/>
        </w:rPr>
        <w:t>万元，其中：人员经费</w:t>
      </w:r>
      <w:r>
        <w:rPr>
          <w:rFonts w:ascii="仿宋_GB2312" w:eastAsia="仿宋_GB2312" w:cs="Courier New"/>
          <w:sz w:val="32"/>
          <w:szCs w:val="32"/>
        </w:rPr>
        <w:t>1492.15</w:t>
      </w:r>
      <w:r>
        <w:rPr>
          <w:rFonts w:hint="eastAsia" w:ascii="仿宋_GB2312" w:eastAsia="仿宋_GB2312" w:cs="Courier New"/>
          <w:sz w:val="32"/>
          <w:szCs w:val="32"/>
        </w:rPr>
        <w:t>万元，主要包括：基本工资、津贴补贴、绩效工资、机关事业单位基本养老保险缴费、职业年金缴费、其他社会保障缴费、其他工资福利支出、抚恤金、住房公积金；公用经费</w:t>
      </w:r>
      <w:r>
        <w:rPr>
          <w:rFonts w:ascii="仿宋_GB2312" w:eastAsia="仿宋_GB2312" w:cs="Courier New"/>
          <w:sz w:val="32"/>
          <w:szCs w:val="32"/>
        </w:rPr>
        <w:t>74.68</w:t>
      </w:r>
      <w:r>
        <w:rPr>
          <w:rFonts w:hint="eastAsia" w:ascii="仿宋_GB2312" w:eastAsia="仿宋_GB2312" w:cs="Courier New"/>
          <w:sz w:val="32"/>
          <w:szCs w:val="32"/>
        </w:rPr>
        <w:t>万元，主要包括：办公费、交通费、差旅费、水电费。</w:t>
      </w:r>
    </w:p>
    <w:p>
      <w:pPr>
        <w:adjustRightInd w:val="0"/>
        <w:snapToGrid w:val="0"/>
        <w:spacing w:line="360" w:lineRule="auto"/>
        <w:ind w:firstLine="640" w:firstLineChars="200"/>
        <w:rPr>
          <w:rFonts w:ascii="仿宋_GB2312" w:eastAsia="仿宋_GB2312" w:cs="Courier New"/>
          <w:sz w:val="32"/>
          <w:szCs w:val="32"/>
        </w:rPr>
      </w:pPr>
    </w:p>
    <w:p>
      <w:pPr>
        <w:numPr>
          <w:ilvl w:val="0"/>
          <w:numId w:val="3"/>
        </w:numPr>
        <w:adjustRightInd w:val="0"/>
        <w:snapToGrid w:val="0"/>
        <w:spacing w:line="360" w:lineRule="auto"/>
        <w:ind w:firstLine="640" w:firstLineChars="200"/>
        <w:outlineLvl w:val="1"/>
        <w:rPr>
          <w:rFonts w:ascii="黑体" w:eastAsia="黑体"/>
          <w:sz w:val="32"/>
          <w:szCs w:val="32"/>
        </w:rPr>
      </w:pPr>
      <w:r>
        <w:rPr>
          <w:rFonts w:hint="eastAsia" w:ascii="黑体" w:eastAsia="黑体" w:cs="Times New Roman"/>
          <w:sz w:val="32"/>
          <w:szCs w:val="32"/>
        </w:rPr>
        <w:t>一般公共预算财政拨款“三公”经费支出决算情况说明</w:t>
      </w:r>
    </w:p>
    <w:p>
      <w:pPr>
        <w:kinsoku w:val="0"/>
        <w:overflowPunct w:val="0"/>
        <w:autoSpaceDE w:val="0"/>
        <w:autoSpaceDN w:val="0"/>
        <w:adjustRightInd w:val="0"/>
        <w:snapToGrid w:val="0"/>
        <w:spacing w:line="360" w:lineRule="auto"/>
        <w:ind w:firstLine="640" w:firstLineChars="200"/>
        <w:rPr>
          <w:rFonts w:ascii="楷体_GB2312" w:eastAsia="楷体_GB2312" w:cs="楷体_GB2312"/>
          <w:sz w:val="32"/>
          <w:szCs w:val="32"/>
        </w:rPr>
      </w:pPr>
      <w:r>
        <w:rPr>
          <w:rFonts w:hint="eastAsia" w:ascii="楷体_GB2312" w:eastAsia="楷体_GB2312" w:cs="楷体_GB2312"/>
          <w:sz w:val="32"/>
          <w:szCs w:val="32"/>
        </w:rPr>
        <w:t>（一）、“三公”经费财政拨款支出决算总体情况说明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年度“三公”经费财政拨款支出预算为</w:t>
      </w:r>
      <w:r>
        <w:rPr>
          <w:rFonts w:ascii="仿宋_GB2312" w:eastAsia="仿宋_GB2312" w:cs="Courier New"/>
          <w:sz w:val="32"/>
          <w:szCs w:val="32"/>
        </w:rPr>
        <w:t>8.5</w:t>
      </w:r>
      <w:r>
        <w:rPr>
          <w:rFonts w:hint="eastAsia" w:ascii="仿宋_GB2312" w:eastAsia="仿宋_GB2312" w:cs="Courier New"/>
          <w:sz w:val="32"/>
          <w:szCs w:val="32"/>
        </w:rPr>
        <w:t>万元，支出决算为</w:t>
      </w:r>
      <w:r>
        <w:rPr>
          <w:rFonts w:ascii="仿宋_GB2312" w:eastAsia="仿宋_GB2312" w:cs="Courier New"/>
          <w:sz w:val="32"/>
          <w:szCs w:val="32"/>
        </w:rPr>
        <w:t>3.5</w:t>
      </w:r>
      <w:r>
        <w:rPr>
          <w:rFonts w:hint="eastAsia" w:ascii="仿宋_GB2312" w:eastAsia="仿宋_GB2312" w:cs="Courier New"/>
          <w:sz w:val="32"/>
          <w:szCs w:val="32"/>
        </w:rPr>
        <w:t>万元，完成预算的</w:t>
      </w:r>
      <w:r>
        <w:rPr>
          <w:rFonts w:ascii="仿宋_GB2312" w:eastAsia="仿宋_GB2312" w:cs="Courier New"/>
          <w:sz w:val="32"/>
          <w:szCs w:val="32"/>
        </w:rPr>
        <w:t>41%</w:t>
      </w:r>
      <w:r>
        <w:rPr>
          <w:rFonts w:hint="eastAsia" w:ascii="仿宋_GB2312" w:eastAsia="仿宋_GB2312" w:cs="Courier New"/>
          <w:sz w:val="32"/>
          <w:szCs w:val="32"/>
        </w:rPr>
        <w:t>。</w:t>
      </w:r>
      <w:r>
        <w:rPr>
          <w:rFonts w:ascii="仿宋_GB2312" w:eastAsia="仿宋_GB2312" w:cs="Courier New"/>
          <w:sz w:val="32"/>
          <w:szCs w:val="32"/>
        </w:rPr>
        <w:t>2018</w:t>
      </w:r>
      <w:r>
        <w:rPr>
          <w:rFonts w:hint="eastAsia" w:ascii="仿宋_GB2312" w:eastAsia="仿宋_GB2312" w:cs="Courier New"/>
          <w:sz w:val="32"/>
          <w:szCs w:val="32"/>
        </w:rPr>
        <w:t>年度“三公”经费支出决算数与预算数存在差异的主要原因是减少公务招待。</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年度“三公”经费财政拨款支出决算数比</w:t>
      </w:r>
      <w:r>
        <w:rPr>
          <w:rFonts w:ascii="仿宋_GB2312" w:eastAsia="仿宋_GB2312" w:cs="Courier New"/>
          <w:sz w:val="32"/>
          <w:szCs w:val="32"/>
        </w:rPr>
        <w:t>2017</w:t>
      </w:r>
      <w:r>
        <w:rPr>
          <w:rFonts w:hint="eastAsia" w:ascii="仿宋_GB2312" w:eastAsia="仿宋_GB2312" w:cs="Courier New"/>
          <w:sz w:val="32"/>
          <w:szCs w:val="32"/>
        </w:rPr>
        <w:t>年减少</w:t>
      </w:r>
      <w:r>
        <w:rPr>
          <w:rFonts w:ascii="仿宋_GB2312" w:eastAsia="仿宋_GB2312" w:cs="Courier New"/>
          <w:sz w:val="32"/>
          <w:szCs w:val="32"/>
        </w:rPr>
        <w:t>6</w:t>
      </w:r>
      <w:r>
        <w:rPr>
          <w:rFonts w:hint="eastAsia" w:ascii="仿宋_GB2312" w:eastAsia="仿宋_GB2312" w:cs="Courier New"/>
          <w:sz w:val="32"/>
          <w:szCs w:val="32"/>
        </w:rPr>
        <w:t>万元，下降</w:t>
      </w:r>
      <w:r>
        <w:rPr>
          <w:rFonts w:ascii="仿宋_GB2312" w:eastAsia="仿宋_GB2312" w:cs="Courier New"/>
          <w:sz w:val="32"/>
          <w:szCs w:val="32"/>
        </w:rPr>
        <w:t>63%</w:t>
      </w:r>
      <w:r>
        <w:rPr>
          <w:rFonts w:hint="eastAsia" w:ascii="仿宋_GB2312" w:eastAsia="仿宋_GB2312" w:cs="Courier New"/>
          <w:sz w:val="32"/>
          <w:szCs w:val="32"/>
        </w:rPr>
        <w:t>，其中：因公出国（境）费支出决算与上年持平；公务用车购置及运行费支出决算与上年持平；公务接待费支出决算减少</w:t>
      </w:r>
      <w:r>
        <w:rPr>
          <w:rFonts w:ascii="仿宋_GB2312" w:eastAsia="仿宋_GB2312" w:cs="Courier New"/>
          <w:sz w:val="32"/>
          <w:szCs w:val="32"/>
        </w:rPr>
        <w:t>6</w:t>
      </w:r>
      <w:r>
        <w:rPr>
          <w:rFonts w:hint="eastAsia" w:ascii="仿宋_GB2312" w:eastAsia="仿宋_GB2312" w:cs="Courier New"/>
          <w:sz w:val="32"/>
          <w:szCs w:val="32"/>
        </w:rPr>
        <w:t>万元，下降</w:t>
      </w:r>
      <w:r>
        <w:rPr>
          <w:rFonts w:ascii="仿宋_GB2312" w:eastAsia="仿宋_GB2312" w:cs="Courier New"/>
          <w:sz w:val="32"/>
          <w:szCs w:val="32"/>
        </w:rPr>
        <w:t>100%</w:t>
      </w:r>
      <w:r>
        <w:rPr>
          <w:rFonts w:hint="eastAsia" w:ascii="仿宋_GB2312" w:eastAsia="仿宋_GB2312" w:cs="Courier New"/>
          <w:sz w:val="32"/>
          <w:szCs w:val="32"/>
        </w:rPr>
        <w:t>。</w:t>
      </w:r>
      <w:r>
        <w:rPr>
          <w:rFonts w:hint="eastAsia" w:ascii="仿宋_GB2312" w:hAnsi="宋体" w:eastAsia="仿宋_GB2312" w:cs="Courier New"/>
          <w:sz w:val="32"/>
          <w:szCs w:val="32"/>
        </w:rPr>
        <w:t>公务接待费</w:t>
      </w:r>
      <w:r>
        <w:rPr>
          <w:rFonts w:hint="eastAsia" w:eastAsia="仿宋_GB2312"/>
          <w:color w:val="000000"/>
          <w:kern w:val="0"/>
          <w:sz w:val="32"/>
          <w:szCs w:val="32"/>
        </w:rPr>
        <w:t>减少的主要原因是</w:t>
      </w:r>
      <w:r>
        <w:rPr>
          <w:rFonts w:eastAsia="仿宋_GB2312"/>
          <w:color w:val="000000"/>
          <w:kern w:val="0"/>
          <w:sz w:val="32"/>
          <w:szCs w:val="32"/>
        </w:rPr>
        <w:t>2018</w:t>
      </w:r>
      <w:r>
        <w:rPr>
          <w:rFonts w:hint="eastAsia" w:eastAsia="仿宋_GB2312"/>
          <w:color w:val="000000"/>
          <w:kern w:val="0"/>
          <w:sz w:val="32"/>
          <w:szCs w:val="32"/>
        </w:rPr>
        <w:t>年我局按照中央国务院八项规定和省委省政府厉行节约的相关规定要求，严格管控</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经费支出，进一步压缩公务接待开支。</w:t>
      </w:r>
    </w:p>
    <w:p>
      <w:pPr>
        <w:numPr>
          <w:ilvl w:val="0"/>
          <w:numId w:val="6"/>
        </w:numPr>
        <w:kinsoku w:val="0"/>
        <w:overflowPunct w:val="0"/>
        <w:autoSpaceDE w:val="0"/>
        <w:autoSpaceDN w:val="0"/>
        <w:adjustRightInd w:val="0"/>
        <w:snapToGrid w:val="0"/>
        <w:spacing w:line="360" w:lineRule="auto"/>
        <w:ind w:firstLine="640" w:firstLineChars="200"/>
        <w:rPr>
          <w:rFonts w:hint="eastAsia" w:ascii="仿宋_GB2312" w:eastAsia="仿宋_GB2312" w:cs="Courier New"/>
          <w:sz w:val="32"/>
          <w:szCs w:val="32"/>
        </w:rPr>
      </w:pPr>
      <w:r>
        <w:rPr>
          <w:rFonts w:hint="eastAsia" w:ascii="仿宋_GB2312" w:eastAsia="仿宋_GB2312" w:cs="Courier New"/>
          <w:sz w:val="32"/>
          <w:szCs w:val="32"/>
        </w:rPr>
        <w:t>、“三公”经费财政拨款支出决算具体情况说明</w:t>
      </w:r>
    </w:p>
    <w:p>
      <w:pPr>
        <w:numPr>
          <w:ilvl w:val="0"/>
          <w:numId w:val="0"/>
        </w:num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年度“三公”经费财政拨款支出决算中，因公出国（境）费支出决算0万元，完成预算的0%，占0%；公务用车购置及运行费支出决算</w:t>
      </w:r>
      <w:r>
        <w:rPr>
          <w:rFonts w:ascii="仿宋_GB2312" w:eastAsia="仿宋_GB2312" w:cs="Courier New"/>
          <w:sz w:val="32"/>
          <w:szCs w:val="32"/>
        </w:rPr>
        <w:t>3.5</w:t>
      </w:r>
      <w:r>
        <w:rPr>
          <w:rFonts w:hint="eastAsia" w:ascii="仿宋_GB2312" w:eastAsia="仿宋_GB2312" w:cs="Courier New"/>
          <w:sz w:val="32"/>
          <w:szCs w:val="32"/>
        </w:rPr>
        <w:t>万元，完成预算的</w:t>
      </w:r>
      <w:r>
        <w:rPr>
          <w:rFonts w:hint="eastAsia" w:ascii="仿宋_GB2312" w:eastAsia="仿宋_GB2312" w:cs="Courier New"/>
          <w:sz w:val="32"/>
          <w:szCs w:val="32"/>
          <w:lang w:val="en-US" w:eastAsia="zh-CN"/>
        </w:rPr>
        <w:t>10</w:t>
      </w:r>
      <w:r>
        <w:rPr>
          <w:rFonts w:hint="eastAsia" w:ascii="仿宋_GB2312" w:eastAsia="仿宋_GB2312" w:cs="Courier New"/>
          <w:sz w:val="32"/>
          <w:szCs w:val="32"/>
        </w:rPr>
        <w:t>0%，占</w:t>
      </w:r>
      <w:r>
        <w:rPr>
          <w:rFonts w:hint="eastAsia" w:ascii="仿宋_GB2312" w:eastAsia="仿宋_GB2312" w:cs="Courier New"/>
          <w:sz w:val="32"/>
          <w:szCs w:val="32"/>
          <w:lang w:val="en-US" w:eastAsia="zh-CN"/>
        </w:rPr>
        <w:t>10</w:t>
      </w:r>
      <w:r>
        <w:rPr>
          <w:rFonts w:hint="eastAsia" w:ascii="仿宋_GB2312" w:eastAsia="仿宋_GB2312" w:cs="Courier New"/>
          <w:sz w:val="32"/>
          <w:szCs w:val="32"/>
        </w:rPr>
        <w:t>0%；公务接待费支出决算</w:t>
      </w:r>
      <w:r>
        <w:rPr>
          <w:rFonts w:hint="eastAsia" w:ascii="仿宋_GB2312" w:eastAsia="仿宋_GB2312" w:cs="Courier New"/>
          <w:sz w:val="32"/>
          <w:szCs w:val="32"/>
          <w:lang w:val="en-US" w:eastAsia="zh-CN"/>
        </w:rPr>
        <w:t>0</w:t>
      </w:r>
      <w:r>
        <w:rPr>
          <w:rFonts w:hint="eastAsia" w:ascii="仿宋_GB2312" w:eastAsia="仿宋_GB2312" w:cs="Courier New"/>
          <w:sz w:val="32"/>
          <w:szCs w:val="32"/>
        </w:rPr>
        <w:t>万元，完成预算的</w:t>
      </w:r>
      <w:r>
        <w:rPr>
          <w:rFonts w:hint="eastAsia" w:ascii="仿宋_GB2312" w:eastAsia="仿宋_GB2312" w:cs="Courier New"/>
          <w:sz w:val="32"/>
          <w:szCs w:val="32"/>
          <w:lang w:val="en-US" w:eastAsia="zh-CN"/>
        </w:rPr>
        <w:t>0</w:t>
      </w:r>
      <w:r>
        <w:rPr>
          <w:rFonts w:hint="eastAsia" w:ascii="仿宋_GB2312" w:eastAsia="仿宋_GB2312" w:cs="Courier New"/>
          <w:sz w:val="32"/>
          <w:szCs w:val="32"/>
        </w:rPr>
        <w:t>%，占0%。</w:t>
      </w:r>
    </w:p>
    <w:p>
      <w:pPr>
        <w:kinsoku w:val="0"/>
        <w:overflowPunct w:val="0"/>
        <w:autoSpaceDE w:val="0"/>
        <w:autoSpaceDN w:val="0"/>
        <w:adjustRightInd w:val="0"/>
        <w:snapToGrid w:val="0"/>
        <w:spacing w:line="360" w:lineRule="auto"/>
        <w:rPr>
          <w:rFonts w:ascii="仿宋_GB2312" w:eastAsia="仿宋_GB2312" w:cs="Courier New"/>
          <w:sz w:val="32"/>
          <w:szCs w:val="32"/>
        </w:rPr>
      </w:pPr>
      <w:r>
        <w:rPr>
          <w:rFonts w:hint="eastAsia" w:ascii="仿宋_GB2312" w:eastAsia="仿宋_GB2312" w:cs="Courier New"/>
          <w:sz w:val="32"/>
          <w:szCs w:val="32"/>
        </w:rPr>
        <w:t>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_GB2312" w:eastAsia="仿宋_GB2312" w:cs="Courier New"/>
          <w:sz w:val="32"/>
          <w:szCs w:val="32"/>
        </w:rPr>
      </w:pPr>
      <w:r>
        <w:rPr>
          <w:rFonts w:hint="eastAsia" w:ascii="仿宋_GB2312" w:eastAsia="仿宋_GB2312" w:cs="Times New Roman"/>
          <w:b/>
          <w:bCs/>
          <w:sz w:val="32"/>
          <w:szCs w:val="32"/>
        </w:rPr>
        <w:t>因公出国（境）费支出</w:t>
      </w:r>
      <w:r>
        <w:rPr>
          <w:rFonts w:hint="eastAsia" w:ascii="仿宋_GB2312" w:eastAsia="仿宋_GB2312" w:cs="Times New Roman"/>
          <w:sz w:val="32"/>
          <w:szCs w:val="32"/>
        </w:rPr>
        <w:t>决算</w:t>
      </w:r>
      <w:r>
        <w:rPr>
          <w:rFonts w:ascii="仿宋_GB2312" w:eastAsia="仿宋_GB2312" w:cs="Courier New"/>
          <w:sz w:val="32"/>
          <w:szCs w:val="32"/>
        </w:rPr>
        <w:t>0</w:t>
      </w:r>
      <w:r>
        <w:rPr>
          <w:rFonts w:hint="eastAsia" w:ascii="仿宋_GB2312" w:eastAsia="仿宋_GB2312" w:cs="Courier New"/>
          <w:sz w:val="32"/>
          <w:szCs w:val="32"/>
        </w:rPr>
        <w:t>万元，支出决算为</w:t>
      </w:r>
      <w:r>
        <w:rPr>
          <w:rFonts w:ascii="仿宋_GB2312" w:eastAsia="仿宋_GB2312" w:cs="Courier New"/>
          <w:sz w:val="32"/>
          <w:szCs w:val="32"/>
        </w:rPr>
        <w:t>0</w:t>
      </w:r>
      <w:r>
        <w:rPr>
          <w:rFonts w:hint="eastAsia" w:ascii="仿宋_GB2312" w:eastAsia="仿宋_GB2312" w:cs="Courier New"/>
          <w:sz w:val="32"/>
          <w:szCs w:val="32"/>
        </w:rPr>
        <w:t>万元，完成年初预算的</w:t>
      </w:r>
      <w:r>
        <w:rPr>
          <w:rFonts w:ascii="仿宋_GB2312" w:eastAsia="仿宋_GB2312" w:cs="Courier New"/>
          <w:sz w:val="32"/>
          <w:szCs w:val="32"/>
        </w:rPr>
        <w:t>0%</w:t>
      </w:r>
      <w:r>
        <w:rPr>
          <w:rFonts w:hint="eastAsia" w:ascii="仿宋_GB2312" w:eastAsia="仿宋_GB2312" w:cs="Courier New"/>
          <w:sz w:val="32"/>
          <w:szCs w:val="32"/>
        </w:rPr>
        <w:t>；全年因公出国（境）团组</w:t>
      </w:r>
      <w:r>
        <w:rPr>
          <w:rFonts w:ascii="仿宋_GB2312" w:eastAsia="仿宋_GB2312" w:cs="Courier New"/>
          <w:sz w:val="32"/>
          <w:szCs w:val="32"/>
        </w:rPr>
        <w:t>0</w:t>
      </w:r>
      <w:r>
        <w:rPr>
          <w:rFonts w:hint="eastAsia" w:ascii="仿宋_GB2312" w:eastAsia="仿宋_GB2312" w:cs="Courier New"/>
          <w:sz w:val="32"/>
          <w:szCs w:val="32"/>
        </w:rPr>
        <w:t>个，累计</w:t>
      </w:r>
      <w:r>
        <w:rPr>
          <w:rFonts w:ascii="仿宋_GB2312" w:eastAsia="仿宋_GB2312" w:cs="Courier New"/>
          <w:sz w:val="32"/>
          <w:szCs w:val="32"/>
        </w:rPr>
        <w:t>0</w:t>
      </w:r>
      <w:r>
        <w:rPr>
          <w:rFonts w:hint="eastAsia" w:ascii="仿宋_GB2312" w:eastAsia="仿宋_GB2312" w:cs="Courier New"/>
          <w:sz w:val="32"/>
          <w:szCs w:val="32"/>
        </w:rPr>
        <w:t>人次。</w:t>
      </w:r>
    </w:p>
    <w:p>
      <w:pPr>
        <w:numPr>
          <w:ilvl w:val="0"/>
          <w:numId w:val="7"/>
        </w:numPr>
        <w:kinsoku w:val="0"/>
        <w:overflowPunct w:val="0"/>
        <w:autoSpaceDE w:val="0"/>
        <w:autoSpaceDN w:val="0"/>
        <w:adjustRightInd w:val="0"/>
        <w:snapToGrid w:val="0"/>
        <w:spacing w:line="360" w:lineRule="auto"/>
        <w:ind w:firstLine="643" w:firstLineChars="200"/>
        <w:rPr>
          <w:rFonts w:ascii="仿宋_GB2312" w:eastAsia="仿宋_GB2312" w:cs="Courier New"/>
          <w:sz w:val="32"/>
          <w:szCs w:val="32"/>
        </w:rPr>
      </w:pPr>
      <w:r>
        <w:rPr>
          <w:rFonts w:hint="eastAsia" w:ascii="仿宋_GB2312" w:eastAsia="仿宋_GB2312" w:cs="Times New Roman"/>
          <w:b/>
          <w:bCs/>
          <w:sz w:val="32"/>
          <w:szCs w:val="32"/>
        </w:rPr>
        <w:t>公务用车购置及运行费</w:t>
      </w:r>
      <w:r>
        <w:rPr>
          <w:rFonts w:hint="eastAsia" w:ascii="仿宋_GB2312" w:eastAsia="仿宋_GB2312" w:cs="Times New Roman"/>
          <w:sz w:val="32"/>
          <w:szCs w:val="32"/>
        </w:rPr>
        <w:t>年初预算为</w:t>
      </w:r>
      <w:r>
        <w:rPr>
          <w:rFonts w:ascii="仿宋_GB2312" w:eastAsia="仿宋_GB2312" w:cs="Courier New"/>
          <w:sz w:val="32"/>
          <w:szCs w:val="32"/>
        </w:rPr>
        <w:t>3.5</w:t>
      </w:r>
      <w:r>
        <w:rPr>
          <w:rFonts w:hint="eastAsia" w:ascii="仿宋_GB2312" w:eastAsia="仿宋_GB2312" w:cs="Courier New"/>
          <w:sz w:val="32"/>
          <w:szCs w:val="32"/>
        </w:rPr>
        <w:t>万元，支出决算</w:t>
      </w:r>
      <w:r>
        <w:rPr>
          <w:rFonts w:ascii="仿宋_GB2312" w:eastAsia="仿宋_GB2312" w:cs="Courier New"/>
          <w:sz w:val="32"/>
          <w:szCs w:val="32"/>
        </w:rPr>
        <w:t>3.5</w:t>
      </w:r>
      <w:r>
        <w:rPr>
          <w:rFonts w:hint="eastAsia" w:ascii="仿宋_GB2312" w:eastAsia="仿宋_GB2312" w:cs="Courier New"/>
          <w:sz w:val="32"/>
          <w:szCs w:val="32"/>
        </w:rPr>
        <w:t>万元，完成年初预算的</w:t>
      </w:r>
      <w:r>
        <w:rPr>
          <w:rFonts w:ascii="仿宋_GB2312" w:eastAsia="仿宋_GB2312" w:cs="Courier New"/>
          <w:sz w:val="32"/>
          <w:szCs w:val="32"/>
        </w:rPr>
        <w:t>100%</w:t>
      </w:r>
      <w:r>
        <w:rPr>
          <w:rFonts w:hint="eastAsia" w:ascii="仿宋_GB2312" w:eastAsia="仿宋_GB2312" w:cs="Courier New"/>
          <w:sz w:val="32"/>
          <w:szCs w:val="32"/>
        </w:rPr>
        <w:t>。其中：</w:t>
      </w:r>
    </w:p>
    <w:p>
      <w:pPr>
        <w:tabs>
          <w:tab w:val="left" w:pos="0"/>
        </w:tabs>
        <w:kinsoku w:val="0"/>
        <w:overflowPunct w:val="0"/>
        <w:autoSpaceDE w:val="0"/>
        <w:autoSpaceDN w:val="0"/>
        <w:adjustRightInd w:val="0"/>
        <w:snapToGrid w:val="0"/>
        <w:spacing w:line="360" w:lineRule="auto"/>
        <w:ind w:left="420" w:leftChars="200"/>
        <w:rPr>
          <w:rFonts w:ascii="仿宋_GB2312" w:eastAsia="仿宋_GB2312" w:cs="Courier New"/>
          <w:b/>
          <w:bCs/>
          <w:sz w:val="32"/>
          <w:szCs w:val="32"/>
        </w:rPr>
      </w:pPr>
      <w:r>
        <w:rPr>
          <w:rFonts w:hint="eastAsia" w:ascii="仿宋_GB2312" w:eastAsia="仿宋_GB2312" w:cs="Courier New"/>
          <w:b/>
          <w:bCs/>
          <w:sz w:val="32"/>
          <w:szCs w:val="32"/>
        </w:rPr>
        <w:t>公务用车购置支出为</w:t>
      </w:r>
      <w:r>
        <w:rPr>
          <w:rFonts w:ascii="仿宋_GB2312" w:eastAsia="仿宋_GB2312" w:cs="Courier New"/>
          <w:b/>
          <w:bCs/>
          <w:sz w:val="32"/>
          <w:szCs w:val="32"/>
        </w:rPr>
        <w:t>0</w:t>
      </w:r>
      <w:r>
        <w:rPr>
          <w:rFonts w:hint="eastAsia" w:ascii="仿宋_GB2312" w:eastAsia="仿宋_GB2312" w:cs="Courier New"/>
          <w:b/>
          <w:bCs/>
          <w:sz w:val="32"/>
          <w:szCs w:val="32"/>
        </w:rPr>
        <w:t>万元，购置车辆</w:t>
      </w:r>
      <w:r>
        <w:rPr>
          <w:rFonts w:ascii="仿宋_GB2312" w:eastAsia="仿宋_GB2312" w:cs="Courier New"/>
          <w:b/>
          <w:bCs/>
          <w:sz w:val="32"/>
          <w:szCs w:val="32"/>
        </w:rPr>
        <w:t>0</w:t>
      </w:r>
      <w:r>
        <w:rPr>
          <w:rFonts w:hint="eastAsia" w:ascii="仿宋_GB2312" w:eastAsia="仿宋_GB2312" w:cs="Courier New"/>
          <w:b/>
          <w:bCs/>
          <w:sz w:val="32"/>
          <w:szCs w:val="32"/>
        </w:rPr>
        <w:t>辆。</w:t>
      </w:r>
    </w:p>
    <w:p>
      <w:pPr>
        <w:tabs>
          <w:tab w:val="left" w:pos="0"/>
        </w:tabs>
        <w:kinsoku w:val="0"/>
        <w:overflowPunct w:val="0"/>
        <w:autoSpaceDE w:val="0"/>
        <w:autoSpaceDN w:val="0"/>
        <w:adjustRightInd w:val="0"/>
        <w:snapToGrid w:val="0"/>
        <w:spacing w:line="360" w:lineRule="auto"/>
        <w:ind w:left="420" w:leftChars="200"/>
        <w:rPr>
          <w:rFonts w:ascii="仿宋_GB2312" w:eastAsia="仿宋_GB2312" w:cs="Courier New"/>
          <w:b/>
          <w:bCs/>
          <w:sz w:val="32"/>
          <w:szCs w:val="32"/>
        </w:rPr>
      </w:pPr>
      <w:r>
        <w:rPr>
          <w:rFonts w:hint="eastAsia" w:ascii="仿宋_GB2312" w:eastAsia="仿宋_GB2312" w:cs="Courier New"/>
          <w:b/>
          <w:bCs/>
          <w:sz w:val="32"/>
          <w:szCs w:val="32"/>
        </w:rPr>
        <w:t>公务用车运行</w:t>
      </w:r>
      <w:r>
        <w:rPr>
          <w:rFonts w:hint="eastAsia" w:ascii="仿宋_GB2312" w:eastAsia="仿宋_GB2312" w:cs="Courier New"/>
          <w:sz w:val="32"/>
          <w:szCs w:val="32"/>
        </w:rPr>
        <w:t>支出</w:t>
      </w:r>
      <w:r>
        <w:rPr>
          <w:rFonts w:ascii="仿宋_GB2312" w:eastAsia="仿宋_GB2312" w:cs="Courier New"/>
          <w:sz w:val="32"/>
          <w:szCs w:val="32"/>
        </w:rPr>
        <w:t>3.5</w:t>
      </w:r>
      <w:r>
        <w:rPr>
          <w:rFonts w:hint="eastAsia" w:ascii="仿宋_GB2312" w:eastAsia="仿宋_GB2312" w:cs="Courier New"/>
          <w:sz w:val="32"/>
          <w:szCs w:val="32"/>
        </w:rPr>
        <w:t>万元，主要用于车辆维修、车辆燃油、车辆保险。</w:t>
      </w:r>
      <w:r>
        <w:rPr>
          <w:rFonts w:ascii="仿宋_GB2312" w:eastAsia="仿宋_GB2312" w:cs="Courier New"/>
          <w:sz w:val="32"/>
          <w:szCs w:val="32"/>
        </w:rPr>
        <w:t>2018</w:t>
      </w:r>
      <w:r>
        <w:rPr>
          <w:rFonts w:hint="eastAsia" w:ascii="仿宋_GB2312" w:eastAsia="仿宋_GB2312" w:cs="Courier New"/>
          <w:sz w:val="32"/>
          <w:szCs w:val="32"/>
        </w:rPr>
        <w:t>年末，部门开支财政拨款的公务用车</w:t>
      </w:r>
      <w:r>
        <w:rPr>
          <w:rFonts w:hint="eastAsia" w:ascii="仿宋_GB2312" w:eastAsia="仿宋_GB2312" w:cs="Courier New"/>
          <w:b/>
          <w:bCs/>
          <w:sz w:val="32"/>
          <w:szCs w:val="32"/>
        </w:rPr>
        <w:t>保有量</w:t>
      </w:r>
      <w:r>
        <w:rPr>
          <w:rFonts w:hint="eastAsia" w:ascii="仿宋_GB2312" w:eastAsia="仿宋_GB2312" w:cs="Courier New"/>
          <w:sz w:val="32"/>
          <w:szCs w:val="32"/>
        </w:rPr>
        <w:t>为</w:t>
      </w:r>
      <w:r>
        <w:rPr>
          <w:rFonts w:ascii="仿宋_GB2312" w:eastAsia="仿宋_GB2312" w:cs="Courier New"/>
          <w:sz w:val="32"/>
          <w:szCs w:val="32"/>
        </w:rPr>
        <w:t>1</w:t>
      </w:r>
      <w:r>
        <w:rPr>
          <w:rFonts w:hint="eastAsia" w:ascii="仿宋_GB2312" w:eastAsia="仿宋_GB2312" w:cs="Courier New"/>
          <w:sz w:val="32"/>
          <w:szCs w:val="32"/>
        </w:rPr>
        <w:t>辆</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rPr>
        <w:t>量。</w:t>
      </w:r>
    </w:p>
    <w:p>
      <w:pPr>
        <w:numPr>
          <w:ilvl w:val="0"/>
          <w:numId w:val="7"/>
        </w:numPr>
        <w:tabs>
          <w:tab w:val="left" w:pos="0"/>
        </w:tabs>
        <w:kinsoku w:val="0"/>
        <w:overflowPunct w:val="0"/>
        <w:autoSpaceDE w:val="0"/>
        <w:autoSpaceDN w:val="0"/>
        <w:adjustRightInd w:val="0"/>
        <w:snapToGrid w:val="0"/>
        <w:spacing w:line="360" w:lineRule="auto"/>
        <w:ind w:firstLine="643" w:firstLineChars="200"/>
        <w:rPr>
          <w:rFonts w:ascii="仿宋_GB2312" w:eastAsia="仿宋_GB2312" w:cs="Courier New"/>
          <w:sz w:val="32"/>
          <w:szCs w:val="32"/>
        </w:rPr>
      </w:pPr>
      <w:r>
        <w:rPr>
          <w:rFonts w:hint="eastAsia" w:ascii="仿宋_GB2312" w:eastAsia="仿宋_GB2312" w:cs="Times New Roman"/>
          <w:b/>
          <w:bCs/>
          <w:sz w:val="32"/>
          <w:szCs w:val="32"/>
        </w:rPr>
        <w:t>公务接待费年初预算数为</w:t>
      </w:r>
      <w:r>
        <w:rPr>
          <w:rFonts w:ascii="仿宋_GB2312" w:eastAsia="仿宋_GB2312" w:cs="Courier New"/>
          <w:b/>
          <w:bCs/>
          <w:sz w:val="32"/>
          <w:szCs w:val="32"/>
        </w:rPr>
        <w:t>5</w:t>
      </w:r>
      <w:r>
        <w:rPr>
          <w:rFonts w:hint="eastAsia" w:ascii="仿宋_GB2312" w:eastAsia="仿宋_GB2312" w:cs="Courier New"/>
          <w:sz w:val="32"/>
          <w:szCs w:val="32"/>
        </w:rPr>
        <w:t>万元，支出决算数为</w:t>
      </w:r>
      <w:r>
        <w:rPr>
          <w:rFonts w:ascii="仿宋_GB2312" w:eastAsia="仿宋_GB2312" w:cs="Courier New"/>
          <w:sz w:val="32"/>
          <w:szCs w:val="32"/>
        </w:rPr>
        <w:t>0</w:t>
      </w:r>
      <w:r>
        <w:rPr>
          <w:rFonts w:hint="eastAsia" w:ascii="仿宋_GB2312" w:eastAsia="仿宋_GB2312" w:cs="Courier New"/>
          <w:sz w:val="32"/>
          <w:szCs w:val="32"/>
        </w:rPr>
        <w:t>万元，完成年初预算数的</w:t>
      </w:r>
      <w:r>
        <w:rPr>
          <w:rFonts w:ascii="仿宋_GB2312" w:eastAsia="仿宋_GB2312" w:cs="Courier New"/>
          <w:sz w:val="32"/>
          <w:szCs w:val="32"/>
        </w:rPr>
        <w:t>0%</w:t>
      </w:r>
      <w:r>
        <w:rPr>
          <w:rFonts w:hint="eastAsia" w:ascii="仿宋_GB2312" w:eastAsia="仿宋_GB2312" w:cs="Courier New"/>
          <w:sz w:val="32"/>
          <w:szCs w:val="32"/>
        </w:rPr>
        <w:t>，其中：</w:t>
      </w:r>
    </w:p>
    <w:p>
      <w:pPr>
        <w:kinsoku w:val="0"/>
        <w:overflowPunct w:val="0"/>
        <w:autoSpaceDE w:val="0"/>
        <w:autoSpaceDN w:val="0"/>
        <w:adjustRightInd w:val="0"/>
        <w:snapToGrid w:val="0"/>
        <w:spacing w:line="360" w:lineRule="auto"/>
        <w:ind w:firstLine="643" w:firstLineChars="200"/>
        <w:rPr>
          <w:rFonts w:hint="eastAsia" w:ascii="仿宋_GB2312" w:eastAsia="仿宋_GB2312" w:cs="Courier New"/>
          <w:sz w:val="32"/>
          <w:szCs w:val="32"/>
        </w:rPr>
      </w:pPr>
      <w:r>
        <w:rPr>
          <w:rFonts w:hint="eastAsia" w:ascii="仿宋_GB2312" w:eastAsia="仿宋_GB2312" w:cs="Courier New"/>
          <w:b/>
          <w:bCs/>
          <w:sz w:val="32"/>
          <w:szCs w:val="32"/>
        </w:rPr>
        <w:t>外宾接待</w:t>
      </w:r>
      <w:r>
        <w:rPr>
          <w:rFonts w:hint="eastAsia" w:ascii="仿宋_GB2312" w:eastAsia="仿宋_GB2312" w:cs="Courier New"/>
          <w:sz w:val="32"/>
          <w:szCs w:val="32"/>
        </w:rPr>
        <w:t>0 万元。无外宾接待支出。201</w:t>
      </w:r>
      <w:r>
        <w:rPr>
          <w:rFonts w:hint="eastAsia" w:ascii="仿宋_GB2312" w:eastAsia="仿宋_GB2312" w:cs="Courier New"/>
          <w:sz w:val="32"/>
          <w:szCs w:val="32"/>
          <w:lang w:val="en-US" w:eastAsia="zh-CN"/>
        </w:rPr>
        <w:t>8</w:t>
      </w:r>
      <w:r>
        <w:rPr>
          <w:rFonts w:hint="eastAsia" w:ascii="仿宋_GB2312" w:eastAsia="仿宋_GB2312" w:cs="Courier New"/>
          <w:sz w:val="32"/>
          <w:szCs w:val="32"/>
        </w:rPr>
        <w:t xml:space="preserve"> 年共接待国（境）外来访团组 0 个、来访外宾 0 人次（不包括陪同人员）。</w:t>
      </w:r>
    </w:p>
    <w:p>
      <w:pPr>
        <w:kinsoku w:val="0"/>
        <w:overflowPunct w:val="0"/>
        <w:autoSpaceDE w:val="0"/>
        <w:autoSpaceDN w:val="0"/>
        <w:adjustRightInd w:val="0"/>
        <w:snapToGrid w:val="0"/>
        <w:spacing w:line="360" w:lineRule="auto"/>
        <w:ind w:firstLine="643" w:firstLineChars="200"/>
        <w:rPr>
          <w:rFonts w:ascii="仿宋_GB2312" w:eastAsia="仿宋_GB2312" w:cs="Courier New"/>
          <w:sz w:val="32"/>
          <w:szCs w:val="32"/>
        </w:rPr>
      </w:pPr>
      <w:r>
        <w:rPr>
          <w:rFonts w:hint="eastAsia" w:ascii="仿宋_GB2312" w:eastAsia="仿宋_GB2312" w:cs="Courier New"/>
          <w:b/>
          <w:bCs/>
          <w:sz w:val="32"/>
          <w:szCs w:val="32"/>
        </w:rPr>
        <w:t>其他国内公务接待</w:t>
      </w:r>
      <w:r>
        <w:rPr>
          <w:rFonts w:hint="eastAsia" w:ascii="仿宋_GB2312" w:eastAsia="仿宋_GB2312" w:cs="Courier New"/>
          <w:sz w:val="32"/>
          <w:szCs w:val="32"/>
        </w:rPr>
        <w:t>支出为</w:t>
      </w:r>
      <w:r>
        <w:rPr>
          <w:rFonts w:ascii="仿宋_GB2312" w:eastAsia="仿宋_GB2312" w:cs="Courier New"/>
          <w:sz w:val="32"/>
          <w:szCs w:val="32"/>
        </w:rPr>
        <w:t>0</w:t>
      </w:r>
      <w:r>
        <w:rPr>
          <w:rFonts w:hint="eastAsia" w:ascii="仿宋_GB2312" w:eastAsia="仿宋_GB2312" w:cs="Courier New"/>
          <w:sz w:val="32"/>
          <w:szCs w:val="32"/>
        </w:rPr>
        <w:t>万元。201</w:t>
      </w:r>
      <w:r>
        <w:rPr>
          <w:rFonts w:hint="eastAsia" w:ascii="仿宋_GB2312" w:eastAsia="仿宋_GB2312" w:cs="Courier New"/>
          <w:sz w:val="32"/>
          <w:szCs w:val="32"/>
          <w:lang w:val="en-US" w:eastAsia="zh-CN"/>
        </w:rPr>
        <w:t>8</w:t>
      </w:r>
      <w:r>
        <w:rPr>
          <w:rFonts w:hint="eastAsia" w:ascii="仿宋_GB2312" w:eastAsia="仿宋_GB2312" w:cs="Courier New"/>
          <w:sz w:val="32"/>
          <w:szCs w:val="32"/>
        </w:rPr>
        <w:t>年共接待国内来访团组</w:t>
      </w:r>
      <w:r>
        <w:rPr>
          <w:rFonts w:hint="eastAsia" w:ascii="仿宋_GB2312" w:eastAsia="仿宋_GB2312" w:cs="Courier New"/>
          <w:sz w:val="32"/>
          <w:szCs w:val="32"/>
          <w:lang w:val="en-US" w:eastAsia="zh-CN"/>
        </w:rPr>
        <w:t>0</w:t>
      </w:r>
      <w:r>
        <w:rPr>
          <w:rFonts w:hint="eastAsia" w:ascii="仿宋_GB2312" w:eastAsia="仿宋_GB2312" w:cs="Courier New"/>
          <w:sz w:val="32"/>
          <w:szCs w:val="32"/>
        </w:rPr>
        <w:t>个、来宾</w:t>
      </w:r>
      <w:r>
        <w:rPr>
          <w:rFonts w:hint="eastAsia" w:ascii="仿宋_GB2312" w:eastAsia="仿宋_GB2312" w:cs="Courier New"/>
          <w:sz w:val="32"/>
          <w:szCs w:val="32"/>
          <w:lang w:val="en-US" w:eastAsia="zh-CN"/>
        </w:rPr>
        <w:t>0</w:t>
      </w:r>
      <w:r>
        <w:rPr>
          <w:rFonts w:hint="eastAsia" w:ascii="仿宋_GB2312" w:eastAsia="仿宋_GB2312" w:cs="Courier New"/>
          <w:sz w:val="32"/>
          <w:szCs w:val="32"/>
        </w:rPr>
        <w:t>人次（不包括陪同人员）。</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p>
    <w:p>
      <w:pPr>
        <w:numPr>
          <w:ilvl w:val="0"/>
          <w:numId w:val="3"/>
        </w:numPr>
        <w:adjustRightInd w:val="0"/>
        <w:snapToGrid w:val="0"/>
        <w:spacing w:line="360" w:lineRule="auto"/>
        <w:ind w:firstLine="640" w:firstLineChars="200"/>
        <w:outlineLvl w:val="1"/>
        <w:rPr>
          <w:rFonts w:ascii="黑体" w:eastAsia="黑体"/>
          <w:sz w:val="32"/>
          <w:szCs w:val="32"/>
        </w:rPr>
      </w:pPr>
      <w:r>
        <w:rPr>
          <w:rFonts w:hint="eastAsia" w:ascii="黑体" w:eastAsia="黑体" w:cs="Times New Roman"/>
          <w:sz w:val="32"/>
          <w:szCs w:val="32"/>
        </w:rPr>
        <w:t>预算绩效情况说明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eastAsia="楷体_GB2312" w:cs="楷体_GB2312"/>
          <w:sz w:val="32"/>
          <w:szCs w:val="32"/>
        </w:rPr>
      </w:pPr>
      <w:r>
        <w:rPr>
          <w:rFonts w:hint="eastAsia" w:asci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rPr>
        <w:t>浉河区市政管理服务局在</w:t>
      </w:r>
      <w:r>
        <w:rPr>
          <w:rFonts w:ascii="仿宋_GB2312" w:eastAsia="仿宋_GB2312" w:cs="Courier New"/>
          <w:sz w:val="32"/>
          <w:szCs w:val="32"/>
        </w:rPr>
        <w:t>2018</w:t>
      </w:r>
      <w:r>
        <w:rPr>
          <w:rFonts w:hint="eastAsia" w:ascii="仿宋_GB2312" w:eastAsia="仿宋_GB2312" w:cs="Courier New"/>
          <w:sz w:val="32"/>
          <w:szCs w:val="32"/>
        </w:rPr>
        <w:t>年度一般公共预算收入</w:t>
      </w:r>
      <w:r>
        <w:rPr>
          <w:rFonts w:ascii="仿宋_GB2312" w:eastAsia="仿宋_GB2312" w:cs="Courier New"/>
          <w:sz w:val="32"/>
          <w:szCs w:val="32"/>
        </w:rPr>
        <w:t>3541.11</w:t>
      </w:r>
      <w:r>
        <w:rPr>
          <w:rFonts w:hint="eastAsia" w:ascii="仿宋_GB2312" w:eastAsia="仿宋_GB2312" w:cs="Courier New"/>
          <w:sz w:val="32"/>
          <w:szCs w:val="32"/>
        </w:rPr>
        <w:t>万元。完成率</w:t>
      </w:r>
      <w:r>
        <w:rPr>
          <w:rFonts w:ascii="仿宋_GB2312" w:eastAsia="仿宋_GB2312" w:cs="Courier New"/>
          <w:sz w:val="32"/>
          <w:szCs w:val="32"/>
        </w:rPr>
        <w:t>100%.</w:t>
      </w:r>
    </w:p>
    <w:p>
      <w:pPr>
        <w:numPr>
          <w:ilvl w:val="0"/>
          <w:numId w:val="8"/>
        </w:numPr>
        <w:kinsoku w:val="0"/>
        <w:overflowPunct w:val="0"/>
        <w:autoSpaceDE w:val="0"/>
        <w:autoSpaceDN w:val="0"/>
        <w:adjustRightInd w:val="0"/>
        <w:snapToGrid w:val="0"/>
        <w:spacing w:line="360" w:lineRule="auto"/>
        <w:ind w:firstLine="640" w:firstLineChars="200"/>
        <w:rPr>
          <w:rFonts w:ascii="楷体_GB2312" w:eastAsia="楷体_GB2312" w:cs="楷体_GB2312"/>
          <w:sz w:val="32"/>
          <w:szCs w:val="32"/>
        </w:rPr>
      </w:pPr>
      <w:r>
        <w:rPr>
          <w:rFonts w:hint="eastAsia" w:ascii="楷体_GB2312" w:eastAsia="楷体_GB2312" w:cs="楷体_GB2312"/>
          <w:sz w:val="32"/>
          <w:szCs w:val="32"/>
        </w:rPr>
        <w:t>项目绩效自评结果。</w:t>
      </w:r>
    </w:p>
    <w:p>
      <w:pPr>
        <w:kinsoku w:val="0"/>
        <w:overflowPunct w:val="0"/>
        <w:autoSpaceDE w:val="0"/>
        <w:autoSpaceDN w:val="0"/>
        <w:adjustRightInd w:val="0"/>
        <w:snapToGrid w:val="0"/>
        <w:spacing w:line="360" w:lineRule="auto"/>
        <w:ind w:left="640" w:firstLine="640" w:firstLineChars="200"/>
        <w:rPr>
          <w:rFonts w:ascii="仿宋_GB2312" w:eastAsia="仿宋_GB2312" w:cs="Courier New"/>
          <w:sz w:val="32"/>
          <w:szCs w:val="32"/>
        </w:rPr>
      </w:pPr>
      <w:r>
        <w:rPr>
          <w:rFonts w:hint="eastAsia" w:ascii="仿宋_GB2312" w:eastAsia="仿宋_GB2312" w:cs="Courier New"/>
          <w:sz w:val="32"/>
          <w:szCs w:val="32"/>
        </w:rPr>
        <w:t>浉河区市政管理服务局在</w:t>
      </w:r>
      <w:r>
        <w:rPr>
          <w:rFonts w:ascii="仿宋_GB2312" w:eastAsia="仿宋_GB2312" w:cs="Courier New"/>
          <w:sz w:val="32"/>
          <w:szCs w:val="32"/>
        </w:rPr>
        <w:t>2018</w:t>
      </w:r>
      <w:r>
        <w:rPr>
          <w:rFonts w:hint="eastAsia" w:ascii="仿宋_GB2312" w:eastAsia="仿宋_GB2312" w:cs="Courier New"/>
          <w:sz w:val="32"/>
          <w:szCs w:val="32"/>
        </w:rPr>
        <w:t>年度部门决算中财务管理制度较为健全，任务质量完成较高，经济社会效益明显，群众满意度较好。</w:t>
      </w:r>
    </w:p>
    <w:p>
      <w:pPr>
        <w:kinsoku w:val="0"/>
        <w:overflowPunct w:val="0"/>
        <w:autoSpaceDE w:val="0"/>
        <w:autoSpaceDN w:val="0"/>
        <w:adjustRightInd w:val="0"/>
        <w:snapToGrid w:val="0"/>
        <w:spacing w:line="360" w:lineRule="auto"/>
        <w:ind w:left="640"/>
        <w:rPr>
          <w:rFonts w:ascii="仿宋_GB2312" w:eastAsia="仿宋_GB2312" w:cs="Courier New"/>
          <w:sz w:val="32"/>
          <w:szCs w:val="32"/>
        </w:rPr>
      </w:pPr>
      <w:r>
        <w:rPr>
          <w:rFonts w:hint="eastAsia" w:ascii="仿宋_GB2312" w:eastAsia="仿宋_GB2312" w:cs="Courier New"/>
          <w:sz w:val="32"/>
          <w:szCs w:val="32"/>
        </w:rPr>
        <w:t>重点绩效评价结果。</w:t>
      </w:r>
    </w:p>
    <w:p>
      <w:pPr>
        <w:kinsoku w:val="0"/>
        <w:overflowPunct w:val="0"/>
        <w:autoSpaceDE w:val="0"/>
        <w:autoSpaceDN w:val="0"/>
        <w:adjustRightInd w:val="0"/>
        <w:snapToGrid w:val="0"/>
        <w:spacing w:line="360" w:lineRule="auto"/>
        <w:ind w:left="640"/>
        <w:rPr>
          <w:rFonts w:ascii="楷体_GB2312" w:eastAsia="楷体_GB2312" w:cs="楷体_GB2312"/>
          <w:sz w:val="32"/>
          <w:szCs w:val="32"/>
        </w:rPr>
      </w:pPr>
      <w:r>
        <w:rPr>
          <w:rFonts w:ascii="仿宋_GB2312" w:eastAsia="仿宋_GB2312" w:cs="Courier New"/>
          <w:sz w:val="32"/>
          <w:szCs w:val="32"/>
        </w:rPr>
        <w:tab/>
      </w:r>
      <w:r>
        <w:rPr>
          <w:rFonts w:hint="eastAsia" w:ascii="仿宋_GB2312" w:eastAsia="仿宋_GB2312" w:cs="Courier New"/>
          <w:sz w:val="32"/>
          <w:szCs w:val="32"/>
        </w:rPr>
        <w:t>按照设定的评价指标，已实现项目绩效目标</w:t>
      </w:r>
      <w:r>
        <w:rPr>
          <w:rFonts w:hint="eastAsia" w:ascii="楷体_GB2312" w:eastAsia="楷体_GB2312" w:cs="楷体_GB2312"/>
          <w:sz w:val="32"/>
          <w:szCs w:val="32"/>
        </w:rPr>
        <w:t>绩效自评</w:t>
      </w:r>
      <w:r>
        <w:rPr>
          <w:rFonts w:ascii="楷体_GB2312" w:eastAsia="楷体_GB2312" w:cs="楷体_GB2312"/>
          <w:sz w:val="32"/>
          <w:szCs w:val="32"/>
        </w:rPr>
        <w:t>100%</w:t>
      </w:r>
    </w:p>
    <w:p>
      <w:pPr>
        <w:tabs>
          <w:tab w:val="left" w:pos="0"/>
        </w:tabs>
        <w:adjustRightInd w:val="0"/>
        <w:snapToGrid w:val="0"/>
        <w:spacing w:line="360" w:lineRule="auto"/>
        <w:outlineLvl w:val="1"/>
        <w:rPr>
          <w:rFonts w:ascii="黑体" w:eastAsia="黑体"/>
          <w:sz w:val="32"/>
          <w:szCs w:val="32"/>
        </w:rPr>
      </w:pPr>
      <w:r>
        <w:rPr>
          <w:rFonts w:hint="eastAsia" w:ascii="黑体" w:eastAsia="黑体"/>
          <w:sz w:val="32"/>
          <w:szCs w:val="32"/>
        </w:rPr>
        <w:t>九、政府性基金预算财政拨款支出决算情况说明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年度政府性基金预算财政拨款支出年初预算为</w:t>
      </w:r>
      <w:r>
        <w:rPr>
          <w:rFonts w:ascii="仿宋_GB2312" w:eastAsia="仿宋_GB2312" w:cs="Courier New"/>
          <w:sz w:val="32"/>
          <w:szCs w:val="32"/>
        </w:rPr>
        <w:t>0</w:t>
      </w:r>
      <w:r>
        <w:rPr>
          <w:rFonts w:hint="eastAsia" w:ascii="仿宋_GB2312" w:eastAsia="仿宋_GB2312" w:cs="Courier New"/>
          <w:sz w:val="32"/>
          <w:szCs w:val="32"/>
        </w:rPr>
        <w:t>万元，支出决算为</w:t>
      </w:r>
      <w:r>
        <w:rPr>
          <w:rFonts w:ascii="仿宋_GB2312" w:eastAsia="仿宋_GB2312" w:cs="Courier New"/>
          <w:sz w:val="32"/>
          <w:szCs w:val="32"/>
        </w:rPr>
        <w:t>0</w:t>
      </w:r>
      <w:r>
        <w:rPr>
          <w:rFonts w:hint="eastAsia" w:ascii="仿宋_GB2312" w:eastAsia="仿宋_GB2312" w:cs="Courier New"/>
          <w:sz w:val="32"/>
          <w:szCs w:val="32"/>
        </w:rPr>
        <w:t>万元，完成年初预算的</w:t>
      </w:r>
      <w:r>
        <w:rPr>
          <w:rFonts w:ascii="仿宋_GB2312" w:eastAsia="仿宋_GB2312" w:cs="Courier New"/>
          <w:sz w:val="32"/>
          <w:szCs w:val="32"/>
        </w:rPr>
        <w:t>0%</w:t>
      </w:r>
      <w:r>
        <w:rPr>
          <w:rFonts w:hint="eastAsia" w:ascii="仿宋_GB2312" w:eastAsia="仿宋_GB2312" w:cs="Courier New"/>
          <w:sz w:val="32"/>
          <w:szCs w:val="32"/>
        </w:rPr>
        <w:t>。主要原因是没有使用政府性基金。</w:t>
      </w:r>
    </w:p>
    <w:p>
      <w:pPr>
        <w:tabs>
          <w:tab w:val="left" w:pos="0"/>
        </w:tabs>
        <w:adjustRightInd w:val="0"/>
        <w:snapToGrid w:val="0"/>
        <w:spacing w:line="360" w:lineRule="auto"/>
        <w:ind w:firstLine="640" w:firstLineChars="200"/>
        <w:outlineLvl w:val="1"/>
        <w:rPr>
          <w:rFonts w:ascii="黑体" w:eastAsia="黑体"/>
          <w:sz w:val="32"/>
          <w:szCs w:val="32"/>
        </w:rPr>
      </w:pPr>
      <w:r>
        <w:rPr>
          <w:rFonts w:hint="eastAsia" w:ascii="黑体" w:eastAsia="黑体"/>
          <w:sz w:val="32"/>
          <w:szCs w:val="32"/>
        </w:rPr>
        <w:t>十、机关运行经费支出情况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年度机关运行经费年初预算数为</w:t>
      </w:r>
      <w:r>
        <w:rPr>
          <w:rFonts w:ascii="仿宋_GB2312" w:eastAsia="仿宋_GB2312" w:cs="Courier New"/>
          <w:sz w:val="32"/>
          <w:szCs w:val="32"/>
        </w:rPr>
        <w:t>45.46</w:t>
      </w:r>
      <w:r>
        <w:rPr>
          <w:rFonts w:hint="eastAsia" w:ascii="仿宋_GB2312" w:eastAsia="仿宋_GB2312" w:cs="Courier New"/>
          <w:sz w:val="32"/>
          <w:szCs w:val="32"/>
        </w:rPr>
        <w:t>万元，支出决算数为</w:t>
      </w:r>
      <w:r>
        <w:rPr>
          <w:rFonts w:ascii="仿宋_GB2312" w:eastAsia="仿宋_GB2312" w:cs="Courier New"/>
          <w:sz w:val="32"/>
          <w:szCs w:val="32"/>
        </w:rPr>
        <w:t>74.68</w:t>
      </w:r>
      <w:r>
        <w:rPr>
          <w:rFonts w:hint="eastAsia" w:ascii="仿宋_GB2312" w:eastAsia="仿宋_GB2312" w:cs="Courier New"/>
          <w:sz w:val="32"/>
          <w:szCs w:val="32"/>
        </w:rPr>
        <w:t>万元，完成年初预算的</w:t>
      </w:r>
      <w:r>
        <w:rPr>
          <w:rFonts w:ascii="仿宋_GB2312" w:eastAsia="仿宋_GB2312" w:cs="Courier New"/>
          <w:sz w:val="32"/>
          <w:szCs w:val="32"/>
        </w:rPr>
        <w:t>164.28%</w:t>
      </w:r>
      <w:r>
        <w:rPr>
          <w:rFonts w:hint="eastAsia" w:ascii="仿宋_GB2312" w:eastAsia="仿宋_GB2312" w:cs="Courier New"/>
          <w:sz w:val="32"/>
          <w:szCs w:val="32"/>
        </w:rPr>
        <w:t>。决算数与预算数存在差异的主要原因是机构改革，市下沉部分执法人员到我单位。</w:t>
      </w:r>
    </w:p>
    <w:p>
      <w:pPr>
        <w:tabs>
          <w:tab w:val="left" w:pos="0"/>
        </w:tabs>
        <w:adjustRightInd w:val="0"/>
        <w:snapToGrid w:val="0"/>
        <w:spacing w:line="360" w:lineRule="auto"/>
        <w:ind w:firstLine="640" w:firstLineChars="200"/>
        <w:outlineLvl w:val="1"/>
        <w:rPr>
          <w:rFonts w:ascii="黑体" w:eastAsia="黑体"/>
          <w:sz w:val="32"/>
          <w:szCs w:val="32"/>
        </w:rPr>
      </w:pPr>
      <w:r>
        <w:rPr>
          <w:rFonts w:hint="eastAsia" w:ascii="黑体" w:eastAsia="黑体"/>
          <w:sz w:val="32"/>
          <w:szCs w:val="32"/>
        </w:rPr>
        <w:t>十一、政府采购支出情况。</w:t>
      </w:r>
    </w:p>
    <w:p>
      <w:pPr>
        <w:kinsoku w:val="0"/>
        <w:overflowPunct w:val="0"/>
        <w:autoSpaceDE w:val="0"/>
        <w:autoSpaceDN w:val="0"/>
        <w:adjustRightInd w:val="0"/>
        <w:snapToGrid w:val="0"/>
        <w:spacing w:line="360" w:lineRule="auto"/>
        <w:ind w:firstLine="640" w:firstLineChars="200"/>
        <w:rPr>
          <w:rFonts w:hint="eastAsia" w:ascii="仿宋_GB2312" w:eastAsia="仿宋_GB2312" w:cs="Courier New"/>
          <w:sz w:val="32"/>
          <w:szCs w:val="32"/>
        </w:rPr>
      </w:pPr>
      <w:r>
        <w:rPr>
          <w:rFonts w:hint="eastAsia" w:ascii="仿宋_GB2312" w:eastAsia="仿宋_GB2312" w:cs="Courier New"/>
          <w:sz w:val="32"/>
          <w:szCs w:val="32"/>
        </w:rPr>
        <w:t>201</w:t>
      </w:r>
      <w:r>
        <w:rPr>
          <w:rFonts w:hint="eastAsia" w:ascii="仿宋_GB2312" w:eastAsia="仿宋_GB2312" w:cs="Courier New"/>
          <w:sz w:val="32"/>
          <w:szCs w:val="32"/>
          <w:lang w:val="en-US" w:eastAsia="zh-CN"/>
        </w:rPr>
        <w:t>8</w:t>
      </w:r>
      <w:r>
        <w:rPr>
          <w:rFonts w:hint="eastAsia" w:ascii="仿宋_GB2312" w:eastAsia="仿宋_GB2312" w:cs="Courier New"/>
          <w:sz w:val="32"/>
          <w:szCs w:val="32"/>
        </w:rPr>
        <w:t>年度政府采购支出总额</w:t>
      </w:r>
      <w:r>
        <w:rPr>
          <w:rFonts w:ascii="仿宋_GB2312" w:eastAsia="仿宋_GB2312" w:cs="Courier New"/>
          <w:sz w:val="32"/>
          <w:szCs w:val="32"/>
        </w:rPr>
        <w:t>21.51</w:t>
      </w:r>
      <w:r>
        <w:rPr>
          <w:rFonts w:hint="eastAsia" w:ascii="仿宋_GB2312" w:eastAsia="仿宋_GB2312" w:cs="Courier New"/>
          <w:sz w:val="32"/>
          <w:szCs w:val="32"/>
        </w:rPr>
        <w:t>万元，其中：政府采购货物支出</w:t>
      </w:r>
      <w:r>
        <w:rPr>
          <w:rFonts w:ascii="仿宋_GB2312" w:eastAsia="仿宋_GB2312" w:cs="Courier New"/>
          <w:sz w:val="32"/>
          <w:szCs w:val="32"/>
        </w:rPr>
        <w:t>21.51</w:t>
      </w:r>
      <w:r>
        <w:rPr>
          <w:rFonts w:hint="eastAsia" w:ascii="仿宋_GB2312" w:eastAsia="仿宋_GB2312" w:cs="Courier New"/>
          <w:sz w:val="32"/>
          <w:szCs w:val="32"/>
        </w:rPr>
        <w:t>万元、政府采购工程支出0万元、政府采购服务支出0万元。授予中小企业合同金额</w:t>
      </w:r>
      <w:r>
        <w:rPr>
          <w:rFonts w:ascii="仿宋_GB2312" w:eastAsia="仿宋_GB2312" w:cs="Courier New"/>
          <w:sz w:val="32"/>
          <w:szCs w:val="32"/>
        </w:rPr>
        <w:t>21.51</w:t>
      </w:r>
      <w:r>
        <w:rPr>
          <w:rFonts w:hint="eastAsia" w:ascii="仿宋_GB2312" w:eastAsia="仿宋_GB2312" w:cs="Courier New"/>
          <w:sz w:val="32"/>
          <w:szCs w:val="32"/>
        </w:rPr>
        <w:t>万元，占政府采购支出总额的</w:t>
      </w:r>
      <w:r>
        <w:rPr>
          <w:rFonts w:hint="eastAsia" w:ascii="仿宋_GB2312" w:eastAsia="仿宋_GB2312" w:cs="Courier New"/>
          <w:sz w:val="32"/>
          <w:szCs w:val="32"/>
          <w:lang w:val="en-US" w:eastAsia="zh-CN"/>
        </w:rPr>
        <w:t>10</w:t>
      </w:r>
      <w:r>
        <w:rPr>
          <w:rFonts w:hint="eastAsia" w:ascii="仿宋_GB2312" w:eastAsia="仿宋_GB2312" w:cs="Courier New"/>
          <w:sz w:val="32"/>
          <w:szCs w:val="32"/>
        </w:rPr>
        <w:t>0%，其中：授予小微企业合同金额0万元，占政府采购支出总额的0%。</w:t>
      </w:r>
    </w:p>
    <w:p>
      <w:pPr>
        <w:tabs>
          <w:tab w:val="left" w:pos="0"/>
        </w:tabs>
        <w:adjustRightInd w:val="0"/>
        <w:snapToGrid w:val="0"/>
        <w:spacing w:line="360" w:lineRule="auto"/>
        <w:ind w:firstLine="640" w:firstLineChars="200"/>
        <w:outlineLvl w:val="1"/>
        <w:rPr>
          <w:rFonts w:ascii="黑体" w:eastAsia="黑体"/>
          <w:sz w:val="32"/>
          <w:szCs w:val="32"/>
        </w:rPr>
      </w:pPr>
      <w:r>
        <w:rPr>
          <w:rFonts w:hint="eastAsia" w:ascii="黑体" w:eastAsia="黑体"/>
          <w:sz w:val="32"/>
          <w:szCs w:val="32"/>
        </w:rPr>
        <w:t>十二、国有资产占用情况。</w:t>
      </w:r>
    </w:p>
    <w:p>
      <w:pPr>
        <w:kinsoku w:val="0"/>
        <w:overflowPunct w:val="0"/>
        <w:autoSpaceDE w:val="0"/>
        <w:autoSpaceDN w:val="0"/>
        <w:adjustRightInd w:val="0"/>
        <w:snapToGrid w:val="0"/>
        <w:spacing w:line="360" w:lineRule="auto"/>
        <w:ind w:firstLine="640" w:firstLineChars="200"/>
        <w:rPr>
          <w:rFonts w:hint="eastAsia" w:ascii="仿宋_GB2312" w:eastAsia="仿宋_GB2312" w:cs="Courier New"/>
          <w:sz w:val="32"/>
          <w:szCs w:val="32"/>
        </w:rPr>
      </w:pPr>
      <w:r>
        <w:rPr>
          <w:rFonts w:ascii="仿宋_GB2312" w:eastAsia="仿宋_GB2312" w:cs="Courier New"/>
          <w:sz w:val="32"/>
          <w:szCs w:val="32"/>
        </w:rPr>
        <w:t>2018</w:t>
      </w:r>
      <w:r>
        <w:rPr>
          <w:rFonts w:hint="eastAsia" w:ascii="仿宋_GB2312" w:eastAsia="仿宋_GB2312" w:cs="Courier New"/>
          <w:sz w:val="32"/>
          <w:szCs w:val="32"/>
        </w:rPr>
        <w:t>年期末，信阳市浉河区城市管理局共有车辆</w:t>
      </w:r>
      <w:r>
        <w:rPr>
          <w:rFonts w:ascii="仿宋_GB2312" w:eastAsia="仿宋_GB2312" w:cs="Courier New"/>
          <w:sz w:val="32"/>
          <w:szCs w:val="32"/>
        </w:rPr>
        <w:t>28</w:t>
      </w:r>
      <w:r>
        <w:rPr>
          <w:rFonts w:hint="eastAsia" w:ascii="仿宋_GB2312" w:eastAsia="仿宋_GB2312" w:cs="Courier New"/>
          <w:sz w:val="32"/>
          <w:szCs w:val="32"/>
        </w:rPr>
        <w:t>辆，其中：省级领导干部用车0辆、主要领导干部用车0辆、机要通信用车0辆、应急保障车0辆、一般公务用车</w:t>
      </w:r>
      <w:r>
        <w:rPr>
          <w:rFonts w:ascii="仿宋_GB2312" w:eastAsia="仿宋_GB2312" w:cs="Courier New"/>
          <w:sz w:val="32"/>
          <w:szCs w:val="32"/>
        </w:rPr>
        <w:t>1</w:t>
      </w:r>
      <w:r>
        <w:rPr>
          <w:rFonts w:hint="eastAsia" w:ascii="仿宋_GB2312" w:eastAsia="仿宋_GB2312" w:cs="Courier New"/>
          <w:sz w:val="32"/>
          <w:szCs w:val="32"/>
        </w:rPr>
        <w:t>辆、一般执法执勤用车</w:t>
      </w:r>
      <w:r>
        <w:rPr>
          <w:rFonts w:ascii="仿宋_GB2312" w:eastAsia="仿宋_GB2312" w:cs="Courier New"/>
          <w:sz w:val="32"/>
          <w:szCs w:val="32"/>
        </w:rPr>
        <w:t>23</w:t>
      </w:r>
      <w:r>
        <w:rPr>
          <w:rFonts w:hint="eastAsia" w:ascii="仿宋_GB2312" w:eastAsia="仿宋_GB2312" w:cs="Courier New"/>
          <w:sz w:val="32"/>
          <w:szCs w:val="32"/>
        </w:rPr>
        <w:t>辆、特种专业技术用车</w:t>
      </w:r>
      <w:r>
        <w:rPr>
          <w:rFonts w:ascii="仿宋_GB2312" w:eastAsia="仿宋_GB2312" w:cs="Courier New"/>
          <w:sz w:val="32"/>
          <w:szCs w:val="32"/>
        </w:rPr>
        <w:t>0</w:t>
      </w:r>
      <w:r>
        <w:rPr>
          <w:rFonts w:hint="eastAsia" w:ascii="仿宋_GB2312" w:eastAsia="仿宋_GB2312" w:cs="Courier New"/>
          <w:sz w:val="32"/>
          <w:szCs w:val="32"/>
        </w:rPr>
        <w:t>辆，离退休干部用车0辆、其他用车</w:t>
      </w:r>
      <w:r>
        <w:rPr>
          <w:rFonts w:ascii="仿宋_GB2312" w:eastAsia="仿宋_GB2312" w:cs="Courier New"/>
          <w:sz w:val="32"/>
          <w:szCs w:val="32"/>
        </w:rPr>
        <w:t>4</w:t>
      </w:r>
      <w:r>
        <w:rPr>
          <w:rFonts w:hint="eastAsia" w:ascii="仿宋_GB2312" w:eastAsia="仿宋_GB2312" w:cs="Courier New"/>
          <w:sz w:val="32"/>
          <w:szCs w:val="32"/>
        </w:rPr>
        <w:t>辆，其他用车主要是垃圾清运车；单价</w:t>
      </w:r>
      <w:r>
        <w:rPr>
          <w:rFonts w:ascii="仿宋_GB2312" w:eastAsia="仿宋_GB2312" w:cs="Courier New"/>
          <w:sz w:val="32"/>
          <w:szCs w:val="32"/>
        </w:rPr>
        <w:t>50</w:t>
      </w:r>
      <w:r>
        <w:rPr>
          <w:rFonts w:hint="eastAsia" w:ascii="仿宋_GB2312" w:eastAsia="仿宋_GB2312" w:cs="Courier New"/>
          <w:sz w:val="32"/>
          <w:szCs w:val="32"/>
        </w:rPr>
        <w:t>万元以上通用设备</w:t>
      </w:r>
      <w:r>
        <w:rPr>
          <w:rFonts w:ascii="仿宋_GB2312" w:eastAsia="仿宋_GB2312" w:cs="Courier New"/>
          <w:sz w:val="32"/>
          <w:szCs w:val="32"/>
        </w:rPr>
        <w:t>0</w:t>
      </w:r>
      <w:r>
        <w:rPr>
          <w:rFonts w:hint="eastAsia" w:ascii="仿宋_GB2312" w:eastAsia="仿宋_GB2312" w:cs="Courier New"/>
          <w:sz w:val="32"/>
          <w:szCs w:val="32"/>
        </w:rPr>
        <w:t>台（套），单位价值</w:t>
      </w:r>
      <w:r>
        <w:rPr>
          <w:rFonts w:ascii="仿宋_GB2312" w:eastAsia="仿宋_GB2312" w:cs="Courier New"/>
          <w:sz w:val="32"/>
          <w:szCs w:val="32"/>
        </w:rPr>
        <w:t>100</w:t>
      </w:r>
      <w:r>
        <w:rPr>
          <w:rFonts w:hint="eastAsia" w:ascii="仿宋_GB2312" w:eastAsia="仿宋_GB2312" w:cs="Courier New"/>
          <w:sz w:val="32"/>
          <w:szCs w:val="32"/>
        </w:rPr>
        <w:t>万元以上专用设备</w:t>
      </w:r>
      <w:r>
        <w:rPr>
          <w:rFonts w:ascii="仿宋_GB2312" w:eastAsia="仿宋_GB2312" w:cs="Courier New"/>
          <w:sz w:val="32"/>
          <w:szCs w:val="32"/>
        </w:rPr>
        <w:t>0</w:t>
      </w:r>
      <w:r>
        <w:rPr>
          <w:rFonts w:hint="eastAsia" w:ascii="仿宋_GB2312"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sectPr>
          <w:pgSz w:w="11905" w:h="16840"/>
          <w:pgMar w:top="1580" w:right="1240" w:bottom="1180" w:left="1400" w:header="0" w:footer="982" w:gutter="0"/>
          <w:pgNumType w:fmt="numberInDash"/>
          <w:cols w:equalWidth="0" w:num="1">
            <w:col w:w="9265"/>
          </w:cols>
          <w:docGrid w:linePitch="312" w:charSpace="0"/>
        </w:sect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sectPr>
          <w:pgSz w:w="11906" w:h="16838"/>
          <w:pgMar w:top="1440" w:right="1800" w:bottom="1440" w:left="1800" w:header="851" w:footer="992" w:gutter="0"/>
          <w:pgNumType w:fmt="numberInDash"/>
          <w:cols w:equalWidth="0" w:num="1">
            <w:col w:w="8306"/>
          </w:cols>
          <w:docGrid w:type="lines" w:linePitch="312" w:charSpace="0"/>
        </w:sectPr>
      </w:pPr>
      <w:r>
        <w:rPr>
          <w:rFonts w:hint="eastAsia" w:ascii="隶书" w:eastAsia="隶书" w:cs="隶书"/>
          <w:sz w:val="48"/>
          <w:szCs w:val="48"/>
        </w:rPr>
        <w:t>第三部分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_GB2312" w:eastAsia="仿宋_GB2312" w:cs="Courier New"/>
          <w:sz w:val="32"/>
          <w:szCs w:val="32"/>
        </w:rPr>
      </w:pPr>
      <w:r>
        <w:rPr>
          <w:rFonts w:hint="eastAsia" w:ascii="仿宋_GB2312" w:eastAsia="仿宋_GB2312" w:cs="Courier New"/>
          <w:b/>
          <w:bCs/>
          <w:sz w:val="32"/>
          <w:szCs w:val="32"/>
        </w:rPr>
        <w:t>财政拨款收入：</w:t>
      </w:r>
      <w:r>
        <w:rPr>
          <w:rFonts w:hint="eastAsia" w:ascii="仿宋_GB2312" w:eastAsia="仿宋_GB2312" w:cs="Courier New"/>
          <w:sz w:val="32"/>
          <w:szCs w:val="32"/>
        </w:rPr>
        <w:t>单位从同级政府财政部门取得的财政预算资金。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eastAsia="仿宋_GB2312" w:cs="Courier New"/>
          <w:b/>
          <w:bCs/>
          <w:sz w:val="32"/>
          <w:szCs w:val="32"/>
        </w:rPr>
      </w:pPr>
      <w:r>
        <w:rPr>
          <w:rFonts w:hint="eastAsia" w:ascii="仿宋_GB2312" w:eastAsia="仿宋_GB2312" w:cs="Times New Roman"/>
          <w:b/>
          <w:bCs/>
          <w:sz w:val="32"/>
          <w:szCs w:val="32"/>
        </w:rPr>
        <w:t>事业收入：</w:t>
      </w:r>
      <w:r>
        <w:rPr>
          <w:rFonts w:hint="eastAsia" w:ascii="仿宋_GB2312" w:eastAsia="仿宋_GB2312" w:cs="Courier New"/>
          <w:sz w:val="32"/>
          <w:szCs w:val="32"/>
        </w:rPr>
        <w:t>是指事业单位开展专业业务活动及辅助活动所取得的收入。</w:t>
      </w:r>
    </w:p>
    <w:p>
      <w:pPr>
        <w:widowControl/>
        <w:numPr>
          <w:ilvl w:val="0"/>
          <w:numId w:val="9"/>
        </w:numPr>
        <w:spacing w:line="59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上级补助收入</w:t>
      </w:r>
      <w:r>
        <w:rPr>
          <w:rFonts w:hint="eastAsia" w:ascii="仿宋_GB2312" w:hAnsi="仿宋_GB2312" w:eastAsia="仿宋_GB2312" w:cs="仿宋_GB2312"/>
          <w:sz w:val="32"/>
          <w:szCs w:val="32"/>
        </w:rPr>
        <w:t>：事业单位从主管部门和上级单位取得的非财政补助收入。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tabs>
          <w:tab w:val="left" w:pos="0"/>
        </w:tabs>
        <w:spacing w:line="590" w:lineRule="exact"/>
        <w:ind w:left="420" w:leftChars="200"/>
        <w:jc w:val="left"/>
        <w:rPr>
          <w:rFonts w:ascii="仿宋_GB2312" w:hAnsi="仿宋_GB2312" w:eastAsia="仿宋_GB2312" w:cs="仿宋_GB2312"/>
          <w:sz w:val="32"/>
          <w:szCs w:val="32"/>
        </w:rPr>
      </w:pPr>
    </w:p>
    <w:p>
      <w:pPr>
        <w:tabs>
          <w:tab w:val="left" w:pos="0"/>
        </w:tabs>
        <w:kinsoku w:val="0"/>
        <w:overflowPunct w:val="0"/>
        <w:autoSpaceDE w:val="0"/>
        <w:autoSpaceDN w:val="0"/>
        <w:adjustRightInd w:val="0"/>
        <w:snapToGrid w:val="0"/>
        <w:spacing w:line="360" w:lineRule="auto"/>
        <w:ind w:left="420" w:leftChars="200"/>
        <w:rPr>
          <w:rFonts w:ascii="仿宋_GB2312" w:eastAsia="仿宋_GB2312" w:cs="Courier New"/>
          <w:b/>
          <w:bCs/>
          <w:sz w:val="32"/>
          <w:szCs w:val="32"/>
        </w:rPr>
      </w:pPr>
    </w:p>
    <w:p>
      <w:pPr>
        <w:tabs>
          <w:tab w:val="left" w:pos="0"/>
        </w:tabs>
        <w:kinsoku w:val="0"/>
        <w:overflowPunct w:val="0"/>
        <w:autoSpaceDE w:val="0"/>
        <w:autoSpaceDN w:val="0"/>
        <w:adjustRightInd w:val="0"/>
        <w:snapToGrid w:val="0"/>
        <w:spacing w:line="360" w:lineRule="auto"/>
        <w:ind w:left="420" w:leftChars="200"/>
        <w:rPr>
          <w:rFonts w:ascii="仿宋_GB2312" w:eastAsia="仿宋_GB2312" w:cs="Courier New"/>
          <w:b/>
          <w:bCs/>
          <w:sz w:val="32"/>
          <w:szCs w:val="32"/>
        </w:rPr>
      </w:pPr>
      <w:r>
        <w:rPr>
          <w:rFonts w:hint="eastAsia" w:ascii="仿宋_GB2312" w:eastAsia="仿宋_GB2312" w:cs="Courier New"/>
          <w:b/>
          <w:bCs/>
          <w:sz w:val="32"/>
          <w:szCs w:val="32"/>
        </w:rPr>
        <w:t>五、经营收入：</w:t>
      </w:r>
      <w:r>
        <w:rPr>
          <w:rFonts w:hint="eastAsia" w:ascii="仿宋_GB2312" w:eastAsia="仿宋_GB2312" w:cs="Courier New"/>
          <w:sz w:val="32"/>
          <w:szCs w:val="32"/>
        </w:rPr>
        <w:t>指事业单位在专业业务活动及其辅助活动之外开展非独立核算经营活动取得的收入。</w:t>
      </w:r>
    </w:p>
    <w:p>
      <w:pPr>
        <w:tabs>
          <w:tab w:val="left" w:pos="0"/>
        </w:tabs>
        <w:kinsoku w:val="0"/>
        <w:overflowPunct w:val="0"/>
        <w:autoSpaceDE w:val="0"/>
        <w:autoSpaceDN w:val="0"/>
        <w:adjustRightInd w:val="0"/>
        <w:snapToGrid w:val="0"/>
        <w:spacing w:line="360" w:lineRule="auto"/>
        <w:ind w:left="420" w:leftChars="200"/>
        <w:rPr>
          <w:rFonts w:ascii="仿宋_GB2312" w:eastAsia="仿宋_GB2312" w:cs="Courier New"/>
          <w:b/>
          <w:bCs/>
          <w:sz w:val="32"/>
          <w:szCs w:val="32"/>
        </w:rPr>
      </w:pPr>
      <w:r>
        <w:rPr>
          <w:rFonts w:hint="eastAsia" w:ascii="仿宋_GB2312" w:eastAsia="仿宋_GB2312" w:cs="Courier New"/>
          <w:b/>
          <w:bCs/>
          <w:sz w:val="32"/>
          <w:szCs w:val="32"/>
        </w:rPr>
        <w:t>六、其他收入：</w:t>
      </w:r>
      <w:r>
        <w:rPr>
          <w:rFonts w:hint="eastAsia" w:ascii="仿宋_GB2312" w:eastAsia="仿宋_GB2312" w:cs="Courier New"/>
          <w:sz w:val="32"/>
          <w:szCs w:val="32"/>
        </w:rPr>
        <w:t>指除上述“财政拨款收入”、“事业收入”、“事业单位经营收入”、“经营收入”等以外的各项收入。</w:t>
      </w:r>
    </w:p>
    <w:p>
      <w:pPr>
        <w:tabs>
          <w:tab w:val="left" w:pos="0"/>
        </w:tabs>
        <w:kinsoku w:val="0"/>
        <w:overflowPunct w:val="0"/>
        <w:autoSpaceDE w:val="0"/>
        <w:autoSpaceDN w:val="0"/>
        <w:adjustRightInd w:val="0"/>
        <w:snapToGrid w:val="0"/>
        <w:spacing w:line="360" w:lineRule="auto"/>
        <w:ind w:left="420" w:leftChars="200"/>
        <w:rPr>
          <w:rFonts w:ascii="仿宋_GB2312" w:eastAsia="仿宋_GB2312" w:cs="Courier New"/>
          <w:b/>
          <w:bCs/>
          <w:sz w:val="32"/>
          <w:szCs w:val="32"/>
        </w:rPr>
      </w:pPr>
      <w:r>
        <w:rPr>
          <w:rFonts w:hint="eastAsia" w:ascii="仿宋_GB2312" w:eastAsia="仿宋_GB2312" w:cs="Courier New"/>
          <w:b/>
          <w:bCs/>
          <w:sz w:val="32"/>
          <w:szCs w:val="32"/>
        </w:rPr>
        <w:t>七、用事业基金弥补收支差额：</w:t>
      </w:r>
      <w:r>
        <w:rPr>
          <w:rFonts w:hint="eastAsia" w:ascii="仿宋_GB2312"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cs="Courier New"/>
          <w:b/>
          <w:bCs/>
          <w:sz w:val="32"/>
          <w:szCs w:val="32"/>
        </w:rPr>
        <w:t>。</w:t>
      </w:r>
    </w:p>
    <w:p>
      <w:pPr>
        <w:widowControl/>
        <w:spacing w:line="59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八、基本支出：</w:t>
      </w:r>
      <w:r>
        <w:rPr>
          <w:rFonts w:hint="eastAsia" w:ascii="仿宋_GB2312" w:hAnsi="仿宋_GB2312" w:eastAsia="仿宋_GB2312" w:cs="仿宋_GB2312"/>
          <w:sz w:val="32"/>
          <w:szCs w:val="32"/>
        </w:rPr>
        <w:t>为保障机构正常运转、完成日常工作任务而发生的人员支出和公用支出。</w:t>
      </w:r>
    </w:p>
    <w:p>
      <w:pPr>
        <w:widowControl/>
        <w:spacing w:line="59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九、项目支出</w:t>
      </w:r>
      <w:r>
        <w:rPr>
          <w:rFonts w:hint="eastAsia" w:ascii="仿宋_GB2312" w:hAnsi="仿宋_GB2312" w:eastAsia="仿宋_GB2312" w:cs="仿宋_GB2312"/>
          <w:sz w:val="32"/>
          <w:szCs w:val="32"/>
        </w:rPr>
        <w:t>：基本支出之外为完成特定行政任务和事业发展目标所发生的支出。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spacing w:line="590" w:lineRule="exact"/>
        <w:ind w:firstLine="640" w:firstLineChars="200"/>
        <w:jc w:val="left"/>
        <w:rPr>
          <w:rFonts w:ascii="仿宋_GB2312" w:hAnsi="仿宋_GB2312" w:eastAsia="仿宋_GB2312" w:cs="仿宋_GB2312"/>
          <w:sz w:val="32"/>
          <w:szCs w:val="32"/>
        </w:rPr>
      </w:pPr>
    </w:p>
    <w:p>
      <w:pPr>
        <w:tabs>
          <w:tab w:val="left" w:pos="0"/>
        </w:tabs>
        <w:kinsoku w:val="0"/>
        <w:overflowPunct w:val="0"/>
        <w:autoSpaceDE w:val="0"/>
        <w:autoSpaceDN w:val="0"/>
        <w:adjustRightInd w:val="0"/>
        <w:snapToGrid w:val="0"/>
        <w:spacing w:line="360" w:lineRule="auto"/>
        <w:ind w:left="420" w:leftChars="200"/>
        <w:rPr>
          <w:rFonts w:ascii="仿宋_GB2312" w:eastAsia="仿宋_GB2312" w:cs="Courier New"/>
          <w:b/>
          <w:bCs/>
          <w:sz w:val="32"/>
          <w:szCs w:val="32"/>
        </w:rPr>
      </w:pPr>
    </w:p>
    <w:p>
      <w:pPr>
        <w:rPr>
          <w:rFonts w:ascii="隶书" w:eastAsia="隶书" w:cs="隶书"/>
          <w:sz w:val="48"/>
          <w:szCs w:val="48"/>
        </w:rPr>
      </w:pPr>
    </w:p>
    <w:p>
      <w:pPr>
        <w:rPr>
          <w:rFonts w:ascii="隶书" w:eastAsia="隶书" w:cs="隶书"/>
          <w:sz w:val="48"/>
          <w:szCs w:val="48"/>
        </w:rPr>
      </w:pPr>
    </w:p>
    <w:p>
      <w:pPr>
        <w:rPr>
          <w:rFonts w:ascii="隶书" w:eastAsia="隶书" w:cs="隶书"/>
          <w:sz w:val="48"/>
          <w:szCs w:val="48"/>
        </w:rPr>
      </w:pPr>
    </w:p>
    <w:p>
      <w:pPr>
        <w:rPr>
          <w:rFonts w:ascii="隶书" w:eastAsia="隶书" w:cs="隶书"/>
          <w:sz w:val="48"/>
          <w:szCs w:val="48"/>
        </w:rPr>
      </w:pPr>
    </w:p>
    <w:p>
      <w:pPr>
        <w:rPr>
          <w:rFonts w:ascii="隶书" w:eastAsia="隶书" w:cs="隶书"/>
          <w:sz w:val="48"/>
          <w:szCs w:val="48"/>
        </w:rPr>
      </w:pPr>
    </w:p>
    <w:p>
      <w:pPr>
        <w:rPr>
          <w:rFonts w:ascii="隶书" w:eastAsia="隶书" w:cs="隶书"/>
          <w:sz w:val="48"/>
          <w:szCs w:val="48"/>
        </w:rPr>
      </w:pPr>
    </w:p>
    <w:p>
      <w:pPr>
        <w:rPr>
          <w:rFonts w:ascii="隶书" w:eastAsia="隶书" w:cs="隶书"/>
          <w:sz w:val="48"/>
          <w:szCs w:val="48"/>
        </w:rPr>
      </w:pPr>
    </w:p>
    <w:p>
      <w:pPr>
        <w:jc w:val="center"/>
        <w:rPr>
          <w:rFonts w:ascii="隶书" w:eastAsia="隶书" w:cs="隶书"/>
          <w:sz w:val="48"/>
          <w:szCs w:val="48"/>
        </w:rPr>
      </w:pPr>
    </w:p>
    <w:p>
      <w:pPr>
        <w:jc w:val="center"/>
        <w:rPr>
          <w:rFonts w:ascii="隶书" w:eastAsia="隶书" w:cs="隶书"/>
          <w:sz w:val="48"/>
          <w:szCs w:val="48"/>
        </w:rPr>
      </w:pPr>
    </w:p>
    <w:p>
      <w:pPr>
        <w:jc w:val="center"/>
        <w:rPr>
          <w:rFonts w:ascii="隶书" w:eastAsia="隶书" w:cs="隶书"/>
          <w:sz w:val="48"/>
          <w:szCs w:val="48"/>
        </w:rPr>
      </w:pPr>
      <w:r>
        <w:rPr>
          <w:rFonts w:hint="eastAsia" w:ascii="隶书" w:eastAsia="隶书" w:cs="隶书"/>
          <w:sz w:val="48"/>
          <w:szCs w:val="48"/>
        </w:rPr>
        <w:t>第四部分（</w:t>
      </w:r>
      <w:r>
        <w:rPr>
          <w:rFonts w:ascii="隶书" w:eastAsia="隶书" w:cs="隶书"/>
          <w:sz w:val="48"/>
          <w:szCs w:val="48"/>
        </w:rPr>
        <w:t>EXCEL</w:t>
      </w:r>
      <w:r>
        <w:rPr>
          <w:rFonts w:hint="eastAsia" w:ascii="隶书" w:eastAsia="隶书" w:cs="隶书"/>
          <w:sz w:val="48"/>
          <w:szCs w:val="48"/>
        </w:rPr>
        <w:t>表格）</w:t>
      </w:r>
    </w:p>
    <w:p>
      <w:pPr>
        <w:jc w:val="center"/>
        <w:rPr>
          <w:rFonts w:ascii="隶书" w:eastAsia="隶书" w:cs="隶书"/>
          <w:sz w:val="44"/>
          <w:szCs w:val="44"/>
        </w:rPr>
      </w:pPr>
      <w:r>
        <w:rPr>
          <w:rFonts w:hint="eastAsia" w:ascii="隶书" w:eastAsia="隶书" w:cs="隶书"/>
          <w:sz w:val="44"/>
          <w:szCs w:val="44"/>
          <w:lang w:eastAsia="zh-CN"/>
        </w:rPr>
        <w:t>信阳市浉河区城市管理局</w:t>
      </w:r>
      <w:r>
        <w:rPr>
          <w:rFonts w:ascii="隶书" w:eastAsia="隶书" w:cs="隶书"/>
          <w:sz w:val="44"/>
          <w:szCs w:val="44"/>
        </w:rPr>
        <w:t>2018</w:t>
      </w:r>
      <w:r>
        <w:rPr>
          <w:rFonts w:hint="eastAsia" w:ascii="隶书" w:eastAsia="隶书" w:cs="隶书"/>
          <w:sz w:val="44"/>
          <w:szCs w:val="44"/>
        </w:rPr>
        <w:t>年度部门决算表</w:t>
      </w: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tbl>
      <w:tblPr>
        <w:tblStyle w:val="5"/>
        <w:tblpPr w:leftFromText="180" w:rightFromText="180" w:vertAnchor="text" w:horzAnchor="page" w:tblpX="1835" w:tblpY="303"/>
        <w:tblOverlap w:val="never"/>
        <w:tblW w:w="13245" w:type="dxa"/>
        <w:tblInd w:w="0" w:type="dxa"/>
        <w:tblLayout w:type="fixed"/>
        <w:tblCellMar>
          <w:top w:w="0" w:type="dxa"/>
          <w:left w:w="0" w:type="dxa"/>
          <w:bottom w:w="0" w:type="dxa"/>
          <w:right w:w="0" w:type="dxa"/>
        </w:tblCellMar>
      </w:tblPr>
      <w:tblGrid>
        <w:gridCol w:w="4215"/>
        <w:gridCol w:w="570"/>
        <w:gridCol w:w="1440"/>
        <w:gridCol w:w="3600"/>
        <w:gridCol w:w="1215"/>
        <w:gridCol w:w="2205"/>
      </w:tblGrid>
      <w:tr>
        <w:tblPrEx>
          <w:tblCellMar>
            <w:top w:w="0" w:type="dxa"/>
            <w:left w:w="0" w:type="dxa"/>
            <w:bottom w:w="0" w:type="dxa"/>
            <w:right w:w="0" w:type="dxa"/>
          </w:tblCellMar>
        </w:tblPrEx>
        <w:trPr>
          <w:trHeight w:val="732" w:hRule="atLeast"/>
        </w:trPr>
        <w:tc>
          <w:tcPr>
            <w:tcW w:w="11040" w:type="dxa"/>
            <w:gridSpan w:val="5"/>
            <w:tcBorders>
              <w:top w:val="nil"/>
              <w:left w:val="nil"/>
              <w:bottom w:val="nil"/>
              <w:right w:val="nil"/>
            </w:tcBorders>
            <w:noWrap/>
            <w:tcMar>
              <w:top w:w="15" w:type="dxa"/>
              <w:left w:w="15" w:type="dxa"/>
              <w:right w:w="15" w:type="dxa"/>
            </w:tcMar>
            <w:vAlign w:val="bottom"/>
          </w:tcPr>
          <w:p>
            <w:pPr>
              <w:jc w:val="center"/>
              <w:rPr>
                <w:rFonts w:ascii="Arial" w:hAnsi="Arial"/>
                <w:sz w:val="20"/>
                <w:szCs w:val="20"/>
              </w:rPr>
            </w:pPr>
            <w:r>
              <w:rPr>
                <w:rFonts w:hint="eastAsia" w:ascii="Arial" w:hAnsi="Arial"/>
                <w:sz w:val="44"/>
                <w:szCs w:val="44"/>
              </w:rPr>
              <w:t>收入支出决算总表</w:t>
            </w:r>
          </w:p>
        </w:tc>
        <w:tc>
          <w:tcPr>
            <w:tcW w:w="2205"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公开</w:t>
            </w:r>
            <w:r>
              <w:rPr>
                <w:rFonts w:ascii="宋体" w:hAnsi="宋体" w:cs="宋体"/>
                <w:kern w:val="0"/>
                <w:sz w:val="20"/>
                <w:szCs w:val="20"/>
              </w:rPr>
              <w:t>01</w:t>
            </w:r>
            <w:r>
              <w:rPr>
                <w:rFonts w:hint="eastAsia" w:ascii="宋体" w:hAnsi="宋体" w:cs="宋体"/>
                <w:kern w:val="0"/>
                <w:sz w:val="20"/>
                <w:szCs w:val="20"/>
              </w:rPr>
              <w:t>表</w:t>
            </w:r>
          </w:p>
        </w:tc>
      </w:tr>
      <w:tr>
        <w:tblPrEx>
          <w:tblCellMar>
            <w:top w:w="0" w:type="dxa"/>
            <w:left w:w="0" w:type="dxa"/>
            <w:bottom w:w="0" w:type="dxa"/>
            <w:right w:w="0" w:type="dxa"/>
          </w:tblCellMar>
        </w:tblPrEx>
        <w:trPr>
          <w:trHeight w:val="255" w:hRule="atLeast"/>
        </w:trPr>
        <w:tc>
          <w:tcPr>
            <w:tcW w:w="4215"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sz w:val="20"/>
                <w:szCs w:val="20"/>
              </w:rPr>
            </w:pPr>
            <w:r>
              <w:rPr>
                <w:rFonts w:hint="eastAsia" w:ascii="宋体" w:hAnsi="宋体" w:cs="宋体"/>
                <w:kern w:val="0"/>
                <w:sz w:val="20"/>
                <w:szCs w:val="20"/>
              </w:rPr>
              <w:t>部门：信阳市浉河区市政管理局</w:t>
            </w:r>
          </w:p>
        </w:tc>
        <w:tc>
          <w:tcPr>
            <w:tcW w:w="57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4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360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215"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205"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308" w:hRule="atLeast"/>
        </w:trPr>
        <w:tc>
          <w:tcPr>
            <w:tcW w:w="6225"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收入</w:t>
            </w:r>
          </w:p>
        </w:tc>
        <w:tc>
          <w:tcPr>
            <w:tcW w:w="7020"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支出</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项目</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行次</w:t>
            </w:r>
          </w:p>
        </w:tc>
        <w:tc>
          <w:tcPr>
            <w:tcW w:w="14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金额</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项目</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行次</w:t>
            </w:r>
          </w:p>
        </w:tc>
        <w:tc>
          <w:tcPr>
            <w:tcW w:w="220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金额</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14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栏次</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220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一、财政拨款收入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一、一般公共服务支出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28</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二、上级补助收入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二、外交支出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29</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三、事业收入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三、国防支出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30</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四、经营收入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四、公共安全支出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31</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五、附属单位上缴收入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五、教育支出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32</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六、其他收入</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六、科学技术支出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33</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7</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七、文化体育与传媒支出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34</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8</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八、社会保障和就业支出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35</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9</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九、医疗卫生与计划生育支出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36</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10</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十、节能环保支出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37</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11</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十一、城乡社区支出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38</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2,349.29</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12</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十二、农林水支出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39</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13</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十三、交通运输支出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40</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14</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十四、资源勘探信息等支出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41</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15</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十五、商业服务业等支出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42</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16</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十六、金融支出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43</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17</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十七、援助其他地区支出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44</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18</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十八、国土海洋气象等支出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45</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19</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十九、住房保障支出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46</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20</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二十、粮油物资储备支出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47</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21</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二十一、其他支出</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48</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22</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49</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本年收入合计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23</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本年支出合计</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50</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用事业基金弥补收支差额</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24</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结余分配</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51</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年初结转和结余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25</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年末结转和结余</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52</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26</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53</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27</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c>
          <w:tcPr>
            <w:tcW w:w="36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总计</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54</w:t>
            </w:r>
          </w:p>
        </w:tc>
        <w:tc>
          <w:tcPr>
            <w:tcW w:w="220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r>
      <w:tr>
        <w:tblPrEx>
          <w:tblCellMar>
            <w:top w:w="0" w:type="dxa"/>
            <w:left w:w="0" w:type="dxa"/>
            <w:bottom w:w="0" w:type="dxa"/>
            <w:right w:w="0" w:type="dxa"/>
          </w:tblCellMar>
        </w:tblPrEx>
        <w:trPr>
          <w:trHeight w:val="308" w:hRule="atLeast"/>
        </w:trPr>
        <w:tc>
          <w:tcPr>
            <w:tcW w:w="13245"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注：本表反映部门本年度的总收支和年末结转结余情况。本表金额转换为万元时，因四舍五入可能存在尾差。</w:t>
            </w:r>
          </w:p>
        </w:tc>
      </w:tr>
    </w:tbl>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tbl>
      <w:tblPr>
        <w:tblStyle w:val="5"/>
        <w:tblpPr w:leftFromText="180" w:rightFromText="180" w:vertAnchor="text" w:horzAnchor="page" w:tblpX="1314" w:tblpY="935"/>
        <w:tblOverlap w:val="never"/>
        <w:tblW w:w="13945" w:type="dxa"/>
        <w:tblInd w:w="0" w:type="dxa"/>
        <w:tblLayout w:type="fixed"/>
        <w:tblCellMar>
          <w:top w:w="0" w:type="dxa"/>
          <w:left w:w="0" w:type="dxa"/>
          <w:bottom w:w="0" w:type="dxa"/>
          <w:right w:w="0" w:type="dxa"/>
        </w:tblCellMar>
      </w:tblPr>
      <w:tblGrid>
        <w:gridCol w:w="1712"/>
        <w:gridCol w:w="213"/>
        <w:gridCol w:w="240"/>
        <w:gridCol w:w="1596"/>
        <w:gridCol w:w="1528"/>
        <w:gridCol w:w="1630"/>
        <w:gridCol w:w="1337"/>
        <w:gridCol w:w="1149"/>
        <w:gridCol w:w="1029"/>
        <w:gridCol w:w="1177"/>
        <w:gridCol w:w="2334"/>
      </w:tblGrid>
      <w:tr>
        <w:tblPrEx>
          <w:tblCellMar>
            <w:top w:w="0" w:type="dxa"/>
            <w:left w:w="0" w:type="dxa"/>
            <w:bottom w:w="0" w:type="dxa"/>
            <w:right w:w="0" w:type="dxa"/>
          </w:tblCellMar>
        </w:tblPrEx>
        <w:trPr>
          <w:trHeight w:val="798" w:hRule="atLeast"/>
        </w:trPr>
        <w:tc>
          <w:tcPr>
            <w:tcW w:w="11611" w:type="dxa"/>
            <w:gridSpan w:val="10"/>
            <w:vMerge w:val="restart"/>
            <w:tcBorders>
              <w:top w:val="nil"/>
              <w:left w:val="nil"/>
              <w:right w:val="nil"/>
            </w:tcBorders>
            <w:noWrap/>
            <w:tcMar>
              <w:top w:w="15" w:type="dxa"/>
              <w:left w:w="15" w:type="dxa"/>
              <w:right w:w="15" w:type="dxa"/>
            </w:tcMar>
            <w:vAlign w:val="bottom"/>
          </w:tcPr>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rPr>
                <w:rFonts w:ascii="Arial" w:hAnsi="Arial"/>
                <w:sz w:val="20"/>
                <w:szCs w:val="20"/>
              </w:rPr>
            </w:pPr>
          </w:p>
          <w:p>
            <w:pPr>
              <w:jc w:val="center"/>
              <w:rPr>
                <w:rFonts w:ascii="Arial" w:hAnsi="Arial"/>
                <w:sz w:val="20"/>
                <w:szCs w:val="20"/>
              </w:rPr>
            </w:pPr>
            <w:r>
              <w:rPr>
                <w:rFonts w:hint="eastAsia" w:ascii="Arial" w:hAnsi="Arial"/>
                <w:sz w:val="44"/>
                <w:szCs w:val="44"/>
              </w:rPr>
              <w:t>收入决算表</w:t>
            </w:r>
          </w:p>
        </w:tc>
        <w:tc>
          <w:tcPr>
            <w:tcW w:w="233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r>
      <w:tr>
        <w:tblPrEx>
          <w:tblCellMar>
            <w:top w:w="0" w:type="dxa"/>
            <w:left w:w="0" w:type="dxa"/>
            <w:bottom w:w="0" w:type="dxa"/>
            <w:right w:w="0" w:type="dxa"/>
          </w:tblCellMar>
        </w:tblPrEx>
        <w:trPr>
          <w:trHeight w:val="255" w:hRule="atLeast"/>
        </w:trPr>
        <w:tc>
          <w:tcPr>
            <w:tcW w:w="11611" w:type="dxa"/>
            <w:gridSpan w:val="10"/>
            <w:vMerge w:val="continue"/>
            <w:tcBorders>
              <w:left w:val="nil"/>
              <w:bottom w:val="nil"/>
              <w:right w:val="nil"/>
            </w:tcBorders>
            <w:noWrap/>
            <w:tcMar>
              <w:top w:w="15" w:type="dxa"/>
              <w:left w:w="15" w:type="dxa"/>
              <w:right w:w="15" w:type="dxa"/>
            </w:tcMar>
            <w:vAlign w:val="bottom"/>
          </w:tcPr>
          <w:p>
            <w:pPr>
              <w:rPr>
                <w:rFonts w:ascii="Arial" w:hAnsi="Arial"/>
                <w:sz w:val="20"/>
                <w:szCs w:val="20"/>
              </w:rPr>
            </w:pPr>
          </w:p>
        </w:tc>
        <w:tc>
          <w:tcPr>
            <w:tcW w:w="2334"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kern w:val="0"/>
                <w:sz w:val="20"/>
                <w:szCs w:val="20"/>
              </w:rPr>
            </w:pPr>
          </w:p>
          <w:p>
            <w:pPr>
              <w:widowControl/>
              <w:jc w:val="right"/>
              <w:textAlignment w:val="bottom"/>
              <w:rPr>
                <w:rFonts w:ascii="宋体" w:cs="宋体"/>
                <w:kern w:val="0"/>
                <w:sz w:val="20"/>
                <w:szCs w:val="20"/>
              </w:rPr>
            </w:pPr>
          </w:p>
          <w:p>
            <w:pPr>
              <w:widowControl/>
              <w:jc w:val="right"/>
              <w:textAlignment w:val="bottom"/>
              <w:rPr>
                <w:rFonts w:ascii="宋体" w:cs="宋体"/>
                <w:kern w:val="0"/>
                <w:sz w:val="20"/>
                <w:szCs w:val="20"/>
              </w:rPr>
            </w:pPr>
          </w:p>
          <w:p>
            <w:pPr>
              <w:widowControl/>
              <w:jc w:val="right"/>
              <w:textAlignment w:val="bottom"/>
              <w:rPr>
                <w:rFonts w:ascii="宋体" w:cs="宋体"/>
                <w:kern w:val="0"/>
                <w:sz w:val="20"/>
                <w:szCs w:val="20"/>
              </w:rPr>
            </w:pPr>
          </w:p>
          <w:p>
            <w:pPr>
              <w:widowControl/>
              <w:jc w:val="right"/>
              <w:textAlignment w:val="bottom"/>
              <w:rPr>
                <w:rFonts w:ascii="宋体" w:cs="宋体"/>
                <w:kern w:val="0"/>
                <w:sz w:val="20"/>
                <w:szCs w:val="20"/>
              </w:rPr>
            </w:pPr>
          </w:p>
          <w:p>
            <w:pPr>
              <w:widowControl/>
              <w:jc w:val="right"/>
              <w:textAlignment w:val="bottom"/>
              <w:rPr>
                <w:rFonts w:ascii="宋体" w:cs="宋体"/>
                <w:kern w:val="0"/>
                <w:sz w:val="20"/>
                <w:szCs w:val="20"/>
              </w:rPr>
            </w:pPr>
          </w:p>
          <w:p>
            <w:pPr>
              <w:widowControl/>
              <w:jc w:val="right"/>
              <w:textAlignment w:val="bottom"/>
              <w:rPr>
                <w:rFonts w:ascii="宋体" w:cs="宋体"/>
                <w:kern w:val="0"/>
                <w:sz w:val="20"/>
                <w:szCs w:val="20"/>
              </w:rPr>
            </w:pPr>
          </w:p>
          <w:p>
            <w:pPr>
              <w:widowControl/>
              <w:jc w:val="right"/>
              <w:textAlignment w:val="bottom"/>
              <w:rPr>
                <w:rFonts w:ascii="宋体" w:cs="宋体"/>
                <w:kern w:val="0"/>
                <w:sz w:val="20"/>
                <w:szCs w:val="20"/>
              </w:rPr>
            </w:pPr>
          </w:p>
          <w:p>
            <w:pPr>
              <w:widowControl/>
              <w:jc w:val="right"/>
              <w:textAlignment w:val="bottom"/>
              <w:rPr>
                <w:rFonts w:ascii="宋体" w:cs="宋体"/>
                <w:sz w:val="20"/>
                <w:szCs w:val="20"/>
              </w:rPr>
            </w:pPr>
            <w:r>
              <w:rPr>
                <w:rFonts w:hint="eastAsia" w:ascii="宋体" w:hAnsi="宋体" w:cs="宋体"/>
                <w:kern w:val="0"/>
                <w:sz w:val="20"/>
                <w:szCs w:val="20"/>
              </w:rPr>
              <w:t>公开</w:t>
            </w:r>
            <w:r>
              <w:rPr>
                <w:rFonts w:ascii="宋体" w:hAnsi="宋体" w:cs="宋体"/>
                <w:kern w:val="0"/>
                <w:sz w:val="20"/>
                <w:szCs w:val="20"/>
              </w:rPr>
              <w:t>02</w:t>
            </w:r>
            <w:r>
              <w:rPr>
                <w:rFonts w:hint="eastAsia" w:ascii="宋体" w:hAnsi="宋体" w:cs="宋体"/>
                <w:kern w:val="0"/>
                <w:sz w:val="20"/>
                <w:szCs w:val="20"/>
              </w:rPr>
              <w:t>表</w:t>
            </w:r>
          </w:p>
        </w:tc>
      </w:tr>
      <w:tr>
        <w:tblPrEx>
          <w:tblCellMar>
            <w:top w:w="0" w:type="dxa"/>
            <w:left w:w="0" w:type="dxa"/>
            <w:bottom w:w="0" w:type="dxa"/>
            <w:right w:w="0" w:type="dxa"/>
          </w:tblCellMar>
        </w:tblPrEx>
        <w:trPr>
          <w:trHeight w:val="255" w:hRule="atLeast"/>
        </w:trPr>
        <w:tc>
          <w:tcPr>
            <w:tcW w:w="1712"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sz w:val="20"/>
                <w:szCs w:val="20"/>
              </w:rPr>
            </w:pPr>
            <w:r>
              <w:rPr>
                <w:rFonts w:hint="eastAsia" w:ascii="宋体" w:hAnsi="宋体" w:cs="宋体"/>
                <w:kern w:val="0"/>
                <w:sz w:val="20"/>
                <w:szCs w:val="20"/>
              </w:rPr>
              <w:t>部门：信阳市浉河区市政管理局</w:t>
            </w:r>
          </w:p>
        </w:tc>
        <w:tc>
          <w:tcPr>
            <w:tcW w:w="213"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4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596"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528"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63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337"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149"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029"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177"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334"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308" w:hRule="atLeast"/>
        </w:trPr>
        <w:tc>
          <w:tcPr>
            <w:tcW w:w="3761"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项目</w:t>
            </w:r>
          </w:p>
        </w:tc>
        <w:tc>
          <w:tcPr>
            <w:tcW w:w="152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本年收入合计</w:t>
            </w:r>
          </w:p>
        </w:tc>
        <w:tc>
          <w:tcPr>
            <w:tcW w:w="163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财政拨款收入</w:t>
            </w:r>
          </w:p>
        </w:tc>
        <w:tc>
          <w:tcPr>
            <w:tcW w:w="133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上级补助收入</w:t>
            </w:r>
          </w:p>
        </w:tc>
        <w:tc>
          <w:tcPr>
            <w:tcW w:w="114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事业收入</w:t>
            </w:r>
          </w:p>
        </w:tc>
        <w:tc>
          <w:tcPr>
            <w:tcW w:w="102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经营收入</w:t>
            </w:r>
          </w:p>
        </w:tc>
        <w:tc>
          <w:tcPr>
            <w:tcW w:w="117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附属单位上缴收入</w:t>
            </w:r>
          </w:p>
        </w:tc>
        <w:tc>
          <w:tcPr>
            <w:tcW w:w="233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其他收入</w:t>
            </w:r>
          </w:p>
        </w:tc>
      </w:tr>
      <w:tr>
        <w:tblPrEx>
          <w:tblCellMar>
            <w:top w:w="0" w:type="dxa"/>
            <w:left w:w="0" w:type="dxa"/>
            <w:bottom w:w="0" w:type="dxa"/>
            <w:right w:w="0" w:type="dxa"/>
          </w:tblCellMar>
        </w:tblPrEx>
        <w:trPr>
          <w:trHeight w:val="308" w:hRule="atLeast"/>
        </w:trPr>
        <w:tc>
          <w:tcPr>
            <w:tcW w:w="2165"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功能分类科目编码</w:t>
            </w:r>
          </w:p>
        </w:tc>
        <w:tc>
          <w:tcPr>
            <w:tcW w:w="1596"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科目名称</w:t>
            </w:r>
          </w:p>
        </w:tc>
        <w:tc>
          <w:tcPr>
            <w:tcW w:w="1528"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630"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33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149"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029"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17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334"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08" w:hRule="atLeast"/>
        </w:trPr>
        <w:tc>
          <w:tcPr>
            <w:tcW w:w="2165"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59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1528"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630"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33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149"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029"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17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334"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08" w:hRule="atLeast"/>
        </w:trPr>
        <w:tc>
          <w:tcPr>
            <w:tcW w:w="2165"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59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1528"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630"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33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149"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029"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17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334"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08" w:hRule="atLeast"/>
        </w:trPr>
        <w:tc>
          <w:tcPr>
            <w:tcW w:w="3761"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栏次</w:t>
            </w:r>
          </w:p>
        </w:tc>
        <w:tc>
          <w:tcPr>
            <w:tcW w:w="15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16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c>
          <w:tcPr>
            <w:tcW w:w="133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w:t>
            </w:r>
          </w:p>
        </w:tc>
        <w:tc>
          <w:tcPr>
            <w:tcW w:w="114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w:t>
            </w:r>
          </w:p>
        </w:tc>
        <w:tc>
          <w:tcPr>
            <w:tcW w:w="10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w:t>
            </w:r>
          </w:p>
        </w:tc>
        <w:tc>
          <w:tcPr>
            <w:tcW w:w="117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w:t>
            </w:r>
          </w:p>
        </w:tc>
        <w:tc>
          <w:tcPr>
            <w:tcW w:w="233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7</w:t>
            </w:r>
          </w:p>
        </w:tc>
      </w:tr>
      <w:tr>
        <w:tblPrEx>
          <w:tblCellMar>
            <w:top w:w="0" w:type="dxa"/>
            <w:left w:w="0" w:type="dxa"/>
            <w:bottom w:w="0" w:type="dxa"/>
            <w:right w:w="0" w:type="dxa"/>
          </w:tblCellMar>
        </w:tblPrEx>
        <w:trPr>
          <w:trHeight w:val="308" w:hRule="atLeast"/>
        </w:trPr>
        <w:tc>
          <w:tcPr>
            <w:tcW w:w="3761"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合计</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hAnsi="宋体" w:cs="宋体"/>
                <w:b/>
                <w:kern w:val="0"/>
                <w:sz w:val="22"/>
                <w:szCs w:val="22"/>
              </w:rPr>
              <w:t>3,541.11</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hAnsi="宋体" w:cs="宋体"/>
                <w:b/>
                <w:kern w:val="0"/>
                <w:sz w:val="22"/>
                <w:szCs w:val="22"/>
              </w:rPr>
              <w:t>3,541.11</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cs="宋体"/>
                <w:b/>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cs="宋体"/>
                <w:b/>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cs="宋体"/>
                <w:b/>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cs="宋体"/>
                <w:b/>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cs="宋体"/>
                <w:b/>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201</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一般公共服务支出</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20103</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政府办公厅（室）及相关机构事务</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2010350</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事业运行</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城乡社区支出</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2,349.29</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2,349.29</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21201</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城乡社区管理事务</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342.12</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342.12</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2120101</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行政运行</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141.17</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141.17</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2120104</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城管执法</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200.95</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200.95</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21202</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城乡社区规划与管理</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274.79</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274.79</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2120201</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城乡社区规划与管理</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274.79</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274.79</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21205</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城乡社区环境卫生</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1,673.87</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1,673.87</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2120501</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城乡社区环境卫生</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1,673.87</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1,673.87</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21206</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建设市场管理与监督</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216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2120601</w:t>
            </w:r>
          </w:p>
        </w:tc>
        <w:tc>
          <w:tcPr>
            <w:tcW w:w="159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建设市场管理与监督</w:t>
            </w:r>
          </w:p>
        </w:tc>
        <w:tc>
          <w:tcPr>
            <w:tcW w:w="1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c>
          <w:tcPr>
            <w:tcW w:w="16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c>
          <w:tcPr>
            <w:tcW w:w="13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0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1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3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945" w:type="dxa"/>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注：本表反映部门本年度取得的各项收入情况。本表金额转换为万元时，因四舍五入可能存在尾差。</w:t>
            </w:r>
          </w:p>
        </w:tc>
      </w:tr>
      <w:tr>
        <w:tblPrEx>
          <w:tblCellMar>
            <w:top w:w="0" w:type="dxa"/>
            <w:left w:w="0" w:type="dxa"/>
            <w:bottom w:w="0" w:type="dxa"/>
            <w:right w:w="0" w:type="dxa"/>
          </w:tblCellMar>
        </w:tblPrEx>
        <w:trPr>
          <w:trHeight w:val="255" w:hRule="atLeast"/>
        </w:trPr>
        <w:tc>
          <w:tcPr>
            <w:tcW w:w="1712"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13"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4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596"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528"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63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337"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149"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029"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177"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33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r>
    </w:tbl>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tbl>
      <w:tblPr>
        <w:tblStyle w:val="5"/>
        <w:tblW w:w="13945" w:type="dxa"/>
        <w:tblInd w:w="0" w:type="dxa"/>
        <w:tblLayout w:type="fixed"/>
        <w:tblCellMar>
          <w:top w:w="0" w:type="dxa"/>
          <w:left w:w="0" w:type="dxa"/>
          <w:bottom w:w="0" w:type="dxa"/>
          <w:right w:w="0" w:type="dxa"/>
        </w:tblCellMar>
      </w:tblPr>
      <w:tblGrid>
        <w:gridCol w:w="2694"/>
        <w:gridCol w:w="200"/>
        <w:gridCol w:w="200"/>
        <w:gridCol w:w="2189"/>
        <w:gridCol w:w="1351"/>
        <w:gridCol w:w="1176"/>
        <w:gridCol w:w="1364"/>
        <w:gridCol w:w="988"/>
        <w:gridCol w:w="851"/>
        <w:gridCol w:w="2932"/>
      </w:tblGrid>
      <w:tr>
        <w:tblPrEx>
          <w:tblCellMar>
            <w:top w:w="0" w:type="dxa"/>
            <w:left w:w="0" w:type="dxa"/>
            <w:bottom w:w="0" w:type="dxa"/>
            <w:right w:w="0" w:type="dxa"/>
          </w:tblCellMar>
        </w:tblPrEx>
        <w:trPr>
          <w:trHeight w:val="429" w:hRule="atLeast"/>
        </w:trPr>
        <w:tc>
          <w:tcPr>
            <w:tcW w:w="13945" w:type="dxa"/>
            <w:gridSpan w:val="10"/>
            <w:tcBorders>
              <w:top w:val="nil"/>
              <w:left w:val="nil"/>
              <w:bottom w:val="nil"/>
              <w:right w:val="nil"/>
            </w:tcBorders>
            <w:noWrap/>
            <w:tcMar>
              <w:top w:w="15" w:type="dxa"/>
              <w:left w:w="15" w:type="dxa"/>
              <w:right w:w="15" w:type="dxa"/>
            </w:tcMar>
            <w:vAlign w:val="bottom"/>
          </w:tcPr>
          <w:p>
            <w:pPr>
              <w:jc w:val="center"/>
              <w:rPr>
                <w:rFonts w:ascii="Arial" w:hAnsi="Arial"/>
                <w:sz w:val="44"/>
                <w:szCs w:val="44"/>
              </w:rPr>
            </w:pPr>
            <w:r>
              <w:rPr>
                <w:rFonts w:hint="eastAsia" w:ascii="宋体" w:hAnsi="宋体" w:cs="宋体"/>
                <w:kern w:val="0"/>
                <w:sz w:val="44"/>
                <w:szCs w:val="44"/>
              </w:rPr>
              <w:t>支出决算表</w:t>
            </w:r>
          </w:p>
        </w:tc>
      </w:tr>
      <w:tr>
        <w:tblPrEx>
          <w:tblCellMar>
            <w:top w:w="0" w:type="dxa"/>
            <w:left w:w="0" w:type="dxa"/>
            <w:bottom w:w="0" w:type="dxa"/>
            <w:right w:w="0" w:type="dxa"/>
          </w:tblCellMar>
        </w:tblPrEx>
        <w:trPr>
          <w:trHeight w:val="255" w:hRule="atLeast"/>
        </w:trPr>
        <w:tc>
          <w:tcPr>
            <w:tcW w:w="269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0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0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189"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351"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176"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36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988"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851"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93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公开</w:t>
            </w:r>
            <w:r>
              <w:rPr>
                <w:rFonts w:ascii="宋体" w:hAnsi="宋体" w:cs="宋体"/>
                <w:kern w:val="0"/>
                <w:sz w:val="20"/>
                <w:szCs w:val="20"/>
              </w:rPr>
              <w:t>03</w:t>
            </w:r>
            <w:r>
              <w:rPr>
                <w:rFonts w:hint="eastAsia" w:ascii="宋体" w:hAnsi="宋体" w:cs="宋体"/>
                <w:kern w:val="0"/>
                <w:sz w:val="20"/>
                <w:szCs w:val="20"/>
              </w:rPr>
              <w:t>表</w:t>
            </w:r>
          </w:p>
        </w:tc>
      </w:tr>
      <w:tr>
        <w:tblPrEx>
          <w:tblCellMar>
            <w:top w:w="0" w:type="dxa"/>
            <w:left w:w="0" w:type="dxa"/>
            <w:bottom w:w="0" w:type="dxa"/>
            <w:right w:w="0" w:type="dxa"/>
          </w:tblCellMar>
        </w:tblPrEx>
        <w:trPr>
          <w:trHeight w:val="255" w:hRule="atLeast"/>
        </w:trPr>
        <w:tc>
          <w:tcPr>
            <w:tcW w:w="2694"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sz w:val="20"/>
                <w:szCs w:val="20"/>
              </w:rPr>
            </w:pPr>
            <w:r>
              <w:rPr>
                <w:rFonts w:hint="eastAsia" w:ascii="宋体" w:hAnsi="宋体" w:cs="宋体"/>
                <w:kern w:val="0"/>
                <w:sz w:val="20"/>
                <w:szCs w:val="20"/>
              </w:rPr>
              <w:t>部门：信阳市浉河区市政管理局</w:t>
            </w:r>
          </w:p>
        </w:tc>
        <w:tc>
          <w:tcPr>
            <w:tcW w:w="20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0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189"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351"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176"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36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988"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851"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93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308" w:hRule="atLeast"/>
        </w:trPr>
        <w:tc>
          <w:tcPr>
            <w:tcW w:w="5283"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项目</w:t>
            </w:r>
          </w:p>
        </w:tc>
        <w:tc>
          <w:tcPr>
            <w:tcW w:w="13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本年支出合计</w:t>
            </w:r>
          </w:p>
        </w:tc>
        <w:tc>
          <w:tcPr>
            <w:tcW w:w="117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基本支出</w:t>
            </w:r>
          </w:p>
        </w:tc>
        <w:tc>
          <w:tcPr>
            <w:tcW w:w="136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项目支出</w:t>
            </w:r>
          </w:p>
        </w:tc>
        <w:tc>
          <w:tcPr>
            <w:tcW w:w="98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上缴上级支出</w:t>
            </w:r>
          </w:p>
        </w:tc>
        <w:tc>
          <w:tcPr>
            <w:tcW w:w="8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经营支出</w:t>
            </w:r>
          </w:p>
        </w:tc>
        <w:tc>
          <w:tcPr>
            <w:tcW w:w="293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对附属单位补助支出</w:t>
            </w:r>
          </w:p>
        </w:tc>
      </w:tr>
      <w:tr>
        <w:tblPrEx>
          <w:tblCellMar>
            <w:top w:w="0" w:type="dxa"/>
            <w:left w:w="0" w:type="dxa"/>
            <w:bottom w:w="0" w:type="dxa"/>
            <w:right w:w="0" w:type="dxa"/>
          </w:tblCellMar>
        </w:tblPrEx>
        <w:trPr>
          <w:trHeight w:val="308" w:hRule="atLeast"/>
        </w:trPr>
        <w:tc>
          <w:tcPr>
            <w:tcW w:w="3094"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功能分类科目编码</w:t>
            </w:r>
          </w:p>
        </w:tc>
        <w:tc>
          <w:tcPr>
            <w:tcW w:w="218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科目名称</w:t>
            </w:r>
          </w:p>
        </w:tc>
        <w:tc>
          <w:tcPr>
            <w:tcW w:w="135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17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364"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988"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85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932"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08" w:hRule="atLeast"/>
        </w:trPr>
        <w:tc>
          <w:tcPr>
            <w:tcW w:w="3094"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18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135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17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364"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988"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85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932"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08" w:hRule="atLeast"/>
        </w:trPr>
        <w:tc>
          <w:tcPr>
            <w:tcW w:w="3094"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18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135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17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364"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988"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85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932"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08" w:hRule="atLeast"/>
        </w:trPr>
        <w:tc>
          <w:tcPr>
            <w:tcW w:w="5283"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栏次</w:t>
            </w:r>
          </w:p>
        </w:tc>
        <w:tc>
          <w:tcPr>
            <w:tcW w:w="13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117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c>
          <w:tcPr>
            <w:tcW w:w="136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w:t>
            </w:r>
          </w:p>
        </w:tc>
        <w:tc>
          <w:tcPr>
            <w:tcW w:w="98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w:t>
            </w:r>
          </w:p>
        </w:tc>
        <w:tc>
          <w:tcPr>
            <w:tcW w:w="8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w:t>
            </w:r>
          </w:p>
        </w:tc>
        <w:tc>
          <w:tcPr>
            <w:tcW w:w="2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w:t>
            </w:r>
          </w:p>
        </w:tc>
      </w:tr>
      <w:tr>
        <w:tblPrEx>
          <w:tblCellMar>
            <w:top w:w="0" w:type="dxa"/>
            <w:left w:w="0" w:type="dxa"/>
            <w:bottom w:w="0" w:type="dxa"/>
            <w:right w:w="0" w:type="dxa"/>
          </w:tblCellMar>
        </w:tblPrEx>
        <w:trPr>
          <w:trHeight w:val="308" w:hRule="atLeast"/>
        </w:trPr>
        <w:tc>
          <w:tcPr>
            <w:tcW w:w="5283"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合计</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hAnsi="宋体" w:cs="宋体"/>
                <w:b/>
                <w:kern w:val="0"/>
                <w:sz w:val="22"/>
                <w:szCs w:val="22"/>
              </w:rPr>
              <w:t>3,541.11</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hAnsi="宋体" w:cs="宋体"/>
                <w:b/>
                <w:kern w:val="0"/>
                <w:sz w:val="22"/>
                <w:szCs w:val="22"/>
              </w:rPr>
              <w:t>1,566.83</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hAnsi="宋体" w:cs="宋体"/>
                <w:b/>
                <w:kern w:val="0"/>
                <w:sz w:val="22"/>
                <w:szCs w:val="22"/>
              </w:rPr>
              <w:t>1,974.28</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cs="宋体"/>
                <w:b/>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cs="宋体"/>
                <w:b/>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cs="宋体"/>
                <w:b/>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201</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一般公共服务支出</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20103</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政府办公厅（室）及相关机构事务</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2010350</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事业运行</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城乡社区支出</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2,349.29</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375.02</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1,974.28</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21201</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城乡社区管理事务</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342.12</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342.12</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2120101</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行政运行</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141.17</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141.17</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2120104</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城管执法</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200.95</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200.95</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21202</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城乡社区规划与管理</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274.79</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17.60</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257.19</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2120201</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城乡社区规划与管理</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274.79</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17.60</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257.19</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21205</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城乡社区环境卫生</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1,673.87</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15.30</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1,658.57</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2120501</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城乡社区环境卫生</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1,673.87</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15.30</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1,658.57</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21206</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建设市场管理与监督</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09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2120601</w:t>
            </w:r>
          </w:p>
        </w:tc>
        <w:tc>
          <w:tcPr>
            <w:tcW w:w="21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建设市场管理与监督</w:t>
            </w:r>
          </w:p>
        </w:tc>
        <w:tc>
          <w:tcPr>
            <w:tcW w:w="13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c>
          <w:tcPr>
            <w:tcW w:w="11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6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c>
          <w:tcPr>
            <w:tcW w:w="98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9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945"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注：本表反映部门本年度各项支出情况。本表金额转换为万元时，因四舍五入可能存在尾差。</w:t>
            </w:r>
          </w:p>
        </w:tc>
      </w:tr>
    </w:tbl>
    <w:p>
      <w:pPr>
        <w:rPr>
          <w:rFonts w:ascii="隶书" w:eastAsia="隶书" w:cs="隶书"/>
          <w:sz w:val="44"/>
          <w:szCs w:val="44"/>
        </w:rPr>
      </w:pPr>
    </w:p>
    <w:p>
      <w:pPr>
        <w:rPr>
          <w:rFonts w:ascii="隶书" w:eastAsia="隶书" w:cs="隶书"/>
          <w:sz w:val="44"/>
          <w:szCs w:val="44"/>
        </w:rPr>
      </w:pPr>
    </w:p>
    <w:tbl>
      <w:tblPr>
        <w:tblStyle w:val="5"/>
        <w:tblW w:w="13785" w:type="dxa"/>
        <w:tblInd w:w="0" w:type="dxa"/>
        <w:tblLayout w:type="fixed"/>
        <w:tblCellMar>
          <w:top w:w="0" w:type="dxa"/>
          <w:left w:w="0" w:type="dxa"/>
          <w:bottom w:w="0" w:type="dxa"/>
          <w:right w:w="0" w:type="dxa"/>
        </w:tblCellMar>
      </w:tblPr>
      <w:tblGrid>
        <w:gridCol w:w="3375"/>
        <w:gridCol w:w="570"/>
        <w:gridCol w:w="1455"/>
        <w:gridCol w:w="3375"/>
        <w:gridCol w:w="570"/>
        <w:gridCol w:w="1440"/>
        <w:gridCol w:w="1320"/>
        <w:gridCol w:w="1680"/>
      </w:tblGrid>
      <w:tr>
        <w:tblPrEx>
          <w:tblCellMar>
            <w:top w:w="0" w:type="dxa"/>
            <w:left w:w="0" w:type="dxa"/>
            <w:bottom w:w="0" w:type="dxa"/>
            <w:right w:w="0" w:type="dxa"/>
          </w:tblCellMar>
        </w:tblPrEx>
        <w:trPr>
          <w:trHeight w:val="507" w:hRule="atLeast"/>
        </w:trPr>
        <w:tc>
          <w:tcPr>
            <w:tcW w:w="12105" w:type="dxa"/>
            <w:gridSpan w:val="7"/>
            <w:tcBorders>
              <w:top w:val="nil"/>
              <w:left w:val="nil"/>
              <w:bottom w:val="nil"/>
              <w:right w:val="nil"/>
            </w:tcBorders>
            <w:noWrap/>
            <w:tcMar>
              <w:top w:w="15" w:type="dxa"/>
              <w:left w:w="15" w:type="dxa"/>
              <w:right w:w="15" w:type="dxa"/>
            </w:tcMar>
            <w:vAlign w:val="bottom"/>
          </w:tcPr>
          <w:p>
            <w:pPr>
              <w:jc w:val="center"/>
              <w:rPr>
                <w:rFonts w:ascii="Arial" w:hAnsi="Arial"/>
                <w:sz w:val="20"/>
                <w:szCs w:val="20"/>
              </w:rPr>
            </w:pPr>
            <w:r>
              <w:rPr>
                <w:rFonts w:hint="eastAsia" w:ascii="Arial" w:hAnsi="Arial"/>
                <w:sz w:val="44"/>
                <w:szCs w:val="44"/>
              </w:rPr>
              <w:t>财政拨款收入支出决算总表</w:t>
            </w:r>
          </w:p>
        </w:tc>
        <w:tc>
          <w:tcPr>
            <w:tcW w:w="168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公开</w:t>
            </w:r>
            <w:r>
              <w:rPr>
                <w:rFonts w:ascii="宋体" w:hAnsi="宋体" w:cs="宋体"/>
                <w:kern w:val="0"/>
                <w:sz w:val="20"/>
                <w:szCs w:val="20"/>
              </w:rPr>
              <w:t>04</w:t>
            </w:r>
            <w:r>
              <w:rPr>
                <w:rFonts w:hint="eastAsia" w:ascii="宋体" w:hAnsi="宋体" w:cs="宋体"/>
                <w:kern w:val="0"/>
                <w:sz w:val="20"/>
                <w:szCs w:val="20"/>
              </w:rPr>
              <w:t>表</w:t>
            </w:r>
          </w:p>
        </w:tc>
      </w:tr>
      <w:tr>
        <w:tblPrEx>
          <w:tblCellMar>
            <w:top w:w="0" w:type="dxa"/>
            <w:left w:w="0" w:type="dxa"/>
            <w:bottom w:w="0" w:type="dxa"/>
            <w:right w:w="0" w:type="dxa"/>
          </w:tblCellMar>
        </w:tblPrEx>
        <w:trPr>
          <w:trHeight w:val="255" w:hRule="atLeast"/>
        </w:trPr>
        <w:tc>
          <w:tcPr>
            <w:tcW w:w="3375"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sz w:val="20"/>
                <w:szCs w:val="20"/>
              </w:rPr>
            </w:pPr>
            <w:r>
              <w:rPr>
                <w:rFonts w:hint="eastAsia" w:ascii="宋体" w:hAnsi="宋体" w:cs="宋体"/>
                <w:kern w:val="0"/>
                <w:sz w:val="20"/>
                <w:szCs w:val="20"/>
              </w:rPr>
              <w:t>部门：信阳市浉河区市政管理局</w:t>
            </w:r>
          </w:p>
        </w:tc>
        <w:tc>
          <w:tcPr>
            <w:tcW w:w="57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55"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3375"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4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32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68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308" w:hRule="atLeast"/>
        </w:trPr>
        <w:tc>
          <w:tcPr>
            <w:tcW w:w="5400"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收</w:t>
            </w:r>
            <w:r>
              <w:rPr>
                <w:rFonts w:ascii="宋体" w:hAnsi="宋体" w:cs="宋体"/>
                <w:kern w:val="0"/>
                <w:sz w:val="22"/>
                <w:szCs w:val="22"/>
              </w:rPr>
              <w:t xml:space="preserve">     </w:t>
            </w:r>
            <w:r>
              <w:rPr>
                <w:rFonts w:hint="eastAsia" w:ascii="宋体" w:hAnsi="宋体" w:cs="宋体"/>
                <w:kern w:val="0"/>
                <w:sz w:val="22"/>
                <w:szCs w:val="22"/>
              </w:rPr>
              <w:t>入</w:t>
            </w:r>
          </w:p>
        </w:tc>
        <w:tc>
          <w:tcPr>
            <w:tcW w:w="8385"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支</w:t>
            </w:r>
            <w:r>
              <w:rPr>
                <w:rFonts w:ascii="宋体" w:hAnsi="宋体" w:cs="宋体"/>
                <w:kern w:val="0"/>
                <w:sz w:val="22"/>
                <w:szCs w:val="22"/>
              </w:rPr>
              <w:t xml:space="preserve">     </w:t>
            </w:r>
            <w:r>
              <w:rPr>
                <w:rFonts w:hint="eastAsia" w:ascii="宋体" w:hAnsi="宋体" w:cs="宋体"/>
                <w:kern w:val="0"/>
                <w:sz w:val="22"/>
                <w:szCs w:val="22"/>
              </w:rPr>
              <w:t>出</w:t>
            </w:r>
          </w:p>
        </w:tc>
      </w:tr>
      <w:tr>
        <w:tblPrEx>
          <w:tblCellMar>
            <w:top w:w="0" w:type="dxa"/>
            <w:left w:w="0" w:type="dxa"/>
            <w:bottom w:w="0" w:type="dxa"/>
            <w:right w:w="0" w:type="dxa"/>
          </w:tblCellMar>
        </w:tblPrEx>
        <w:trPr>
          <w:trHeight w:val="312" w:hRule="atLeast"/>
        </w:trPr>
        <w:tc>
          <w:tcPr>
            <w:tcW w:w="33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行次</w:t>
            </w:r>
          </w:p>
        </w:tc>
        <w:tc>
          <w:tcPr>
            <w:tcW w:w="14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金额</w:t>
            </w:r>
          </w:p>
        </w:tc>
        <w:tc>
          <w:tcPr>
            <w:tcW w:w="33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行次</w:t>
            </w:r>
          </w:p>
        </w:tc>
        <w:tc>
          <w:tcPr>
            <w:tcW w:w="144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合计</w:t>
            </w:r>
          </w:p>
        </w:tc>
        <w:tc>
          <w:tcPr>
            <w:tcW w:w="13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一般公共预算财政拨款</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政府性基金预算财政拨款</w:t>
            </w:r>
          </w:p>
        </w:tc>
      </w:tr>
      <w:tr>
        <w:tblPrEx>
          <w:tblCellMar>
            <w:top w:w="0" w:type="dxa"/>
            <w:left w:w="0" w:type="dxa"/>
            <w:bottom w:w="0" w:type="dxa"/>
            <w:right w:w="0" w:type="dxa"/>
          </w:tblCellMar>
        </w:tblPrEx>
        <w:trPr>
          <w:trHeight w:val="615" w:hRule="atLeast"/>
        </w:trPr>
        <w:tc>
          <w:tcPr>
            <w:tcW w:w="33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4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33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44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13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14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14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c>
          <w:tcPr>
            <w:tcW w:w="13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w:t>
            </w:r>
          </w:p>
        </w:tc>
        <w:tc>
          <w:tcPr>
            <w:tcW w:w="1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一、一般公共预算财政拨款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一、一般公共服务支出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28</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二、政府性基金预算财政拨款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二、外交支出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29</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三、国防支出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30</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四、公共安全支出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31</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五、教育支出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32</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六、科学技术支出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33</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7</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七、文化体育与传媒支出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34</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8</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八、社会保障和就业支出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35</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9</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九、医疗卫生与计划生育支出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36</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10</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十、节能环保支出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37</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11</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十一、城乡社区支出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38</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2,349.29</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2,349.29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12</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十二、农林水支出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39</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13</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十三、交通运输支出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40</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14</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十四、资源勘探信息等支出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41</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15</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十五、商业服务业等支出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42</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16</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十六、金融支出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43</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17</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十七、援助其他地区支出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44</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18</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十八、国土海洋气象等支出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45</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19</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十九、住房保障支出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46</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20</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二十、粮油物资储备支出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47</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21</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二十一、其他支出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48</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b/>
                <w:sz w:val="22"/>
                <w:szCs w:val="22"/>
              </w:rPr>
            </w:pPr>
            <w:r>
              <w:rPr>
                <w:rFonts w:hint="eastAsia" w:ascii="宋体" w:hAnsi="宋体" w:cs="宋体"/>
                <w:b/>
                <w:kern w:val="0"/>
                <w:sz w:val="22"/>
                <w:szCs w:val="22"/>
              </w:rPr>
              <w:t>本年收入合计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22</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b/>
                <w:sz w:val="22"/>
                <w:szCs w:val="22"/>
              </w:rPr>
            </w:pPr>
            <w:r>
              <w:rPr>
                <w:rFonts w:hint="eastAsia" w:ascii="宋体" w:hAnsi="宋体" w:cs="宋体"/>
                <w:b/>
                <w:kern w:val="0"/>
                <w:sz w:val="22"/>
                <w:szCs w:val="22"/>
              </w:rPr>
              <w:t>本年支出合计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49</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年初财政拨款结转和结余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23</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年末财政拨款结转和结余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50</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一般公共预算财政拨款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24</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51</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政府性基金预算财政拨款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25</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52</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26</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53</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b/>
                <w:sz w:val="22"/>
                <w:szCs w:val="22"/>
              </w:rPr>
            </w:pPr>
            <w:r>
              <w:rPr>
                <w:rFonts w:hint="eastAsia" w:ascii="宋体" w:hAnsi="宋体" w:cs="宋体"/>
                <w:b/>
                <w:kern w:val="0"/>
                <w:sz w:val="22"/>
                <w:szCs w:val="22"/>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27</w:t>
            </w:r>
          </w:p>
        </w:tc>
        <w:tc>
          <w:tcPr>
            <w:tcW w:w="14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b/>
                <w:sz w:val="22"/>
                <w:szCs w:val="22"/>
              </w:rPr>
            </w:pPr>
            <w:r>
              <w:rPr>
                <w:rFonts w:hint="eastAsia" w:ascii="宋体" w:hAnsi="宋体" w:cs="宋体"/>
                <w:b/>
                <w:kern w:val="0"/>
                <w:sz w:val="22"/>
                <w:szCs w:val="22"/>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54</w:t>
            </w:r>
          </w:p>
        </w:tc>
        <w:tc>
          <w:tcPr>
            <w:tcW w:w="14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c>
          <w:tcPr>
            <w:tcW w:w="13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3,541.11</w:t>
            </w:r>
          </w:p>
        </w:tc>
        <w:tc>
          <w:tcPr>
            <w:tcW w:w="16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662" w:hRule="atLeast"/>
        </w:trPr>
        <w:tc>
          <w:tcPr>
            <w:tcW w:w="13785"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注：本表反映部门本年度一般公共预算财政拨款和政府性基金预算财政拨款的总收支和年末结转结余情况。本表金额转换为万元时，因四舍五入可能存在尾差。</w:t>
            </w:r>
          </w:p>
        </w:tc>
      </w:tr>
    </w:tbl>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tbl>
      <w:tblPr>
        <w:tblStyle w:val="5"/>
        <w:tblW w:w="14570" w:type="dxa"/>
        <w:tblInd w:w="0" w:type="dxa"/>
        <w:tblLayout w:type="fixed"/>
        <w:tblCellMar>
          <w:top w:w="0" w:type="dxa"/>
          <w:left w:w="0" w:type="dxa"/>
          <w:bottom w:w="0" w:type="dxa"/>
          <w:right w:w="0" w:type="dxa"/>
        </w:tblCellMar>
      </w:tblPr>
      <w:tblGrid>
        <w:gridCol w:w="3230"/>
        <w:gridCol w:w="330"/>
        <w:gridCol w:w="330"/>
        <w:gridCol w:w="3930"/>
        <w:gridCol w:w="2250"/>
        <w:gridCol w:w="2250"/>
        <w:gridCol w:w="2250"/>
      </w:tblGrid>
      <w:tr>
        <w:tblPrEx>
          <w:tblCellMar>
            <w:top w:w="0" w:type="dxa"/>
            <w:left w:w="0" w:type="dxa"/>
            <w:bottom w:w="0" w:type="dxa"/>
            <w:right w:w="0" w:type="dxa"/>
          </w:tblCellMar>
        </w:tblPrEx>
        <w:trPr>
          <w:trHeight w:val="255" w:hRule="atLeast"/>
        </w:trPr>
        <w:tc>
          <w:tcPr>
            <w:tcW w:w="12320" w:type="dxa"/>
            <w:gridSpan w:val="6"/>
            <w:tcBorders>
              <w:top w:val="nil"/>
              <w:left w:val="nil"/>
              <w:bottom w:val="nil"/>
              <w:right w:val="nil"/>
            </w:tcBorders>
            <w:noWrap/>
            <w:tcMar>
              <w:top w:w="15" w:type="dxa"/>
              <w:left w:w="15" w:type="dxa"/>
              <w:right w:w="15" w:type="dxa"/>
            </w:tcMar>
            <w:vAlign w:val="bottom"/>
          </w:tcPr>
          <w:p>
            <w:pPr>
              <w:jc w:val="center"/>
              <w:rPr>
                <w:rFonts w:ascii="Arial" w:hAnsi="Arial"/>
                <w:sz w:val="20"/>
                <w:szCs w:val="20"/>
              </w:rPr>
            </w:pPr>
            <w:r>
              <w:rPr>
                <w:rFonts w:hint="eastAsia" w:ascii="Arial" w:hAnsi="Arial"/>
                <w:sz w:val="44"/>
                <w:szCs w:val="44"/>
              </w:rPr>
              <w:t>一般公共预算财政拨款支出决算表</w:t>
            </w:r>
          </w:p>
        </w:tc>
        <w:tc>
          <w:tcPr>
            <w:tcW w:w="225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公开</w:t>
            </w:r>
            <w:r>
              <w:rPr>
                <w:rFonts w:ascii="宋体" w:hAnsi="宋体" w:cs="宋体"/>
                <w:kern w:val="0"/>
                <w:sz w:val="20"/>
                <w:szCs w:val="20"/>
              </w:rPr>
              <w:t>05</w:t>
            </w:r>
            <w:r>
              <w:rPr>
                <w:rFonts w:hint="eastAsia" w:ascii="宋体" w:hAnsi="宋体" w:cs="宋体"/>
                <w:kern w:val="0"/>
                <w:sz w:val="20"/>
                <w:szCs w:val="20"/>
              </w:rPr>
              <w:t>表</w:t>
            </w:r>
          </w:p>
        </w:tc>
      </w:tr>
      <w:tr>
        <w:tblPrEx>
          <w:tblCellMar>
            <w:top w:w="0" w:type="dxa"/>
            <w:left w:w="0" w:type="dxa"/>
            <w:bottom w:w="0" w:type="dxa"/>
            <w:right w:w="0" w:type="dxa"/>
          </w:tblCellMar>
        </w:tblPrEx>
        <w:trPr>
          <w:trHeight w:val="255" w:hRule="atLeast"/>
        </w:trPr>
        <w:tc>
          <w:tcPr>
            <w:tcW w:w="323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sz w:val="20"/>
                <w:szCs w:val="20"/>
              </w:rPr>
            </w:pPr>
            <w:r>
              <w:rPr>
                <w:rFonts w:hint="eastAsia" w:ascii="宋体" w:hAnsi="宋体" w:cs="宋体"/>
                <w:kern w:val="0"/>
                <w:sz w:val="20"/>
                <w:szCs w:val="20"/>
              </w:rPr>
              <w:t>部门：信阳市浉河区市政管理局</w:t>
            </w:r>
          </w:p>
        </w:tc>
        <w:tc>
          <w:tcPr>
            <w:tcW w:w="33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33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393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25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25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25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308" w:hRule="atLeast"/>
        </w:trPr>
        <w:tc>
          <w:tcPr>
            <w:tcW w:w="7820"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本年支出</w:t>
            </w:r>
          </w:p>
        </w:tc>
      </w:tr>
      <w:tr>
        <w:tblPrEx>
          <w:tblCellMar>
            <w:top w:w="0" w:type="dxa"/>
            <w:left w:w="0" w:type="dxa"/>
            <w:bottom w:w="0" w:type="dxa"/>
            <w:right w:w="0" w:type="dxa"/>
          </w:tblCellMar>
        </w:tblPrEx>
        <w:trPr>
          <w:trHeight w:val="312" w:hRule="atLeast"/>
        </w:trPr>
        <w:tc>
          <w:tcPr>
            <w:tcW w:w="38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功能分类科目编码</w:t>
            </w:r>
          </w:p>
        </w:tc>
        <w:tc>
          <w:tcPr>
            <w:tcW w:w="393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科目名称</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小计</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基本支出</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项目支出</w:t>
            </w:r>
          </w:p>
        </w:tc>
      </w:tr>
      <w:tr>
        <w:tblPrEx>
          <w:tblCellMar>
            <w:top w:w="0" w:type="dxa"/>
            <w:left w:w="0" w:type="dxa"/>
            <w:bottom w:w="0" w:type="dxa"/>
            <w:right w:w="0" w:type="dxa"/>
          </w:tblCellMar>
        </w:tblPrEx>
        <w:trPr>
          <w:trHeight w:val="312" w:hRule="atLeast"/>
        </w:trPr>
        <w:tc>
          <w:tcPr>
            <w:tcW w:w="38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393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12" w:hRule="atLeast"/>
        </w:trPr>
        <w:tc>
          <w:tcPr>
            <w:tcW w:w="38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393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cs="宋体"/>
                <w:sz w:val="22"/>
                <w:szCs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08" w:hRule="atLeast"/>
        </w:trPr>
        <w:tc>
          <w:tcPr>
            <w:tcW w:w="7820"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栏次</w:t>
            </w:r>
          </w:p>
        </w:tc>
        <w:tc>
          <w:tcPr>
            <w:tcW w:w="2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2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c>
          <w:tcPr>
            <w:tcW w:w="2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w:t>
            </w:r>
          </w:p>
        </w:tc>
      </w:tr>
      <w:tr>
        <w:tblPrEx>
          <w:tblCellMar>
            <w:top w:w="0" w:type="dxa"/>
            <w:left w:w="0" w:type="dxa"/>
            <w:bottom w:w="0" w:type="dxa"/>
            <w:right w:w="0" w:type="dxa"/>
          </w:tblCellMar>
        </w:tblPrEx>
        <w:trPr>
          <w:trHeight w:val="308" w:hRule="atLeast"/>
        </w:trPr>
        <w:tc>
          <w:tcPr>
            <w:tcW w:w="7820"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合计</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hAnsi="宋体" w:cs="宋体"/>
                <w:b/>
                <w:kern w:val="0"/>
                <w:sz w:val="22"/>
                <w:szCs w:val="22"/>
              </w:rPr>
              <w:t>3,541.11</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hAnsi="宋体" w:cs="宋体"/>
                <w:b/>
                <w:kern w:val="0"/>
                <w:sz w:val="22"/>
                <w:szCs w:val="22"/>
              </w:rPr>
              <w:t>1,566.83</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b/>
                <w:sz w:val="22"/>
                <w:szCs w:val="22"/>
              </w:rPr>
            </w:pPr>
            <w:r>
              <w:rPr>
                <w:rFonts w:ascii="宋体" w:hAnsi="宋体" w:cs="宋体"/>
                <w:b/>
                <w:kern w:val="0"/>
                <w:sz w:val="22"/>
                <w:szCs w:val="22"/>
              </w:rPr>
              <w:t>1,974.28</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201</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一般公共服务支出</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20103</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政府办公厅（室）及相关机构事务</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2010350</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事业运行</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1,191.82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城乡社区支出</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2,349.29</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375.02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1,974.28</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21201</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城乡社区管理事务</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342.12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342.12</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2120101</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行政运行</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141.17</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141.17</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2120104</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城管执法</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200.95</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200.95</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21202</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城乡社区规划与管理</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274.79</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17.60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257.19</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2120201</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城乡社区规划与管理</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274.79</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17.60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257.19</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21205</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城乡社区环境卫生</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1,673.87</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15.30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1,658.57</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2120501</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城乡社区环境卫生</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1,673.87</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15.30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1,658.57</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21206</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建设市场管理与监督</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r>
      <w:tr>
        <w:tblPrEx>
          <w:tblCellMar>
            <w:top w:w="0" w:type="dxa"/>
            <w:left w:w="0" w:type="dxa"/>
            <w:bottom w:w="0" w:type="dxa"/>
            <w:right w:w="0" w:type="dxa"/>
          </w:tblCellMar>
        </w:tblPrEx>
        <w:trPr>
          <w:trHeight w:val="308" w:hRule="atLeast"/>
        </w:trPr>
        <w:tc>
          <w:tcPr>
            <w:tcW w:w="38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2120601</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建设市场管理与监督</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58.51</w:t>
            </w:r>
          </w:p>
        </w:tc>
      </w:tr>
      <w:tr>
        <w:tblPrEx>
          <w:tblCellMar>
            <w:top w:w="0" w:type="dxa"/>
            <w:left w:w="0" w:type="dxa"/>
            <w:bottom w:w="0" w:type="dxa"/>
            <w:right w:w="0" w:type="dxa"/>
          </w:tblCellMar>
        </w:tblPrEx>
        <w:trPr>
          <w:trHeight w:val="692" w:hRule="atLeast"/>
        </w:trPr>
        <w:tc>
          <w:tcPr>
            <w:tcW w:w="14570" w:type="dxa"/>
            <w:gridSpan w:val="7"/>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注：本表反映部门本年度一般公共预算财政拨款支出情况。本表金额转换为万元时，因四舍五入可能存在尾差。</w:t>
            </w:r>
          </w:p>
        </w:tc>
      </w:tr>
    </w:tbl>
    <w:p>
      <w:pPr>
        <w:rPr>
          <w:rFonts w:ascii="隶书" w:eastAsia="隶书" w:cs="隶书"/>
          <w:sz w:val="44"/>
          <w:szCs w:val="44"/>
        </w:rPr>
      </w:pPr>
    </w:p>
    <w:p>
      <w:pPr>
        <w:rPr>
          <w:rFonts w:ascii="隶书" w:eastAsia="隶书" w:cs="隶书"/>
          <w:sz w:val="32"/>
          <w:szCs w:val="32"/>
        </w:rPr>
      </w:pPr>
    </w:p>
    <w:tbl>
      <w:tblPr>
        <w:tblStyle w:val="5"/>
        <w:tblpPr w:leftFromText="180" w:rightFromText="180" w:vertAnchor="text" w:horzAnchor="page" w:tblpX="770" w:tblpY="6996"/>
        <w:tblOverlap w:val="never"/>
        <w:tblW w:w="13506" w:type="dxa"/>
        <w:tblInd w:w="0" w:type="dxa"/>
        <w:tblLayout w:type="fixed"/>
        <w:tblCellMar>
          <w:top w:w="0" w:type="dxa"/>
          <w:left w:w="0" w:type="dxa"/>
          <w:bottom w:w="0" w:type="dxa"/>
          <w:right w:w="0" w:type="dxa"/>
        </w:tblCellMar>
      </w:tblPr>
      <w:tblGrid>
        <w:gridCol w:w="1380"/>
        <w:gridCol w:w="1604"/>
        <w:gridCol w:w="1144"/>
        <w:gridCol w:w="1463"/>
        <w:gridCol w:w="1710"/>
        <w:gridCol w:w="1065"/>
        <w:gridCol w:w="1485"/>
        <w:gridCol w:w="2190"/>
        <w:gridCol w:w="1465"/>
      </w:tblGrid>
      <w:tr>
        <w:tblPrEx>
          <w:tblCellMar>
            <w:top w:w="0" w:type="dxa"/>
            <w:left w:w="0" w:type="dxa"/>
            <w:bottom w:w="0" w:type="dxa"/>
            <w:right w:w="0" w:type="dxa"/>
          </w:tblCellMar>
        </w:tblPrEx>
        <w:trPr>
          <w:trHeight w:val="90" w:hRule="atLeast"/>
        </w:trPr>
        <w:tc>
          <w:tcPr>
            <w:tcW w:w="138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60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14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63"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71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065"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85"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19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65"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4"/>
              </w:rPr>
            </w:pPr>
          </w:p>
        </w:tc>
      </w:tr>
      <w:tr>
        <w:tblPrEx>
          <w:tblCellMar>
            <w:top w:w="0" w:type="dxa"/>
            <w:left w:w="0" w:type="dxa"/>
            <w:bottom w:w="0" w:type="dxa"/>
            <w:right w:w="0" w:type="dxa"/>
          </w:tblCellMar>
        </w:tblPrEx>
        <w:trPr>
          <w:trHeight w:val="255" w:hRule="atLeast"/>
        </w:trPr>
        <w:tc>
          <w:tcPr>
            <w:tcW w:w="138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kern w:val="0"/>
                <w:sz w:val="20"/>
                <w:szCs w:val="20"/>
              </w:rPr>
            </w:pPr>
          </w:p>
        </w:tc>
        <w:tc>
          <w:tcPr>
            <w:tcW w:w="160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14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63"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71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065"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85"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19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65"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kern w:val="0"/>
                <w:sz w:val="18"/>
                <w:szCs w:val="18"/>
              </w:rPr>
            </w:pPr>
          </w:p>
        </w:tc>
      </w:tr>
      <w:tr>
        <w:tblPrEx>
          <w:tblCellMar>
            <w:top w:w="0" w:type="dxa"/>
            <w:left w:w="0" w:type="dxa"/>
            <w:bottom w:w="0" w:type="dxa"/>
            <w:right w:w="0" w:type="dxa"/>
          </w:tblCellMar>
        </w:tblPrEx>
        <w:trPr>
          <w:trHeight w:val="255" w:hRule="atLeast"/>
        </w:trPr>
        <w:tc>
          <w:tcPr>
            <w:tcW w:w="12041" w:type="dxa"/>
            <w:gridSpan w:val="8"/>
            <w:tcBorders>
              <w:top w:val="nil"/>
              <w:left w:val="nil"/>
              <w:bottom w:val="nil"/>
              <w:right w:val="nil"/>
            </w:tcBorders>
            <w:noWrap/>
            <w:tcMar>
              <w:top w:w="15" w:type="dxa"/>
              <w:left w:w="15" w:type="dxa"/>
              <w:right w:w="15" w:type="dxa"/>
            </w:tcMar>
            <w:vAlign w:val="bottom"/>
          </w:tcPr>
          <w:p>
            <w:pPr>
              <w:jc w:val="center"/>
              <w:rPr>
                <w:rFonts w:ascii="Arial" w:hAnsi="Arial"/>
                <w:sz w:val="20"/>
                <w:szCs w:val="20"/>
              </w:rPr>
            </w:pPr>
            <w:r>
              <w:rPr>
                <w:rFonts w:hint="eastAsia" w:ascii="Arial" w:hAnsi="Arial"/>
                <w:sz w:val="44"/>
                <w:szCs w:val="44"/>
              </w:rPr>
              <w:t>一般公共预算财政拨款基本支出决算表</w:t>
            </w:r>
          </w:p>
        </w:tc>
        <w:tc>
          <w:tcPr>
            <w:tcW w:w="1465"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kern w:val="0"/>
                <w:sz w:val="18"/>
                <w:szCs w:val="18"/>
              </w:rPr>
            </w:pPr>
            <w:r>
              <w:rPr>
                <w:rFonts w:hint="eastAsia" w:ascii="宋体" w:hAnsi="宋体" w:cs="宋体"/>
                <w:kern w:val="0"/>
                <w:sz w:val="24"/>
              </w:rPr>
              <w:t>公开</w:t>
            </w:r>
            <w:r>
              <w:rPr>
                <w:rFonts w:ascii="宋体" w:hAnsi="宋体" w:cs="宋体"/>
                <w:kern w:val="0"/>
                <w:sz w:val="24"/>
              </w:rPr>
              <w:t>06</w:t>
            </w:r>
            <w:r>
              <w:rPr>
                <w:rFonts w:hint="eastAsia" w:ascii="宋体" w:hAnsi="宋体" w:cs="宋体"/>
                <w:kern w:val="0"/>
                <w:sz w:val="24"/>
              </w:rPr>
              <w:t>表</w:t>
            </w:r>
          </w:p>
        </w:tc>
      </w:tr>
      <w:tr>
        <w:tblPrEx>
          <w:tblCellMar>
            <w:top w:w="0" w:type="dxa"/>
            <w:left w:w="0" w:type="dxa"/>
            <w:bottom w:w="0" w:type="dxa"/>
            <w:right w:w="0" w:type="dxa"/>
          </w:tblCellMar>
        </w:tblPrEx>
        <w:trPr>
          <w:trHeight w:val="255" w:hRule="atLeast"/>
        </w:trPr>
        <w:tc>
          <w:tcPr>
            <w:tcW w:w="4128" w:type="dxa"/>
            <w:gridSpan w:val="3"/>
            <w:tcBorders>
              <w:top w:val="nil"/>
              <w:left w:val="nil"/>
              <w:bottom w:val="nil"/>
              <w:right w:val="nil"/>
            </w:tcBorders>
            <w:noWrap/>
            <w:tcMar>
              <w:top w:w="15" w:type="dxa"/>
              <w:left w:w="15" w:type="dxa"/>
              <w:right w:w="15" w:type="dxa"/>
            </w:tcMar>
            <w:vAlign w:val="bottom"/>
          </w:tcPr>
          <w:p>
            <w:pPr>
              <w:rPr>
                <w:rFonts w:ascii="Arial" w:hAnsi="Arial"/>
                <w:sz w:val="20"/>
                <w:szCs w:val="20"/>
              </w:rPr>
            </w:pPr>
            <w:r>
              <w:rPr>
                <w:rFonts w:hint="eastAsia" w:ascii="宋体" w:hAnsi="宋体" w:cs="宋体"/>
                <w:kern w:val="0"/>
                <w:sz w:val="20"/>
                <w:szCs w:val="20"/>
              </w:rPr>
              <w:t>部门：信阳市浉河区市政管理局</w:t>
            </w:r>
          </w:p>
        </w:tc>
        <w:tc>
          <w:tcPr>
            <w:tcW w:w="1463"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71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065"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85"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19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1465"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18"/>
                <w:szCs w:val="18"/>
              </w:rPr>
            </w:pPr>
            <w:r>
              <w:rPr>
                <w:rFonts w:hint="eastAsia" w:ascii="宋体" w:hAnsi="宋体" w:cs="宋体"/>
                <w:kern w:val="0"/>
                <w:sz w:val="18"/>
                <w:szCs w:val="18"/>
              </w:rPr>
              <w:t>金额单位：万元</w:t>
            </w:r>
          </w:p>
        </w:tc>
      </w:tr>
      <w:tr>
        <w:tblPrEx>
          <w:tblCellMar>
            <w:top w:w="0" w:type="dxa"/>
            <w:left w:w="0" w:type="dxa"/>
            <w:bottom w:w="0" w:type="dxa"/>
            <w:right w:w="0" w:type="dxa"/>
          </w:tblCellMar>
        </w:tblPrEx>
        <w:trPr>
          <w:trHeight w:val="308" w:hRule="atLeast"/>
        </w:trPr>
        <w:tc>
          <w:tcPr>
            <w:tcW w:w="4128"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人员经费</w:t>
            </w:r>
          </w:p>
        </w:tc>
        <w:tc>
          <w:tcPr>
            <w:tcW w:w="9378"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公用经费</w:t>
            </w:r>
          </w:p>
        </w:tc>
      </w:tr>
      <w:tr>
        <w:tblPrEx>
          <w:tblCellMar>
            <w:top w:w="0" w:type="dxa"/>
            <w:left w:w="0" w:type="dxa"/>
            <w:bottom w:w="0" w:type="dxa"/>
            <w:right w:w="0" w:type="dxa"/>
          </w:tblCellMar>
        </w:tblPrEx>
        <w:trPr>
          <w:trHeight w:val="312" w:hRule="atLeast"/>
        </w:trPr>
        <w:tc>
          <w:tcPr>
            <w:tcW w:w="138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科目编码</w:t>
            </w:r>
          </w:p>
        </w:tc>
        <w:tc>
          <w:tcPr>
            <w:tcW w:w="16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科目名称</w:t>
            </w:r>
          </w:p>
        </w:tc>
        <w:tc>
          <w:tcPr>
            <w:tcW w:w="114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决算数</w:t>
            </w:r>
          </w:p>
        </w:tc>
        <w:tc>
          <w:tcPr>
            <w:tcW w:w="1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科目编码</w:t>
            </w:r>
          </w:p>
        </w:tc>
        <w:tc>
          <w:tcPr>
            <w:tcW w:w="17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科目名称</w:t>
            </w:r>
          </w:p>
        </w:tc>
        <w:tc>
          <w:tcPr>
            <w:tcW w:w="10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决算数</w:t>
            </w:r>
          </w:p>
        </w:tc>
        <w:tc>
          <w:tcPr>
            <w:tcW w:w="14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科目编码</w:t>
            </w:r>
          </w:p>
        </w:tc>
        <w:tc>
          <w:tcPr>
            <w:tcW w:w="21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科目名称</w:t>
            </w:r>
          </w:p>
        </w:tc>
        <w:tc>
          <w:tcPr>
            <w:tcW w:w="1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决算数</w:t>
            </w:r>
          </w:p>
        </w:tc>
      </w:tr>
      <w:tr>
        <w:tblPrEx>
          <w:tblCellMar>
            <w:top w:w="0" w:type="dxa"/>
            <w:left w:w="0" w:type="dxa"/>
            <w:bottom w:w="0" w:type="dxa"/>
            <w:right w:w="0" w:type="dxa"/>
          </w:tblCellMar>
        </w:tblPrEx>
        <w:trPr>
          <w:trHeight w:val="312" w:hRule="atLeast"/>
        </w:trPr>
        <w:tc>
          <w:tcPr>
            <w:tcW w:w="138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6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14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7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0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4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21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1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工资福利支出</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1,488.51</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商品和服务支出</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74.68</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307</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债务利息及费用支出</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30101</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基本工资</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856.20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30201</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办公费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31.40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30701</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国内债务付息</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30102</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津贴补贴</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12.97</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30202</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印刷费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30702</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国外债务付息</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30103</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奖金</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77.51</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30203</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咨询费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资本性支出</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30106</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伙食补助费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30204</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手续费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31001</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房屋建筑物购建</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30107</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绩效工资</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47.64</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30205</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水费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8.65</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31002</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办公设备购置</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30108</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机关事业单位基本养老保险缴费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245.50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30206</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电费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3.48</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31003</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专用设备购置</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30109</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职业年金缴费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45.52</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30207</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邮电费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31005</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基础设施建设</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30110</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职工基本医疗保险缴费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62.51</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30208</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取暖费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31006</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大型修缮</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30111</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公务员医疗补助缴费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30209</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物业管理费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31007</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信息网络及软件购置更新</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30112</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其他社会保障缴费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3.66</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30211</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差旅费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2.80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31008</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物资储备</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30113</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住房公积金</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88.60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30212</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因公出国（境）费用</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31009</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土地补偿</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30114</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医疗费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30213</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维修（护）费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31010</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安置补助</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30199</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其他工资福利支出</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48.40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30214</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租赁费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31011</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地上附着物和青苗补偿</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对个人和家庭的补助</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3.65</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30215</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会议费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31012</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拆迁补偿</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30301</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离休费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30216</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培训费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31013</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公务用车购置</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30302</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退休费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30217</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公务接待费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31019</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其他交通工具购置</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30303</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退职（役）费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30218</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专用材料费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31021</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文物和陈列品购置</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30304</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抚恤金</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3.65</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30224</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被装购置费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31022</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无形资产购置</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30305</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生活补助</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30225</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专用燃料费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31099</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其他资本性支出</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30306</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救济费</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30226</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劳务费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399</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其他支出</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30307</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医疗费补助</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30227</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委托业务费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39906</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赠与</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30308</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助学金</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30228</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工会经费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20.00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39907</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国家赔偿费用支出</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30309</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奖励金</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30229</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福利费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39908</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对民间非营利组织和群众性自治组织补贴</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30310</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个人农业生产补贴</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30231</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公务用车运行维护费</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39999</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其他支出</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30399</w:t>
            </w: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其他对个人和家庭的补助支出</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30239</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其他交通费用</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30240</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税金及附加费用</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r>
      <w:tr>
        <w:tblPrEx>
          <w:tblCellMar>
            <w:top w:w="0" w:type="dxa"/>
            <w:left w:w="0" w:type="dxa"/>
            <w:bottom w:w="0" w:type="dxa"/>
            <w:right w:w="0" w:type="dxa"/>
          </w:tblCellMar>
        </w:tblPrEx>
        <w:trPr>
          <w:trHeight w:val="308" w:hRule="atLeast"/>
        </w:trPr>
        <w:tc>
          <w:tcPr>
            <w:tcW w:w="13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16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c>
          <w:tcPr>
            <w:tcW w:w="14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30299</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 xml:space="preserve">  </w:t>
            </w:r>
            <w:r>
              <w:rPr>
                <w:rFonts w:hint="eastAsia" w:ascii="宋体" w:hAnsi="宋体" w:cs="宋体"/>
                <w:kern w:val="0"/>
                <w:sz w:val="22"/>
                <w:szCs w:val="22"/>
              </w:rPr>
              <w:t>其他商品和服务支出</w:t>
            </w:r>
          </w:p>
        </w:tc>
        <w:tc>
          <w:tcPr>
            <w:tcW w:w="10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3.86</w:t>
            </w:r>
          </w:p>
        </w:tc>
        <w:tc>
          <w:tcPr>
            <w:tcW w:w="14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cs="宋体"/>
                <w:sz w:val="22"/>
                <w:szCs w:val="22"/>
              </w:rPr>
            </w:pP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sz w:val="22"/>
                <w:szCs w:val="22"/>
              </w:rPr>
            </w:pPr>
          </w:p>
        </w:tc>
      </w:tr>
      <w:tr>
        <w:tblPrEx>
          <w:tblCellMar>
            <w:top w:w="0" w:type="dxa"/>
            <w:left w:w="0" w:type="dxa"/>
            <w:bottom w:w="0" w:type="dxa"/>
            <w:right w:w="0" w:type="dxa"/>
          </w:tblCellMar>
        </w:tblPrEx>
        <w:trPr>
          <w:trHeight w:val="308" w:hRule="atLeast"/>
        </w:trPr>
        <w:tc>
          <w:tcPr>
            <w:tcW w:w="29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人员经费合计</w:t>
            </w:r>
          </w:p>
        </w:tc>
        <w:tc>
          <w:tcPr>
            <w:tcW w:w="11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1,492.15</w:t>
            </w:r>
          </w:p>
        </w:tc>
        <w:tc>
          <w:tcPr>
            <w:tcW w:w="791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公用经费合计</w:t>
            </w:r>
          </w:p>
        </w:tc>
        <w:tc>
          <w:tcPr>
            <w:tcW w:w="14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74.68</w:t>
            </w:r>
          </w:p>
        </w:tc>
      </w:tr>
      <w:tr>
        <w:tblPrEx>
          <w:tblCellMar>
            <w:top w:w="0" w:type="dxa"/>
            <w:left w:w="0" w:type="dxa"/>
            <w:bottom w:w="0" w:type="dxa"/>
            <w:right w:w="0" w:type="dxa"/>
          </w:tblCellMar>
        </w:tblPrEx>
        <w:trPr>
          <w:trHeight w:val="308" w:hRule="atLeast"/>
        </w:trPr>
        <w:tc>
          <w:tcPr>
            <w:tcW w:w="13506"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kern w:val="0"/>
                <w:sz w:val="22"/>
                <w:szCs w:val="22"/>
              </w:rPr>
            </w:pPr>
            <w:r>
              <w:rPr>
                <w:rFonts w:hint="eastAsia" w:ascii="宋体" w:hAnsi="宋体" w:cs="宋体"/>
                <w:kern w:val="0"/>
                <w:sz w:val="22"/>
                <w:szCs w:val="22"/>
              </w:rPr>
              <w:t>注：本表反映部门本年度一般公共预算财政拨款基本支出明细情况。本表金额转换为万元时，因四舍五入可能存在尾差。</w:t>
            </w:r>
          </w:p>
          <w:p>
            <w:pPr>
              <w:widowControl/>
              <w:jc w:val="left"/>
              <w:textAlignment w:val="center"/>
              <w:rPr>
                <w:rFonts w:ascii="宋体" w:cs="宋体"/>
                <w:kern w:val="0"/>
                <w:sz w:val="22"/>
                <w:szCs w:val="22"/>
              </w:rPr>
            </w:pPr>
          </w:p>
          <w:p>
            <w:pPr>
              <w:widowControl/>
              <w:jc w:val="left"/>
              <w:textAlignment w:val="center"/>
              <w:rPr>
                <w:rFonts w:ascii="宋体" w:cs="宋体"/>
                <w:kern w:val="0"/>
                <w:sz w:val="22"/>
                <w:szCs w:val="22"/>
              </w:rPr>
            </w:pPr>
          </w:p>
          <w:p>
            <w:pPr>
              <w:widowControl/>
              <w:jc w:val="left"/>
              <w:textAlignment w:val="center"/>
              <w:rPr>
                <w:rFonts w:ascii="宋体" w:cs="宋体"/>
                <w:kern w:val="0"/>
                <w:sz w:val="22"/>
                <w:szCs w:val="22"/>
              </w:rPr>
            </w:pPr>
          </w:p>
          <w:p>
            <w:pPr>
              <w:widowControl/>
              <w:jc w:val="left"/>
              <w:textAlignment w:val="center"/>
              <w:rPr>
                <w:rFonts w:ascii="宋体" w:cs="宋体"/>
                <w:kern w:val="0"/>
                <w:sz w:val="22"/>
                <w:szCs w:val="22"/>
              </w:rPr>
            </w:pPr>
          </w:p>
        </w:tc>
      </w:tr>
    </w:tbl>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tbl>
      <w:tblPr>
        <w:tblStyle w:val="5"/>
        <w:tblpPr w:leftFromText="180" w:rightFromText="180" w:vertAnchor="text" w:horzAnchor="page" w:tblpX="1265" w:tblpY="-4299"/>
        <w:tblOverlap w:val="never"/>
        <w:tblW w:w="13755" w:type="dxa"/>
        <w:tblInd w:w="0" w:type="dxa"/>
        <w:tblLayout w:type="fixed"/>
        <w:tblCellMar>
          <w:top w:w="0" w:type="dxa"/>
          <w:left w:w="0" w:type="dxa"/>
          <w:bottom w:w="0" w:type="dxa"/>
          <w:right w:w="0" w:type="dxa"/>
        </w:tblCellMar>
      </w:tblPr>
      <w:tblGrid>
        <w:gridCol w:w="3230"/>
        <w:gridCol w:w="838"/>
        <w:gridCol w:w="802"/>
        <w:gridCol w:w="802"/>
        <w:gridCol w:w="833"/>
        <w:gridCol w:w="794"/>
        <w:gridCol w:w="779"/>
        <w:gridCol w:w="900"/>
        <w:gridCol w:w="763"/>
        <w:gridCol w:w="802"/>
        <w:gridCol w:w="834"/>
        <w:gridCol w:w="2378"/>
      </w:tblGrid>
      <w:tr>
        <w:tblPrEx>
          <w:tblCellMar>
            <w:top w:w="0" w:type="dxa"/>
            <w:left w:w="0" w:type="dxa"/>
            <w:bottom w:w="0" w:type="dxa"/>
            <w:right w:w="0" w:type="dxa"/>
          </w:tblCellMar>
        </w:tblPrEx>
        <w:trPr>
          <w:trHeight w:val="747" w:hRule="atLeast"/>
        </w:trPr>
        <w:tc>
          <w:tcPr>
            <w:tcW w:w="11377" w:type="dxa"/>
            <w:gridSpan w:val="11"/>
            <w:tcBorders>
              <w:top w:val="nil"/>
              <w:left w:val="nil"/>
              <w:bottom w:val="nil"/>
              <w:right w:val="nil"/>
            </w:tcBorders>
            <w:noWrap/>
            <w:tcMar>
              <w:top w:w="15" w:type="dxa"/>
              <w:left w:w="15" w:type="dxa"/>
              <w:right w:w="15" w:type="dxa"/>
            </w:tcMar>
            <w:vAlign w:val="bottom"/>
          </w:tcPr>
          <w:p>
            <w:pPr>
              <w:jc w:val="center"/>
              <w:rPr>
                <w:rFonts w:ascii="Arial" w:hAnsi="Arial"/>
                <w:sz w:val="36"/>
                <w:szCs w:val="36"/>
              </w:rPr>
            </w:pPr>
          </w:p>
          <w:p>
            <w:pPr>
              <w:jc w:val="center"/>
              <w:rPr>
                <w:rFonts w:ascii="Arial" w:hAnsi="Arial"/>
                <w:sz w:val="36"/>
                <w:szCs w:val="36"/>
              </w:rPr>
            </w:pPr>
          </w:p>
          <w:p>
            <w:pPr>
              <w:jc w:val="center"/>
              <w:rPr>
                <w:rFonts w:ascii="Arial" w:hAnsi="Arial"/>
                <w:sz w:val="36"/>
                <w:szCs w:val="36"/>
              </w:rPr>
            </w:pPr>
          </w:p>
          <w:p>
            <w:pPr>
              <w:jc w:val="center"/>
              <w:rPr>
                <w:rFonts w:ascii="Arial" w:hAnsi="Arial"/>
                <w:sz w:val="36"/>
                <w:szCs w:val="36"/>
              </w:rPr>
            </w:pPr>
          </w:p>
          <w:p>
            <w:pPr>
              <w:jc w:val="center"/>
              <w:rPr>
                <w:rFonts w:ascii="Arial" w:hAnsi="Arial"/>
                <w:sz w:val="20"/>
                <w:szCs w:val="20"/>
              </w:rPr>
            </w:pPr>
            <w:r>
              <w:rPr>
                <w:rFonts w:hint="eastAsia" w:ascii="Arial" w:hAnsi="Arial"/>
                <w:sz w:val="36"/>
                <w:szCs w:val="36"/>
              </w:rPr>
              <w:t>一般公共预算财政拨款“三公”经费支出决算表</w:t>
            </w:r>
          </w:p>
        </w:tc>
        <w:tc>
          <w:tcPr>
            <w:tcW w:w="2378"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公开</w:t>
            </w:r>
            <w:r>
              <w:rPr>
                <w:rFonts w:ascii="宋体" w:hAnsi="宋体" w:cs="宋体"/>
                <w:kern w:val="0"/>
                <w:sz w:val="20"/>
                <w:szCs w:val="20"/>
              </w:rPr>
              <w:t>07</w:t>
            </w:r>
            <w:r>
              <w:rPr>
                <w:rFonts w:hint="eastAsia" w:ascii="宋体" w:hAnsi="宋体" w:cs="宋体"/>
                <w:kern w:val="0"/>
                <w:sz w:val="20"/>
                <w:szCs w:val="20"/>
              </w:rPr>
              <w:t>表</w:t>
            </w:r>
          </w:p>
        </w:tc>
      </w:tr>
      <w:tr>
        <w:tblPrEx>
          <w:tblCellMar>
            <w:top w:w="0" w:type="dxa"/>
            <w:left w:w="0" w:type="dxa"/>
            <w:bottom w:w="0" w:type="dxa"/>
            <w:right w:w="0" w:type="dxa"/>
          </w:tblCellMar>
        </w:tblPrEx>
        <w:trPr>
          <w:trHeight w:val="255" w:hRule="atLeast"/>
        </w:trPr>
        <w:tc>
          <w:tcPr>
            <w:tcW w:w="323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sz w:val="20"/>
                <w:szCs w:val="20"/>
              </w:rPr>
            </w:pPr>
            <w:r>
              <w:rPr>
                <w:rFonts w:hint="eastAsia" w:ascii="宋体" w:hAnsi="宋体" w:cs="宋体"/>
                <w:kern w:val="0"/>
                <w:sz w:val="20"/>
                <w:szCs w:val="20"/>
              </w:rPr>
              <w:t>部门：信阳市浉河区市政管理局</w:t>
            </w:r>
          </w:p>
        </w:tc>
        <w:tc>
          <w:tcPr>
            <w:tcW w:w="838"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802"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802"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833"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79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779"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900"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763"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802"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834" w:type="dxa"/>
            <w:tcBorders>
              <w:top w:val="nil"/>
              <w:left w:val="nil"/>
              <w:bottom w:val="nil"/>
              <w:right w:val="nil"/>
            </w:tcBorders>
            <w:noWrap/>
            <w:tcMar>
              <w:top w:w="15" w:type="dxa"/>
              <w:left w:w="15" w:type="dxa"/>
              <w:right w:w="15" w:type="dxa"/>
            </w:tcMar>
            <w:vAlign w:val="bottom"/>
          </w:tcPr>
          <w:p>
            <w:pPr>
              <w:rPr>
                <w:rFonts w:ascii="Arial" w:hAnsi="Arial"/>
                <w:sz w:val="20"/>
                <w:szCs w:val="20"/>
              </w:rPr>
            </w:pPr>
          </w:p>
        </w:tc>
        <w:tc>
          <w:tcPr>
            <w:tcW w:w="2378"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308" w:hRule="atLeast"/>
        </w:trPr>
        <w:tc>
          <w:tcPr>
            <w:tcW w:w="7299"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预算数</w:t>
            </w:r>
          </w:p>
        </w:tc>
        <w:tc>
          <w:tcPr>
            <w:tcW w:w="6456"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决算数</w:t>
            </w:r>
          </w:p>
        </w:tc>
      </w:tr>
      <w:tr>
        <w:tblPrEx>
          <w:tblCellMar>
            <w:top w:w="0" w:type="dxa"/>
            <w:left w:w="0" w:type="dxa"/>
            <w:bottom w:w="0" w:type="dxa"/>
            <w:right w:w="0" w:type="dxa"/>
          </w:tblCellMar>
        </w:tblPrEx>
        <w:trPr>
          <w:trHeight w:val="308" w:hRule="atLeast"/>
        </w:trPr>
        <w:tc>
          <w:tcPr>
            <w:tcW w:w="32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合计</w:t>
            </w:r>
          </w:p>
        </w:tc>
        <w:tc>
          <w:tcPr>
            <w:tcW w:w="83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因公出国（境）费</w:t>
            </w:r>
          </w:p>
        </w:tc>
        <w:tc>
          <w:tcPr>
            <w:tcW w:w="2437"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公务用车购置及运行费</w:t>
            </w:r>
          </w:p>
        </w:tc>
        <w:tc>
          <w:tcPr>
            <w:tcW w:w="7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公务接待费</w:t>
            </w:r>
          </w:p>
        </w:tc>
        <w:tc>
          <w:tcPr>
            <w:tcW w:w="7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合计</w:t>
            </w:r>
          </w:p>
        </w:tc>
        <w:tc>
          <w:tcPr>
            <w:tcW w:w="9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因公出国（境）费</w:t>
            </w:r>
          </w:p>
        </w:tc>
        <w:tc>
          <w:tcPr>
            <w:tcW w:w="2399"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公务用车购置及运行费</w:t>
            </w:r>
          </w:p>
        </w:tc>
        <w:tc>
          <w:tcPr>
            <w:tcW w:w="237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公务接待费</w:t>
            </w:r>
          </w:p>
        </w:tc>
      </w:tr>
      <w:tr>
        <w:tblPrEx>
          <w:tblCellMar>
            <w:top w:w="0" w:type="dxa"/>
            <w:left w:w="0" w:type="dxa"/>
            <w:bottom w:w="0" w:type="dxa"/>
            <w:right w:w="0" w:type="dxa"/>
          </w:tblCellMar>
        </w:tblPrEx>
        <w:trPr>
          <w:trHeight w:val="615" w:hRule="atLeast"/>
        </w:trPr>
        <w:tc>
          <w:tcPr>
            <w:tcW w:w="32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83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8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小计</w:t>
            </w:r>
          </w:p>
        </w:tc>
        <w:tc>
          <w:tcPr>
            <w:tcW w:w="8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公务用车购置费</w:t>
            </w:r>
          </w:p>
        </w:tc>
        <w:tc>
          <w:tcPr>
            <w:tcW w:w="83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公务用车运行费</w:t>
            </w:r>
          </w:p>
        </w:tc>
        <w:tc>
          <w:tcPr>
            <w:tcW w:w="7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7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9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c>
          <w:tcPr>
            <w:tcW w:w="76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小计</w:t>
            </w:r>
          </w:p>
        </w:tc>
        <w:tc>
          <w:tcPr>
            <w:tcW w:w="8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公务用车购置费</w:t>
            </w:r>
          </w:p>
        </w:tc>
        <w:tc>
          <w:tcPr>
            <w:tcW w:w="83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公务用车运行费</w:t>
            </w:r>
          </w:p>
        </w:tc>
        <w:tc>
          <w:tcPr>
            <w:tcW w:w="237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308" w:hRule="atLeast"/>
        </w:trPr>
        <w:tc>
          <w:tcPr>
            <w:tcW w:w="3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83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c>
          <w:tcPr>
            <w:tcW w:w="8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w:t>
            </w:r>
          </w:p>
        </w:tc>
        <w:tc>
          <w:tcPr>
            <w:tcW w:w="8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w:t>
            </w:r>
          </w:p>
        </w:tc>
        <w:tc>
          <w:tcPr>
            <w:tcW w:w="83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w:t>
            </w:r>
          </w:p>
        </w:tc>
        <w:tc>
          <w:tcPr>
            <w:tcW w:w="7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w:t>
            </w:r>
          </w:p>
        </w:tc>
        <w:tc>
          <w:tcPr>
            <w:tcW w:w="77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7</w:t>
            </w:r>
          </w:p>
        </w:tc>
        <w:tc>
          <w:tcPr>
            <w:tcW w:w="9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8</w:t>
            </w:r>
          </w:p>
        </w:tc>
        <w:tc>
          <w:tcPr>
            <w:tcW w:w="76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9</w:t>
            </w:r>
          </w:p>
        </w:tc>
        <w:tc>
          <w:tcPr>
            <w:tcW w:w="8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10</w:t>
            </w:r>
          </w:p>
        </w:tc>
        <w:tc>
          <w:tcPr>
            <w:tcW w:w="83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11</w:t>
            </w:r>
          </w:p>
        </w:tc>
        <w:tc>
          <w:tcPr>
            <w:tcW w:w="237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12</w:t>
            </w:r>
          </w:p>
        </w:tc>
      </w:tr>
      <w:tr>
        <w:tblPrEx>
          <w:tblCellMar>
            <w:top w:w="0" w:type="dxa"/>
            <w:left w:w="0" w:type="dxa"/>
            <w:bottom w:w="0" w:type="dxa"/>
            <w:right w:w="0" w:type="dxa"/>
          </w:tblCellMar>
        </w:tblPrEx>
        <w:trPr>
          <w:trHeight w:val="308" w:hRule="atLeast"/>
        </w:trPr>
        <w:tc>
          <w:tcPr>
            <w:tcW w:w="32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8.50</w:t>
            </w: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3.50</w:t>
            </w:r>
          </w:p>
        </w:tc>
        <w:tc>
          <w:tcPr>
            <w:tcW w:w="8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3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3.50</w:t>
            </w:r>
          </w:p>
        </w:tc>
        <w:tc>
          <w:tcPr>
            <w:tcW w:w="7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5.00</w:t>
            </w:r>
          </w:p>
        </w:tc>
        <w:tc>
          <w:tcPr>
            <w:tcW w:w="77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3.50</w:t>
            </w:r>
          </w:p>
        </w:tc>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76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3.50</w:t>
            </w:r>
          </w:p>
        </w:tc>
        <w:tc>
          <w:tcPr>
            <w:tcW w:w="8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c>
          <w:tcPr>
            <w:tcW w:w="8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hAnsi="宋体" w:cs="宋体"/>
                <w:kern w:val="0"/>
                <w:sz w:val="22"/>
                <w:szCs w:val="22"/>
              </w:rPr>
              <w:t>3.50</w:t>
            </w:r>
          </w:p>
        </w:tc>
        <w:tc>
          <w:tcPr>
            <w:tcW w:w="237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cs="宋体"/>
                <w:sz w:val="22"/>
                <w:szCs w:val="22"/>
              </w:rPr>
            </w:pPr>
            <w:r>
              <w:rPr>
                <w:rFonts w:ascii="宋体" w:cs="宋体"/>
                <w:kern w:val="0"/>
                <w:sz w:val="22"/>
                <w:szCs w:val="22"/>
              </w:rPr>
              <w:t>0.00</w:t>
            </w:r>
          </w:p>
        </w:tc>
      </w:tr>
      <w:tr>
        <w:tblPrEx>
          <w:tblCellMar>
            <w:top w:w="0" w:type="dxa"/>
            <w:left w:w="0" w:type="dxa"/>
            <w:bottom w:w="0" w:type="dxa"/>
            <w:right w:w="0" w:type="dxa"/>
          </w:tblCellMar>
        </w:tblPrEx>
        <w:trPr>
          <w:trHeight w:val="615" w:hRule="atLeast"/>
        </w:trPr>
        <w:tc>
          <w:tcPr>
            <w:tcW w:w="13755" w:type="dxa"/>
            <w:gridSpan w:val="12"/>
            <w:tcBorders>
              <w:top w:val="nil"/>
              <w:left w:val="nil"/>
              <w:bottom w:val="nil"/>
              <w:right w:val="nil"/>
            </w:tcBorders>
            <w:tcMar>
              <w:top w:w="15" w:type="dxa"/>
              <w:left w:w="15" w:type="dxa"/>
              <w:right w:w="15" w:type="dxa"/>
            </w:tcMar>
            <w:vAlign w:val="center"/>
          </w:tcPr>
          <w:p>
            <w:pPr>
              <w:widowControl/>
              <w:jc w:val="left"/>
              <w:textAlignment w:val="center"/>
              <w:rPr>
                <w:rFonts w:ascii="宋体" w:cs="宋体"/>
                <w:sz w:val="22"/>
                <w:szCs w:val="22"/>
              </w:rPr>
            </w:pPr>
            <w:r>
              <w:rPr>
                <w:rFonts w:hint="eastAsia" w:ascii="宋体" w:hAnsi="宋体" w:cs="宋体"/>
                <w:kern w:val="0"/>
                <w:sz w:val="22"/>
                <w:szCs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rPr>
          <w:rFonts w:ascii="隶书" w:eastAsia="隶书" w:cs="隶书"/>
          <w:sz w:val="32"/>
          <w:szCs w:val="32"/>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44"/>
          <w:szCs w:val="44"/>
        </w:rPr>
      </w:pPr>
    </w:p>
    <w:p>
      <w:pPr>
        <w:rPr>
          <w:rFonts w:ascii="隶书" w:eastAsia="隶书" w:cs="隶书"/>
          <w:sz w:val="32"/>
          <w:szCs w:val="32"/>
        </w:rPr>
      </w:pPr>
    </w:p>
    <w:tbl>
      <w:tblPr>
        <w:tblStyle w:val="5"/>
        <w:tblW w:w="14250" w:type="dxa"/>
        <w:tblInd w:w="78" w:type="dxa"/>
        <w:tblLayout w:type="fixed"/>
        <w:tblCellMar>
          <w:top w:w="0" w:type="dxa"/>
          <w:left w:w="108" w:type="dxa"/>
          <w:bottom w:w="0" w:type="dxa"/>
          <w:right w:w="108" w:type="dxa"/>
        </w:tblCellMar>
      </w:tblPr>
      <w:tblGrid>
        <w:gridCol w:w="1206"/>
        <w:gridCol w:w="999"/>
        <w:gridCol w:w="1290"/>
        <w:gridCol w:w="1185"/>
        <w:gridCol w:w="1125"/>
        <w:gridCol w:w="1290"/>
        <w:gridCol w:w="1251"/>
        <w:gridCol w:w="870"/>
        <w:gridCol w:w="1125"/>
        <w:gridCol w:w="1164"/>
        <w:gridCol w:w="546"/>
        <w:gridCol w:w="1119"/>
        <w:gridCol w:w="1080"/>
      </w:tblGrid>
      <w:tr>
        <w:tblPrEx>
          <w:tblCellMar>
            <w:top w:w="0" w:type="dxa"/>
            <w:left w:w="108" w:type="dxa"/>
            <w:bottom w:w="0" w:type="dxa"/>
            <w:right w:w="108" w:type="dxa"/>
          </w:tblCellMar>
        </w:tblPrEx>
        <w:trPr>
          <w:trHeight w:val="255" w:hRule="atLeast"/>
        </w:trPr>
        <w:tc>
          <w:tcPr>
            <w:tcW w:w="13170" w:type="dxa"/>
            <w:gridSpan w:val="12"/>
            <w:tcBorders>
              <w:top w:val="nil"/>
              <w:left w:val="nil"/>
              <w:bottom w:val="nil"/>
              <w:right w:val="nil"/>
            </w:tcBorders>
          </w:tcPr>
          <w:p>
            <w:pPr>
              <w:jc w:val="center"/>
              <w:rPr>
                <w:rFonts w:ascii="Arial" w:hAnsi="Arial"/>
                <w:sz w:val="44"/>
                <w:szCs w:val="44"/>
              </w:rPr>
            </w:pPr>
            <w:r>
              <w:rPr>
                <w:rFonts w:hint="eastAsia" w:ascii="Arial" w:hAnsi="Arial"/>
                <w:sz w:val="44"/>
                <w:szCs w:val="44"/>
              </w:rPr>
              <w:t>政府性基金预算财政拨款收入支出决算批复表</w:t>
            </w:r>
          </w:p>
          <w:p>
            <w:pPr>
              <w:jc w:val="both"/>
            </w:pPr>
            <w:r>
              <w:rPr>
                <w:rFonts w:hint="eastAsia" w:ascii="宋体" w:hAnsi="宋体" w:cs="宋体"/>
                <w:kern w:val="0"/>
                <w:sz w:val="20"/>
                <w:szCs w:val="20"/>
              </w:rPr>
              <w:t>部门：信阳市浉河区市政管理局</w:t>
            </w:r>
          </w:p>
        </w:tc>
        <w:tc>
          <w:tcPr>
            <w:tcW w:w="1080" w:type="dxa"/>
            <w:tcBorders>
              <w:top w:val="nil"/>
              <w:left w:val="nil"/>
              <w:bottom w:val="nil"/>
              <w:right w:val="nil"/>
            </w:tcBorders>
          </w:tcPr>
          <w:p>
            <w:pPr>
              <w:jc w:val="right"/>
              <w:rPr>
                <w:rFonts w:hint="eastAsia" w:ascii="宋体" w:hAnsi="宋体"/>
                <w:sz w:val="20"/>
              </w:rPr>
            </w:pPr>
            <w:r>
              <w:rPr>
                <w:rFonts w:hint="eastAsia" w:ascii="宋体" w:hAnsi="宋体" w:cs="宋体"/>
                <w:kern w:val="0"/>
                <w:sz w:val="20"/>
                <w:szCs w:val="20"/>
              </w:rPr>
              <w:t>公开</w:t>
            </w:r>
            <w:r>
              <w:rPr>
                <w:rFonts w:ascii="宋体" w:hAnsi="宋体" w:cs="宋体"/>
                <w:kern w:val="0"/>
                <w:sz w:val="20"/>
                <w:szCs w:val="20"/>
              </w:rPr>
              <w:t>0</w:t>
            </w:r>
            <w:r>
              <w:rPr>
                <w:rFonts w:hint="eastAsia" w:ascii="宋体" w:hAnsi="宋体" w:cs="宋体"/>
                <w:kern w:val="0"/>
                <w:sz w:val="20"/>
                <w:szCs w:val="20"/>
                <w:lang w:val="en-US" w:eastAsia="zh-CN"/>
              </w:rPr>
              <w:t>8</w:t>
            </w:r>
            <w:bookmarkStart w:id="0" w:name="_GoBack"/>
            <w:bookmarkEnd w:id="0"/>
            <w:r>
              <w:rPr>
                <w:rFonts w:hint="eastAsia" w:ascii="宋体" w:hAnsi="宋体" w:cs="宋体"/>
                <w:kern w:val="0"/>
                <w:sz w:val="20"/>
                <w:szCs w:val="20"/>
              </w:rPr>
              <w:t>表</w:t>
            </w:r>
          </w:p>
          <w:p>
            <w:pPr>
              <w:jc w:val="right"/>
              <w:rPr>
                <w:rFonts w:ascii="宋体"/>
                <w:sz w:val="20"/>
              </w:rPr>
            </w:pPr>
            <w:r>
              <w:rPr>
                <w:rFonts w:hint="eastAsia" w:ascii="宋体" w:hAnsi="宋体"/>
                <w:sz w:val="20"/>
              </w:rPr>
              <w:t>金额单位：元</w:t>
            </w:r>
          </w:p>
        </w:tc>
      </w:tr>
      <w:tr>
        <w:tblPrEx>
          <w:tblCellMar>
            <w:top w:w="0" w:type="dxa"/>
            <w:left w:w="108" w:type="dxa"/>
            <w:bottom w:w="0" w:type="dxa"/>
            <w:right w:w="108" w:type="dxa"/>
          </w:tblCellMar>
        </w:tblPrEx>
        <w:trPr>
          <w:trHeight w:val="308" w:hRule="atLeast"/>
        </w:trPr>
        <w:tc>
          <w:tcPr>
            <w:tcW w:w="1206"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r>
              <w:rPr>
                <w:rFonts w:hint="eastAsia" w:ascii="宋体" w:hAnsi="宋体"/>
                <w:sz w:val="22"/>
              </w:rPr>
              <w:t>年初结转和结余</w:t>
            </w:r>
          </w:p>
        </w:tc>
        <w:tc>
          <w:tcPr>
            <w:tcW w:w="999"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p>
        </w:tc>
        <w:tc>
          <w:tcPr>
            <w:tcW w:w="1290"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p>
        </w:tc>
        <w:tc>
          <w:tcPr>
            <w:tcW w:w="1185"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r>
              <w:rPr>
                <w:rFonts w:hint="eastAsia" w:ascii="宋体" w:hAnsi="宋体"/>
                <w:sz w:val="22"/>
              </w:rPr>
              <w:t>本年收入</w:t>
            </w:r>
          </w:p>
        </w:tc>
        <w:tc>
          <w:tcPr>
            <w:tcW w:w="1125"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p>
        </w:tc>
        <w:tc>
          <w:tcPr>
            <w:tcW w:w="1290"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p>
        </w:tc>
        <w:tc>
          <w:tcPr>
            <w:tcW w:w="1251"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r>
              <w:rPr>
                <w:rFonts w:hint="eastAsia" w:ascii="宋体" w:hAnsi="宋体"/>
                <w:sz w:val="22"/>
              </w:rPr>
              <w:t>本年支出</w:t>
            </w:r>
          </w:p>
        </w:tc>
        <w:tc>
          <w:tcPr>
            <w:tcW w:w="870"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p>
        </w:tc>
        <w:tc>
          <w:tcPr>
            <w:tcW w:w="1125"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p>
        </w:tc>
        <w:tc>
          <w:tcPr>
            <w:tcW w:w="1164"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r>
              <w:rPr>
                <w:rFonts w:hint="eastAsia" w:ascii="宋体" w:hAnsi="宋体"/>
                <w:sz w:val="22"/>
              </w:rPr>
              <w:t>年末结转和结余</w:t>
            </w:r>
          </w:p>
        </w:tc>
        <w:tc>
          <w:tcPr>
            <w:tcW w:w="546"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p>
        </w:tc>
        <w:tc>
          <w:tcPr>
            <w:tcW w:w="1119"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p>
        </w:tc>
        <w:tc>
          <w:tcPr>
            <w:tcW w:w="1080" w:type="dxa"/>
            <w:tcBorders>
              <w:top w:val="single" w:color="000000" w:sz="6" w:space="0"/>
              <w:left w:val="nil"/>
              <w:bottom w:val="single" w:color="000000" w:sz="6" w:space="0"/>
              <w:right w:val="single" w:color="000000" w:sz="6" w:space="0"/>
            </w:tcBorders>
            <w:shd w:val="solid" w:color="C0C0C0" w:fill="FFFFFF"/>
          </w:tcPr>
          <w:p>
            <w:pPr>
              <w:jc w:val="center"/>
              <w:rPr>
                <w:rFonts w:ascii="宋体"/>
                <w:sz w:val="22"/>
              </w:rPr>
            </w:pPr>
          </w:p>
        </w:tc>
      </w:tr>
      <w:tr>
        <w:tblPrEx>
          <w:tblCellMar>
            <w:top w:w="0" w:type="dxa"/>
            <w:left w:w="108" w:type="dxa"/>
            <w:bottom w:w="0" w:type="dxa"/>
            <w:right w:w="108" w:type="dxa"/>
          </w:tblCellMar>
        </w:tblPrEx>
        <w:trPr>
          <w:trHeight w:val="1092" w:hRule="atLeast"/>
        </w:trPr>
        <w:tc>
          <w:tcPr>
            <w:tcW w:w="1206"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999"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290"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hint="eastAsia" w:ascii="宋体" w:hAnsi="宋体"/>
                <w:sz w:val="22"/>
              </w:rPr>
              <w:t>小计</w:t>
            </w:r>
          </w:p>
        </w:tc>
        <w:tc>
          <w:tcPr>
            <w:tcW w:w="1185"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25"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290"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hint="eastAsia" w:ascii="宋体" w:hAnsi="宋体"/>
                <w:sz w:val="22"/>
              </w:rPr>
              <w:t>小计</w:t>
            </w:r>
          </w:p>
        </w:tc>
        <w:tc>
          <w:tcPr>
            <w:tcW w:w="1251"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870"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hint="eastAsia" w:ascii="宋体" w:hAnsi="宋体"/>
                <w:sz w:val="22"/>
              </w:rPr>
              <w:t>小计</w:t>
            </w:r>
          </w:p>
        </w:tc>
        <w:tc>
          <w:tcPr>
            <w:tcW w:w="1125"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hint="eastAsia" w:ascii="宋体" w:hAnsi="宋体"/>
                <w:sz w:val="22"/>
              </w:rPr>
              <w:t>小计</w:t>
            </w:r>
          </w:p>
        </w:tc>
        <w:tc>
          <w:tcPr>
            <w:tcW w:w="1164"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546"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19"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hint="eastAsia" w:ascii="宋体" w:hAnsi="宋体"/>
                <w:sz w:val="22"/>
              </w:rPr>
              <w:t>项目支出结转</w:t>
            </w:r>
          </w:p>
        </w:tc>
        <w:tc>
          <w:tcPr>
            <w:tcW w:w="1080"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hint="eastAsia" w:ascii="宋体" w:hAnsi="宋体"/>
                <w:sz w:val="22"/>
              </w:rPr>
              <w:t>项目支出结余</w:t>
            </w:r>
          </w:p>
        </w:tc>
      </w:tr>
      <w:tr>
        <w:tblPrEx>
          <w:tblCellMar>
            <w:top w:w="0" w:type="dxa"/>
            <w:left w:w="108" w:type="dxa"/>
            <w:bottom w:w="0" w:type="dxa"/>
            <w:right w:w="108" w:type="dxa"/>
          </w:tblCellMar>
        </w:tblPrEx>
        <w:trPr>
          <w:trHeight w:val="90" w:hRule="atLeast"/>
        </w:trPr>
        <w:tc>
          <w:tcPr>
            <w:tcW w:w="1206"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999"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290"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85"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25"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290"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251"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870"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25"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64"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546"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19"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080" w:type="dxa"/>
            <w:tcBorders>
              <w:top w:val="nil"/>
              <w:left w:val="nil"/>
              <w:bottom w:val="single" w:color="000000" w:sz="6" w:space="0"/>
              <w:right w:val="single" w:color="000000" w:sz="6" w:space="0"/>
            </w:tcBorders>
            <w:shd w:val="solid" w:color="C0C0C0" w:fill="FFFFFF"/>
          </w:tcPr>
          <w:p>
            <w:pPr>
              <w:jc w:val="center"/>
              <w:rPr>
                <w:rFonts w:ascii="宋体"/>
                <w:sz w:val="22"/>
              </w:rPr>
            </w:pPr>
          </w:p>
        </w:tc>
      </w:tr>
      <w:tr>
        <w:tblPrEx>
          <w:tblCellMar>
            <w:top w:w="0" w:type="dxa"/>
            <w:left w:w="108" w:type="dxa"/>
            <w:bottom w:w="0" w:type="dxa"/>
            <w:right w:w="108" w:type="dxa"/>
          </w:tblCellMar>
        </w:tblPrEx>
        <w:trPr>
          <w:trHeight w:val="308" w:hRule="atLeast"/>
        </w:trPr>
        <w:tc>
          <w:tcPr>
            <w:tcW w:w="1206"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1</w:t>
            </w:r>
          </w:p>
        </w:tc>
        <w:tc>
          <w:tcPr>
            <w:tcW w:w="999"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2</w:t>
            </w:r>
          </w:p>
        </w:tc>
        <w:tc>
          <w:tcPr>
            <w:tcW w:w="1290"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3</w:t>
            </w:r>
          </w:p>
        </w:tc>
        <w:tc>
          <w:tcPr>
            <w:tcW w:w="1185"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4</w:t>
            </w:r>
          </w:p>
        </w:tc>
        <w:tc>
          <w:tcPr>
            <w:tcW w:w="1125"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5</w:t>
            </w:r>
          </w:p>
        </w:tc>
        <w:tc>
          <w:tcPr>
            <w:tcW w:w="1290"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6</w:t>
            </w:r>
          </w:p>
        </w:tc>
        <w:tc>
          <w:tcPr>
            <w:tcW w:w="1251"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7</w:t>
            </w:r>
          </w:p>
        </w:tc>
        <w:tc>
          <w:tcPr>
            <w:tcW w:w="870"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8</w:t>
            </w:r>
          </w:p>
        </w:tc>
        <w:tc>
          <w:tcPr>
            <w:tcW w:w="1125"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9</w:t>
            </w:r>
          </w:p>
        </w:tc>
        <w:tc>
          <w:tcPr>
            <w:tcW w:w="1164"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10</w:t>
            </w:r>
          </w:p>
        </w:tc>
        <w:tc>
          <w:tcPr>
            <w:tcW w:w="546"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11</w:t>
            </w:r>
          </w:p>
        </w:tc>
        <w:tc>
          <w:tcPr>
            <w:tcW w:w="1119"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12</w:t>
            </w:r>
          </w:p>
        </w:tc>
        <w:tc>
          <w:tcPr>
            <w:tcW w:w="1080" w:type="dxa"/>
            <w:tcBorders>
              <w:top w:val="nil"/>
              <w:left w:val="nil"/>
              <w:bottom w:val="single" w:color="000000" w:sz="6" w:space="0"/>
              <w:right w:val="single" w:color="000000" w:sz="6" w:space="0"/>
            </w:tcBorders>
            <w:shd w:val="solid" w:color="C0C0C0" w:fill="FFFFFF"/>
          </w:tcPr>
          <w:p>
            <w:pPr>
              <w:jc w:val="center"/>
              <w:rPr>
                <w:rFonts w:ascii="宋体"/>
                <w:sz w:val="22"/>
              </w:rPr>
            </w:pPr>
            <w:r>
              <w:rPr>
                <w:rFonts w:ascii="宋体" w:hAnsi="宋体"/>
                <w:sz w:val="22"/>
              </w:rPr>
              <w:t>13</w:t>
            </w:r>
          </w:p>
        </w:tc>
      </w:tr>
      <w:tr>
        <w:tblPrEx>
          <w:tblCellMar>
            <w:top w:w="0" w:type="dxa"/>
            <w:left w:w="108" w:type="dxa"/>
            <w:bottom w:w="0" w:type="dxa"/>
            <w:right w:w="108" w:type="dxa"/>
          </w:tblCellMar>
        </w:tblPrEx>
        <w:trPr>
          <w:trHeight w:val="308" w:hRule="atLeast"/>
        </w:trPr>
        <w:tc>
          <w:tcPr>
            <w:tcW w:w="1206"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999"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290"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85"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25"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290"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251"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870"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25"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64"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546"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119" w:type="dxa"/>
            <w:tcBorders>
              <w:top w:val="nil"/>
              <w:left w:val="nil"/>
              <w:bottom w:val="single" w:color="000000" w:sz="6" w:space="0"/>
              <w:right w:val="single" w:color="000000" w:sz="6" w:space="0"/>
            </w:tcBorders>
            <w:shd w:val="solid" w:color="C0C0C0" w:fill="FFFFFF"/>
          </w:tcPr>
          <w:p>
            <w:pPr>
              <w:jc w:val="center"/>
              <w:rPr>
                <w:rFonts w:ascii="宋体"/>
                <w:sz w:val="22"/>
              </w:rPr>
            </w:pPr>
          </w:p>
        </w:tc>
        <w:tc>
          <w:tcPr>
            <w:tcW w:w="1080" w:type="dxa"/>
            <w:tcBorders>
              <w:top w:val="nil"/>
              <w:left w:val="nil"/>
              <w:bottom w:val="single" w:color="000000" w:sz="6" w:space="0"/>
              <w:right w:val="single" w:color="000000" w:sz="6" w:space="0"/>
            </w:tcBorders>
            <w:shd w:val="solid" w:color="C0C0C0" w:fill="FFFFFF"/>
          </w:tcPr>
          <w:p>
            <w:pPr>
              <w:jc w:val="center"/>
              <w:rPr>
                <w:rFonts w:ascii="宋体"/>
                <w:sz w:val="22"/>
              </w:rPr>
            </w:pPr>
          </w:p>
        </w:tc>
      </w:tr>
      <w:tr>
        <w:tblPrEx>
          <w:tblCellMar>
            <w:top w:w="0" w:type="dxa"/>
            <w:left w:w="108" w:type="dxa"/>
            <w:bottom w:w="0" w:type="dxa"/>
            <w:right w:w="108" w:type="dxa"/>
          </w:tblCellMar>
        </w:tblPrEx>
        <w:trPr>
          <w:trHeight w:val="308" w:hRule="atLeast"/>
        </w:trPr>
        <w:tc>
          <w:tcPr>
            <w:tcW w:w="1206"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999"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1290"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1185"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1125"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1290"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1251"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870"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1125"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1164"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546"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1119"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c>
          <w:tcPr>
            <w:tcW w:w="1080" w:type="dxa"/>
            <w:tcBorders>
              <w:top w:val="nil"/>
              <w:left w:val="nil"/>
              <w:bottom w:val="single" w:color="000000" w:sz="6" w:space="0"/>
              <w:right w:val="single" w:color="000000" w:sz="6" w:space="0"/>
            </w:tcBorders>
          </w:tcPr>
          <w:p>
            <w:pPr>
              <w:jc w:val="right"/>
              <w:rPr>
                <w:rFonts w:ascii="宋体"/>
                <w:b/>
                <w:sz w:val="22"/>
              </w:rPr>
            </w:pPr>
            <w:r>
              <w:rPr>
                <w:rFonts w:ascii="宋体"/>
                <w:b/>
                <w:sz w:val="22"/>
              </w:rPr>
              <w:t>0</w:t>
            </w:r>
          </w:p>
        </w:tc>
      </w:tr>
      <w:tr>
        <w:tblPrEx>
          <w:tblCellMar>
            <w:top w:w="0" w:type="dxa"/>
            <w:left w:w="108" w:type="dxa"/>
            <w:bottom w:w="0" w:type="dxa"/>
            <w:right w:w="108" w:type="dxa"/>
          </w:tblCellMar>
        </w:tblPrEx>
        <w:trPr>
          <w:trHeight w:val="308" w:hRule="atLeast"/>
        </w:trPr>
        <w:tc>
          <w:tcPr>
            <w:tcW w:w="1206" w:type="dxa"/>
            <w:tcBorders>
              <w:top w:val="nil"/>
              <w:left w:val="nil"/>
              <w:bottom w:val="single" w:color="000000" w:sz="6" w:space="0"/>
              <w:right w:val="single" w:color="000000" w:sz="6" w:space="0"/>
            </w:tcBorders>
          </w:tcPr>
          <w:p>
            <w:pPr>
              <w:jc w:val="right"/>
              <w:rPr>
                <w:rFonts w:ascii="宋体"/>
                <w:sz w:val="22"/>
              </w:rPr>
            </w:pPr>
          </w:p>
        </w:tc>
        <w:tc>
          <w:tcPr>
            <w:tcW w:w="999"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185"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251" w:type="dxa"/>
            <w:tcBorders>
              <w:top w:val="nil"/>
              <w:left w:val="nil"/>
              <w:bottom w:val="single" w:color="000000" w:sz="6" w:space="0"/>
              <w:right w:val="single" w:color="000000" w:sz="6" w:space="0"/>
            </w:tcBorders>
          </w:tcPr>
          <w:p>
            <w:pPr>
              <w:jc w:val="right"/>
              <w:rPr>
                <w:rFonts w:ascii="宋体"/>
                <w:sz w:val="22"/>
              </w:rPr>
            </w:pPr>
          </w:p>
        </w:tc>
        <w:tc>
          <w:tcPr>
            <w:tcW w:w="870"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164" w:type="dxa"/>
            <w:tcBorders>
              <w:top w:val="nil"/>
              <w:left w:val="nil"/>
              <w:bottom w:val="single" w:color="000000" w:sz="6" w:space="0"/>
              <w:right w:val="single" w:color="000000" w:sz="6" w:space="0"/>
            </w:tcBorders>
          </w:tcPr>
          <w:p>
            <w:pPr>
              <w:jc w:val="right"/>
              <w:rPr>
                <w:rFonts w:ascii="宋体"/>
                <w:sz w:val="22"/>
              </w:rPr>
            </w:pPr>
          </w:p>
        </w:tc>
        <w:tc>
          <w:tcPr>
            <w:tcW w:w="546" w:type="dxa"/>
            <w:tcBorders>
              <w:top w:val="nil"/>
              <w:left w:val="nil"/>
              <w:bottom w:val="single" w:color="000000" w:sz="6" w:space="0"/>
              <w:right w:val="single" w:color="000000" w:sz="6" w:space="0"/>
            </w:tcBorders>
          </w:tcPr>
          <w:p>
            <w:pPr>
              <w:jc w:val="right"/>
              <w:rPr>
                <w:rFonts w:ascii="宋体"/>
                <w:sz w:val="22"/>
              </w:rPr>
            </w:pPr>
          </w:p>
        </w:tc>
        <w:tc>
          <w:tcPr>
            <w:tcW w:w="1119" w:type="dxa"/>
            <w:tcBorders>
              <w:top w:val="nil"/>
              <w:left w:val="nil"/>
              <w:bottom w:val="single" w:color="000000" w:sz="6" w:space="0"/>
              <w:right w:val="single" w:color="000000" w:sz="6" w:space="0"/>
            </w:tcBorders>
          </w:tcPr>
          <w:p>
            <w:pPr>
              <w:jc w:val="right"/>
              <w:rPr>
                <w:rFonts w:ascii="宋体"/>
                <w:sz w:val="22"/>
              </w:rPr>
            </w:pPr>
          </w:p>
        </w:tc>
        <w:tc>
          <w:tcPr>
            <w:tcW w:w="1080" w:type="dxa"/>
            <w:tcBorders>
              <w:top w:val="nil"/>
              <w:left w:val="nil"/>
              <w:bottom w:val="single" w:color="000000" w:sz="6" w:space="0"/>
              <w:right w:val="single" w:color="000000" w:sz="6" w:space="0"/>
            </w:tcBorders>
          </w:tcPr>
          <w:p>
            <w:pPr>
              <w:jc w:val="right"/>
              <w:rPr>
                <w:rFonts w:ascii="宋体"/>
                <w:sz w:val="22"/>
              </w:rPr>
            </w:pPr>
          </w:p>
        </w:tc>
      </w:tr>
      <w:tr>
        <w:tblPrEx>
          <w:tblCellMar>
            <w:top w:w="0" w:type="dxa"/>
            <w:left w:w="108" w:type="dxa"/>
            <w:bottom w:w="0" w:type="dxa"/>
            <w:right w:w="108" w:type="dxa"/>
          </w:tblCellMar>
        </w:tblPrEx>
        <w:trPr>
          <w:trHeight w:val="308" w:hRule="atLeast"/>
        </w:trPr>
        <w:tc>
          <w:tcPr>
            <w:tcW w:w="1206" w:type="dxa"/>
            <w:tcBorders>
              <w:top w:val="nil"/>
              <w:left w:val="nil"/>
              <w:bottom w:val="single" w:color="000000" w:sz="6" w:space="0"/>
              <w:right w:val="single" w:color="000000" w:sz="6" w:space="0"/>
            </w:tcBorders>
          </w:tcPr>
          <w:p>
            <w:pPr>
              <w:jc w:val="right"/>
              <w:rPr>
                <w:rFonts w:ascii="宋体"/>
                <w:sz w:val="22"/>
              </w:rPr>
            </w:pPr>
          </w:p>
        </w:tc>
        <w:tc>
          <w:tcPr>
            <w:tcW w:w="999"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185"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251" w:type="dxa"/>
            <w:tcBorders>
              <w:top w:val="nil"/>
              <w:left w:val="nil"/>
              <w:bottom w:val="single" w:color="000000" w:sz="6" w:space="0"/>
              <w:right w:val="single" w:color="000000" w:sz="6" w:space="0"/>
            </w:tcBorders>
          </w:tcPr>
          <w:p>
            <w:pPr>
              <w:jc w:val="right"/>
              <w:rPr>
                <w:rFonts w:ascii="宋体"/>
                <w:sz w:val="22"/>
              </w:rPr>
            </w:pPr>
          </w:p>
        </w:tc>
        <w:tc>
          <w:tcPr>
            <w:tcW w:w="870"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164" w:type="dxa"/>
            <w:tcBorders>
              <w:top w:val="nil"/>
              <w:left w:val="nil"/>
              <w:bottom w:val="single" w:color="000000" w:sz="6" w:space="0"/>
              <w:right w:val="single" w:color="000000" w:sz="6" w:space="0"/>
            </w:tcBorders>
          </w:tcPr>
          <w:p>
            <w:pPr>
              <w:jc w:val="right"/>
              <w:rPr>
                <w:rFonts w:ascii="宋体"/>
                <w:sz w:val="22"/>
              </w:rPr>
            </w:pPr>
          </w:p>
        </w:tc>
        <w:tc>
          <w:tcPr>
            <w:tcW w:w="546" w:type="dxa"/>
            <w:tcBorders>
              <w:top w:val="nil"/>
              <w:left w:val="nil"/>
              <w:bottom w:val="single" w:color="000000" w:sz="6" w:space="0"/>
              <w:right w:val="single" w:color="000000" w:sz="6" w:space="0"/>
            </w:tcBorders>
          </w:tcPr>
          <w:p>
            <w:pPr>
              <w:jc w:val="right"/>
              <w:rPr>
                <w:rFonts w:ascii="宋体"/>
                <w:sz w:val="22"/>
              </w:rPr>
            </w:pPr>
          </w:p>
        </w:tc>
        <w:tc>
          <w:tcPr>
            <w:tcW w:w="1119" w:type="dxa"/>
            <w:tcBorders>
              <w:top w:val="nil"/>
              <w:left w:val="nil"/>
              <w:bottom w:val="single" w:color="000000" w:sz="6" w:space="0"/>
              <w:right w:val="single" w:color="000000" w:sz="6" w:space="0"/>
            </w:tcBorders>
          </w:tcPr>
          <w:p>
            <w:pPr>
              <w:jc w:val="right"/>
              <w:rPr>
                <w:rFonts w:ascii="宋体"/>
                <w:sz w:val="22"/>
              </w:rPr>
            </w:pPr>
          </w:p>
        </w:tc>
        <w:tc>
          <w:tcPr>
            <w:tcW w:w="1080" w:type="dxa"/>
            <w:tcBorders>
              <w:top w:val="nil"/>
              <w:left w:val="nil"/>
              <w:bottom w:val="single" w:color="000000" w:sz="6" w:space="0"/>
              <w:right w:val="single" w:color="000000" w:sz="6" w:space="0"/>
            </w:tcBorders>
          </w:tcPr>
          <w:p>
            <w:pPr>
              <w:jc w:val="right"/>
              <w:rPr>
                <w:rFonts w:ascii="宋体"/>
                <w:sz w:val="22"/>
              </w:rPr>
            </w:pPr>
          </w:p>
        </w:tc>
      </w:tr>
      <w:tr>
        <w:tblPrEx>
          <w:tblCellMar>
            <w:top w:w="0" w:type="dxa"/>
            <w:left w:w="108" w:type="dxa"/>
            <w:bottom w:w="0" w:type="dxa"/>
            <w:right w:w="108" w:type="dxa"/>
          </w:tblCellMar>
        </w:tblPrEx>
        <w:trPr>
          <w:trHeight w:val="308" w:hRule="atLeast"/>
        </w:trPr>
        <w:tc>
          <w:tcPr>
            <w:tcW w:w="1206" w:type="dxa"/>
            <w:tcBorders>
              <w:top w:val="nil"/>
              <w:left w:val="nil"/>
              <w:bottom w:val="single" w:color="000000" w:sz="6" w:space="0"/>
              <w:right w:val="single" w:color="000000" w:sz="6" w:space="0"/>
            </w:tcBorders>
          </w:tcPr>
          <w:p>
            <w:pPr>
              <w:jc w:val="right"/>
              <w:rPr>
                <w:rFonts w:ascii="宋体"/>
                <w:sz w:val="22"/>
              </w:rPr>
            </w:pPr>
          </w:p>
        </w:tc>
        <w:tc>
          <w:tcPr>
            <w:tcW w:w="999"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185"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251" w:type="dxa"/>
            <w:tcBorders>
              <w:top w:val="nil"/>
              <w:left w:val="nil"/>
              <w:bottom w:val="single" w:color="000000" w:sz="6" w:space="0"/>
              <w:right w:val="single" w:color="000000" w:sz="6" w:space="0"/>
            </w:tcBorders>
          </w:tcPr>
          <w:p>
            <w:pPr>
              <w:jc w:val="right"/>
              <w:rPr>
                <w:rFonts w:ascii="宋体"/>
                <w:sz w:val="22"/>
              </w:rPr>
            </w:pPr>
          </w:p>
        </w:tc>
        <w:tc>
          <w:tcPr>
            <w:tcW w:w="870"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164" w:type="dxa"/>
            <w:tcBorders>
              <w:top w:val="nil"/>
              <w:left w:val="nil"/>
              <w:bottom w:val="single" w:color="000000" w:sz="6" w:space="0"/>
              <w:right w:val="single" w:color="000000" w:sz="6" w:space="0"/>
            </w:tcBorders>
          </w:tcPr>
          <w:p>
            <w:pPr>
              <w:jc w:val="right"/>
              <w:rPr>
                <w:rFonts w:ascii="宋体"/>
                <w:sz w:val="22"/>
              </w:rPr>
            </w:pPr>
          </w:p>
        </w:tc>
        <w:tc>
          <w:tcPr>
            <w:tcW w:w="546" w:type="dxa"/>
            <w:tcBorders>
              <w:top w:val="nil"/>
              <w:left w:val="nil"/>
              <w:bottom w:val="single" w:color="000000" w:sz="6" w:space="0"/>
              <w:right w:val="single" w:color="000000" w:sz="6" w:space="0"/>
            </w:tcBorders>
          </w:tcPr>
          <w:p>
            <w:pPr>
              <w:jc w:val="right"/>
              <w:rPr>
                <w:rFonts w:ascii="宋体"/>
                <w:sz w:val="22"/>
              </w:rPr>
            </w:pPr>
          </w:p>
        </w:tc>
        <w:tc>
          <w:tcPr>
            <w:tcW w:w="1119" w:type="dxa"/>
            <w:tcBorders>
              <w:top w:val="nil"/>
              <w:left w:val="nil"/>
              <w:bottom w:val="single" w:color="000000" w:sz="6" w:space="0"/>
              <w:right w:val="single" w:color="000000" w:sz="6" w:space="0"/>
            </w:tcBorders>
          </w:tcPr>
          <w:p>
            <w:pPr>
              <w:jc w:val="right"/>
              <w:rPr>
                <w:rFonts w:ascii="宋体"/>
                <w:sz w:val="22"/>
              </w:rPr>
            </w:pPr>
          </w:p>
        </w:tc>
        <w:tc>
          <w:tcPr>
            <w:tcW w:w="1080" w:type="dxa"/>
            <w:tcBorders>
              <w:top w:val="nil"/>
              <w:left w:val="nil"/>
              <w:bottom w:val="single" w:color="000000" w:sz="6" w:space="0"/>
              <w:right w:val="single" w:color="000000" w:sz="6" w:space="0"/>
            </w:tcBorders>
          </w:tcPr>
          <w:p>
            <w:pPr>
              <w:jc w:val="right"/>
              <w:rPr>
                <w:rFonts w:ascii="宋体"/>
                <w:sz w:val="22"/>
              </w:rPr>
            </w:pPr>
          </w:p>
        </w:tc>
      </w:tr>
      <w:tr>
        <w:tblPrEx>
          <w:tblCellMar>
            <w:top w:w="0" w:type="dxa"/>
            <w:left w:w="108" w:type="dxa"/>
            <w:bottom w:w="0" w:type="dxa"/>
            <w:right w:w="108" w:type="dxa"/>
          </w:tblCellMar>
        </w:tblPrEx>
        <w:trPr>
          <w:trHeight w:val="308" w:hRule="atLeast"/>
        </w:trPr>
        <w:tc>
          <w:tcPr>
            <w:tcW w:w="1206" w:type="dxa"/>
            <w:tcBorders>
              <w:top w:val="nil"/>
              <w:left w:val="nil"/>
              <w:bottom w:val="single" w:color="000000" w:sz="6" w:space="0"/>
              <w:right w:val="single" w:color="000000" w:sz="6" w:space="0"/>
            </w:tcBorders>
          </w:tcPr>
          <w:p>
            <w:pPr>
              <w:jc w:val="right"/>
              <w:rPr>
                <w:rFonts w:ascii="宋体"/>
                <w:sz w:val="22"/>
              </w:rPr>
            </w:pPr>
          </w:p>
        </w:tc>
        <w:tc>
          <w:tcPr>
            <w:tcW w:w="999"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185"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251" w:type="dxa"/>
            <w:tcBorders>
              <w:top w:val="nil"/>
              <w:left w:val="nil"/>
              <w:bottom w:val="single" w:color="000000" w:sz="6" w:space="0"/>
              <w:right w:val="single" w:color="000000" w:sz="6" w:space="0"/>
            </w:tcBorders>
          </w:tcPr>
          <w:p>
            <w:pPr>
              <w:jc w:val="right"/>
              <w:rPr>
                <w:rFonts w:ascii="宋体"/>
                <w:sz w:val="22"/>
              </w:rPr>
            </w:pPr>
          </w:p>
        </w:tc>
        <w:tc>
          <w:tcPr>
            <w:tcW w:w="870"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164" w:type="dxa"/>
            <w:tcBorders>
              <w:top w:val="nil"/>
              <w:left w:val="nil"/>
              <w:bottom w:val="single" w:color="000000" w:sz="6" w:space="0"/>
              <w:right w:val="single" w:color="000000" w:sz="6" w:space="0"/>
            </w:tcBorders>
          </w:tcPr>
          <w:p>
            <w:pPr>
              <w:jc w:val="right"/>
              <w:rPr>
                <w:rFonts w:ascii="宋体"/>
                <w:sz w:val="22"/>
              </w:rPr>
            </w:pPr>
          </w:p>
        </w:tc>
        <w:tc>
          <w:tcPr>
            <w:tcW w:w="546" w:type="dxa"/>
            <w:tcBorders>
              <w:top w:val="nil"/>
              <w:left w:val="nil"/>
              <w:bottom w:val="single" w:color="000000" w:sz="6" w:space="0"/>
              <w:right w:val="single" w:color="000000" w:sz="6" w:space="0"/>
            </w:tcBorders>
          </w:tcPr>
          <w:p>
            <w:pPr>
              <w:jc w:val="right"/>
              <w:rPr>
                <w:rFonts w:ascii="宋体"/>
                <w:sz w:val="22"/>
              </w:rPr>
            </w:pPr>
          </w:p>
        </w:tc>
        <w:tc>
          <w:tcPr>
            <w:tcW w:w="1119" w:type="dxa"/>
            <w:tcBorders>
              <w:top w:val="nil"/>
              <w:left w:val="nil"/>
              <w:bottom w:val="single" w:color="000000" w:sz="6" w:space="0"/>
              <w:right w:val="single" w:color="000000" w:sz="6" w:space="0"/>
            </w:tcBorders>
          </w:tcPr>
          <w:p>
            <w:pPr>
              <w:jc w:val="right"/>
              <w:rPr>
                <w:rFonts w:ascii="宋体"/>
                <w:sz w:val="22"/>
              </w:rPr>
            </w:pPr>
          </w:p>
        </w:tc>
        <w:tc>
          <w:tcPr>
            <w:tcW w:w="1080" w:type="dxa"/>
            <w:tcBorders>
              <w:top w:val="nil"/>
              <w:left w:val="nil"/>
              <w:bottom w:val="single" w:color="000000" w:sz="6" w:space="0"/>
              <w:right w:val="single" w:color="000000" w:sz="6" w:space="0"/>
            </w:tcBorders>
          </w:tcPr>
          <w:p>
            <w:pPr>
              <w:jc w:val="right"/>
              <w:rPr>
                <w:rFonts w:ascii="宋体"/>
                <w:sz w:val="22"/>
              </w:rPr>
            </w:pPr>
          </w:p>
        </w:tc>
      </w:tr>
      <w:tr>
        <w:tblPrEx>
          <w:tblCellMar>
            <w:top w:w="0" w:type="dxa"/>
            <w:left w:w="108" w:type="dxa"/>
            <w:bottom w:w="0" w:type="dxa"/>
            <w:right w:w="108" w:type="dxa"/>
          </w:tblCellMar>
        </w:tblPrEx>
        <w:trPr>
          <w:trHeight w:val="308" w:hRule="atLeast"/>
        </w:trPr>
        <w:tc>
          <w:tcPr>
            <w:tcW w:w="1206" w:type="dxa"/>
            <w:tcBorders>
              <w:top w:val="nil"/>
              <w:left w:val="nil"/>
              <w:bottom w:val="single" w:color="000000" w:sz="6" w:space="0"/>
              <w:right w:val="single" w:color="000000" w:sz="6" w:space="0"/>
            </w:tcBorders>
          </w:tcPr>
          <w:p>
            <w:pPr>
              <w:jc w:val="right"/>
              <w:rPr>
                <w:rFonts w:ascii="宋体"/>
                <w:sz w:val="22"/>
              </w:rPr>
            </w:pPr>
          </w:p>
        </w:tc>
        <w:tc>
          <w:tcPr>
            <w:tcW w:w="999"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185"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251" w:type="dxa"/>
            <w:tcBorders>
              <w:top w:val="nil"/>
              <w:left w:val="nil"/>
              <w:bottom w:val="single" w:color="000000" w:sz="6" w:space="0"/>
              <w:right w:val="single" w:color="000000" w:sz="6" w:space="0"/>
            </w:tcBorders>
          </w:tcPr>
          <w:p>
            <w:pPr>
              <w:jc w:val="right"/>
              <w:rPr>
                <w:rFonts w:ascii="宋体"/>
                <w:sz w:val="22"/>
              </w:rPr>
            </w:pPr>
          </w:p>
        </w:tc>
        <w:tc>
          <w:tcPr>
            <w:tcW w:w="870"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164" w:type="dxa"/>
            <w:tcBorders>
              <w:top w:val="nil"/>
              <w:left w:val="nil"/>
              <w:bottom w:val="single" w:color="000000" w:sz="6" w:space="0"/>
              <w:right w:val="single" w:color="000000" w:sz="6" w:space="0"/>
            </w:tcBorders>
          </w:tcPr>
          <w:p>
            <w:pPr>
              <w:jc w:val="right"/>
              <w:rPr>
                <w:rFonts w:ascii="宋体"/>
                <w:sz w:val="22"/>
              </w:rPr>
            </w:pPr>
          </w:p>
        </w:tc>
        <w:tc>
          <w:tcPr>
            <w:tcW w:w="546" w:type="dxa"/>
            <w:tcBorders>
              <w:top w:val="nil"/>
              <w:left w:val="nil"/>
              <w:bottom w:val="single" w:color="000000" w:sz="6" w:space="0"/>
              <w:right w:val="single" w:color="000000" w:sz="6" w:space="0"/>
            </w:tcBorders>
          </w:tcPr>
          <w:p>
            <w:pPr>
              <w:jc w:val="right"/>
              <w:rPr>
                <w:rFonts w:ascii="宋体"/>
                <w:sz w:val="22"/>
              </w:rPr>
            </w:pPr>
          </w:p>
        </w:tc>
        <w:tc>
          <w:tcPr>
            <w:tcW w:w="1119" w:type="dxa"/>
            <w:tcBorders>
              <w:top w:val="nil"/>
              <w:left w:val="nil"/>
              <w:bottom w:val="single" w:color="000000" w:sz="6" w:space="0"/>
              <w:right w:val="single" w:color="000000" w:sz="6" w:space="0"/>
            </w:tcBorders>
          </w:tcPr>
          <w:p>
            <w:pPr>
              <w:jc w:val="right"/>
              <w:rPr>
                <w:rFonts w:ascii="宋体"/>
                <w:sz w:val="22"/>
              </w:rPr>
            </w:pPr>
          </w:p>
        </w:tc>
        <w:tc>
          <w:tcPr>
            <w:tcW w:w="1080" w:type="dxa"/>
            <w:tcBorders>
              <w:top w:val="nil"/>
              <w:left w:val="nil"/>
              <w:bottom w:val="single" w:color="000000" w:sz="6" w:space="0"/>
              <w:right w:val="single" w:color="000000" w:sz="6" w:space="0"/>
            </w:tcBorders>
          </w:tcPr>
          <w:p>
            <w:pPr>
              <w:jc w:val="right"/>
              <w:rPr>
                <w:rFonts w:ascii="宋体"/>
                <w:sz w:val="22"/>
              </w:rPr>
            </w:pPr>
          </w:p>
        </w:tc>
      </w:tr>
      <w:tr>
        <w:tblPrEx>
          <w:tblCellMar>
            <w:top w:w="0" w:type="dxa"/>
            <w:left w:w="108" w:type="dxa"/>
            <w:bottom w:w="0" w:type="dxa"/>
            <w:right w:w="108" w:type="dxa"/>
          </w:tblCellMar>
        </w:tblPrEx>
        <w:trPr>
          <w:trHeight w:val="308" w:hRule="atLeast"/>
        </w:trPr>
        <w:tc>
          <w:tcPr>
            <w:tcW w:w="1206" w:type="dxa"/>
            <w:tcBorders>
              <w:top w:val="nil"/>
              <w:left w:val="nil"/>
              <w:bottom w:val="single" w:color="000000" w:sz="6" w:space="0"/>
              <w:right w:val="single" w:color="000000" w:sz="6" w:space="0"/>
            </w:tcBorders>
          </w:tcPr>
          <w:p>
            <w:pPr>
              <w:jc w:val="right"/>
              <w:rPr>
                <w:rFonts w:ascii="宋体"/>
                <w:sz w:val="22"/>
              </w:rPr>
            </w:pPr>
          </w:p>
        </w:tc>
        <w:tc>
          <w:tcPr>
            <w:tcW w:w="999"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185"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290" w:type="dxa"/>
            <w:tcBorders>
              <w:top w:val="nil"/>
              <w:left w:val="nil"/>
              <w:bottom w:val="single" w:color="000000" w:sz="6" w:space="0"/>
              <w:right w:val="single" w:color="000000" w:sz="6" w:space="0"/>
            </w:tcBorders>
          </w:tcPr>
          <w:p>
            <w:pPr>
              <w:jc w:val="right"/>
              <w:rPr>
                <w:rFonts w:ascii="宋体"/>
                <w:sz w:val="22"/>
              </w:rPr>
            </w:pPr>
          </w:p>
        </w:tc>
        <w:tc>
          <w:tcPr>
            <w:tcW w:w="1251" w:type="dxa"/>
            <w:tcBorders>
              <w:top w:val="nil"/>
              <w:left w:val="nil"/>
              <w:bottom w:val="single" w:color="000000" w:sz="6" w:space="0"/>
              <w:right w:val="single" w:color="000000" w:sz="6" w:space="0"/>
            </w:tcBorders>
          </w:tcPr>
          <w:p>
            <w:pPr>
              <w:jc w:val="right"/>
              <w:rPr>
                <w:rFonts w:ascii="宋体"/>
                <w:sz w:val="22"/>
              </w:rPr>
            </w:pPr>
          </w:p>
        </w:tc>
        <w:tc>
          <w:tcPr>
            <w:tcW w:w="870" w:type="dxa"/>
            <w:tcBorders>
              <w:top w:val="nil"/>
              <w:left w:val="nil"/>
              <w:bottom w:val="single" w:color="000000" w:sz="6" w:space="0"/>
              <w:right w:val="single" w:color="000000" w:sz="6" w:space="0"/>
            </w:tcBorders>
          </w:tcPr>
          <w:p>
            <w:pPr>
              <w:jc w:val="right"/>
              <w:rPr>
                <w:rFonts w:ascii="宋体"/>
                <w:sz w:val="22"/>
              </w:rPr>
            </w:pPr>
          </w:p>
        </w:tc>
        <w:tc>
          <w:tcPr>
            <w:tcW w:w="1125" w:type="dxa"/>
            <w:tcBorders>
              <w:top w:val="nil"/>
              <w:left w:val="nil"/>
              <w:bottom w:val="single" w:color="000000" w:sz="6" w:space="0"/>
              <w:right w:val="single" w:color="000000" w:sz="6" w:space="0"/>
            </w:tcBorders>
          </w:tcPr>
          <w:p>
            <w:pPr>
              <w:jc w:val="right"/>
              <w:rPr>
                <w:rFonts w:ascii="宋体"/>
                <w:sz w:val="22"/>
              </w:rPr>
            </w:pPr>
          </w:p>
        </w:tc>
        <w:tc>
          <w:tcPr>
            <w:tcW w:w="1164" w:type="dxa"/>
            <w:tcBorders>
              <w:top w:val="nil"/>
              <w:left w:val="nil"/>
              <w:bottom w:val="single" w:color="000000" w:sz="6" w:space="0"/>
              <w:right w:val="single" w:color="000000" w:sz="6" w:space="0"/>
            </w:tcBorders>
          </w:tcPr>
          <w:p>
            <w:pPr>
              <w:jc w:val="right"/>
              <w:rPr>
                <w:rFonts w:ascii="宋体"/>
                <w:sz w:val="22"/>
              </w:rPr>
            </w:pPr>
          </w:p>
        </w:tc>
        <w:tc>
          <w:tcPr>
            <w:tcW w:w="546" w:type="dxa"/>
            <w:tcBorders>
              <w:top w:val="nil"/>
              <w:left w:val="nil"/>
              <w:bottom w:val="single" w:color="000000" w:sz="6" w:space="0"/>
              <w:right w:val="single" w:color="000000" w:sz="6" w:space="0"/>
            </w:tcBorders>
          </w:tcPr>
          <w:p>
            <w:pPr>
              <w:jc w:val="right"/>
              <w:rPr>
                <w:rFonts w:ascii="宋体"/>
                <w:sz w:val="22"/>
              </w:rPr>
            </w:pPr>
          </w:p>
        </w:tc>
        <w:tc>
          <w:tcPr>
            <w:tcW w:w="1119" w:type="dxa"/>
            <w:tcBorders>
              <w:top w:val="nil"/>
              <w:left w:val="nil"/>
              <w:bottom w:val="single" w:color="000000" w:sz="6" w:space="0"/>
              <w:right w:val="single" w:color="000000" w:sz="6" w:space="0"/>
            </w:tcBorders>
          </w:tcPr>
          <w:p>
            <w:pPr>
              <w:jc w:val="right"/>
              <w:rPr>
                <w:rFonts w:ascii="宋体"/>
                <w:sz w:val="22"/>
              </w:rPr>
            </w:pPr>
          </w:p>
        </w:tc>
        <w:tc>
          <w:tcPr>
            <w:tcW w:w="1080" w:type="dxa"/>
            <w:tcBorders>
              <w:top w:val="nil"/>
              <w:left w:val="nil"/>
              <w:bottom w:val="single" w:color="000000" w:sz="6" w:space="0"/>
              <w:right w:val="single" w:color="000000" w:sz="6" w:space="0"/>
            </w:tcBorders>
          </w:tcPr>
          <w:p>
            <w:pPr>
              <w:jc w:val="right"/>
              <w:rPr>
                <w:rFonts w:ascii="宋体"/>
                <w:sz w:val="22"/>
              </w:rPr>
            </w:pPr>
          </w:p>
        </w:tc>
      </w:tr>
    </w:tbl>
    <w:p>
      <w:pPr>
        <w:rPr>
          <w:rFonts w:ascii="隶书" w:eastAsia="隶书" w:cs="隶书"/>
          <w:sz w:val="32"/>
          <w:szCs w:val="32"/>
        </w:rPr>
      </w:pPr>
    </w:p>
    <w:sectPr>
      <w:pgSz w:w="16838" w:h="11906" w:orient="landscape"/>
      <w:pgMar w:top="1043" w:right="1800" w:bottom="1043" w:left="1123" w:header="851" w:footer="992" w:gutter="0"/>
      <w:pgNumType w:fmt="numberInDash"/>
      <w:cols w:equalWidth="0" w:num="1">
        <w:col w:w="13238"/>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1" o:spid="_x0000_s4097" o:spt="1" style="position:absolute;left:0pt;margin-top:0pt;height:11pt;width:14.15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- 7 -</w:t>
                </w:r>
                <w:r>
                  <w:rPr>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DC422"/>
    <w:multiLevelType w:val="singleLevel"/>
    <w:tmpl w:val="CB3DC422"/>
    <w:lvl w:ilvl="0" w:tentative="0">
      <w:start w:val="2"/>
      <w:numFmt w:val="chineseCounting"/>
      <w:lvlText w:val="(%1)"/>
      <w:lvlJc w:val="left"/>
      <w:pPr>
        <w:tabs>
          <w:tab w:val="left" w:pos="312"/>
        </w:tabs>
      </w:pPr>
      <w:rPr>
        <w:rFonts w:hint="eastAsia"/>
      </w:rPr>
    </w:lvl>
  </w:abstractNum>
  <w:abstractNum w:abstractNumId="1">
    <w:nsid w:val="CC13EBA7"/>
    <w:multiLevelType w:val="singleLevel"/>
    <w:tmpl w:val="CC13EBA7"/>
    <w:lvl w:ilvl="0" w:tentative="0">
      <w:start w:val="1"/>
      <w:numFmt w:val="decimal"/>
      <w:suff w:val="nothing"/>
      <w:lvlText w:val="%1、"/>
      <w:lvlJc w:val="left"/>
      <w:rPr>
        <w:rFonts w:cs="Times New Roman"/>
      </w:rPr>
    </w:lvl>
  </w:abstractNum>
  <w:abstractNum w:abstractNumId="2">
    <w:nsid w:val="F54A6F62"/>
    <w:multiLevelType w:val="singleLevel"/>
    <w:tmpl w:val="F54A6F62"/>
    <w:lvl w:ilvl="0" w:tentative="0">
      <w:start w:val="1"/>
      <w:numFmt w:val="chineseCounting"/>
      <w:suff w:val="nothing"/>
      <w:lvlText w:val="%1、"/>
      <w:lvlJc w:val="left"/>
      <w:rPr>
        <w:rFonts w:hint="eastAsia" w:cs="Times New Roman"/>
      </w:rPr>
    </w:lvl>
  </w:abstractNum>
  <w:abstractNum w:abstractNumId="3">
    <w:nsid w:val="5971BE17"/>
    <w:multiLevelType w:val="singleLevel"/>
    <w:tmpl w:val="5971BE17"/>
    <w:lvl w:ilvl="0" w:tentative="0">
      <w:start w:val="1"/>
      <w:numFmt w:val="chineseCounting"/>
      <w:suff w:val="nothing"/>
      <w:lvlText w:val="%1、"/>
      <w:lvlJc w:val="left"/>
      <w:pPr>
        <w:tabs>
          <w:tab w:val="left" w:pos="0"/>
        </w:tabs>
      </w:pPr>
      <w:rPr>
        <w:rFonts w:cs="Times New Roman"/>
      </w:rPr>
    </w:lvl>
  </w:abstractNum>
  <w:abstractNum w:abstractNumId="4">
    <w:nsid w:val="5971DAC2"/>
    <w:multiLevelType w:val="singleLevel"/>
    <w:tmpl w:val="5971DAC2"/>
    <w:lvl w:ilvl="0" w:tentative="0">
      <w:start w:val="1"/>
      <w:numFmt w:val="chineseCounting"/>
      <w:suff w:val="nothing"/>
      <w:lvlText w:val="%1、"/>
      <w:lvlJc w:val="left"/>
      <w:pPr>
        <w:tabs>
          <w:tab w:val="left" w:pos="0"/>
        </w:tabs>
        <w:ind w:firstLine="420"/>
      </w:pPr>
      <w:rPr>
        <w:rFonts w:hint="eastAsia" w:cs="Times New Roman"/>
      </w:rPr>
    </w:lvl>
  </w:abstractNum>
  <w:abstractNum w:abstractNumId="5">
    <w:nsid w:val="5971DBDD"/>
    <w:multiLevelType w:val="singleLevel"/>
    <w:tmpl w:val="5971DBDD"/>
    <w:lvl w:ilvl="0" w:tentative="0">
      <w:start w:val="1"/>
      <w:numFmt w:val="chineseCounting"/>
      <w:suff w:val="nothing"/>
      <w:lvlText w:val="（%1）"/>
      <w:lvlJc w:val="left"/>
      <w:pPr>
        <w:tabs>
          <w:tab w:val="left" w:pos="0"/>
        </w:tabs>
        <w:ind w:firstLine="420"/>
      </w:pPr>
      <w:rPr>
        <w:rFonts w:hint="eastAsia" w:cs="Times New Roman"/>
      </w:rPr>
    </w:lvl>
  </w:abstractNum>
  <w:abstractNum w:abstractNumId="6">
    <w:nsid w:val="5971E776"/>
    <w:multiLevelType w:val="singleLevel"/>
    <w:tmpl w:val="5971E776"/>
    <w:lvl w:ilvl="0" w:tentative="0">
      <w:start w:val="1"/>
      <w:numFmt w:val="chineseCounting"/>
      <w:suff w:val="nothing"/>
      <w:lvlText w:val="（%1）"/>
      <w:lvlJc w:val="left"/>
      <w:pPr>
        <w:tabs>
          <w:tab w:val="left" w:pos="0"/>
        </w:tabs>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tabs>
          <w:tab w:val="left" w:pos="0"/>
        </w:tabs>
        <w:ind w:firstLine="420"/>
      </w:pPr>
      <w:rPr>
        <w:rFonts w:hint="eastAsia" w:cs="Times New Roman"/>
      </w:rPr>
    </w:lvl>
  </w:abstractNum>
  <w:abstractNum w:abstractNumId="8">
    <w:nsid w:val="6EA9C6E2"/>
    <w:multiLevelType w:val="singleLevel"/>
    <w:tmpl w:val="6EA9C6E2"/>
    <w:lvl w:ilvl="0" w:tentative="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8"/>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A6955"/>
    <w:rsid w:val="001071F1"/>
    <w:rsid w:val="00172A27"/>
    <w:rsid w:val="001F4EEC"/>
    <w:rsid w:val="005756D0"/>
    <w:rsid w:val="009243F7"/>
    <w:rsid w:val="00941285"/>
    <w:rsid w:val="00950448"/>
    <w:rsid w:val="00AA15C7"/>
    <w:rsid w:val="00B45448"/>
    <w:rsid w:val="00D757D7"/>
    <w:rsid w:val="00EC4F1A"/>
    <w:rsid w:val="012007E6"/>
    <w:rsid w:val="01340B18"/>
    <w:rsid w:val="015F23B5"/>
    <w:rsid w:val="023A2962"/>
    <w:rsid w:val="043B33E7"/>
    <w:rsid w:val="04C60E91"/>
    <w:rsid w:val="04EE16E2"/>
    <w:rsid w:val="05FF3A4E"/>
    <w:rsid w:val="061C6747"/>
    <w:rsid w:val="06B72B02"/>
    <w:rsid w:val="07D16723"/>
    <w:rsid w:val="07DC358D"/>
    <w:rsid w:val="08903563"/>
    <w:rsid w:val="09253C93"/>
    <w:rsid w:val="0A0A2783"/>
    <w:rsid w:val="0AB63899"/>
    <w:rsid w:val="0B524085"/>
    <w:rsid w:val="0FB2262F"/>
    <w:rsid w:val="11191C39"/>
    <w:rsid w:val="113247F7"/>
    <w:rsid w:val="12290369"/>
    <w:rsid w:val="13307829"/>
    <w:rsid w:val="13334312"/>
    <w:rsid w:val="13436329"/>
    <w:rsid w:val="15997142"/>
    <w:rsid w:val="18A60C82"/>
    <w:rsid w:val="1ECD6A29"/>
    <w:rsid w:val="1F0C0CF3"/>
    <w:rsid w:val="1FD05C95"/>
    <w:rsid w:val="2043273D"/>
    <w:rsid w:val="22D333C8"/>
    <w:rsid w:val="2369084A"/>
    <w:rsid w:val="23835716"/>
    <w:rsid w:val="24EF2E9B"/>
    <w:rsid w:val="274E4497"/>
    <w:rsid w:val="278604D3"/>
    <w:rsid w:val="27E004C5"/>
    <w:rsid w:val="27F46079"/>
    <w:rsid w:val="28CC7C73"/>
    <w:rsid w:val="29A27640"/>
    <w:rsid w:val="2AB761BD"/>
    <w:rsid w:val="2AD62C8C"/>
    <w:rsid w:val="2B505653"/>
    <w:rsid w:val="2D893F89"/>
    <w:rsid w:val="2DBD20DA"/>
    <w:rsid w:val="2F2B445A"/>
    <w:rsid w:val="30E8315D"/>
    <w:rsid w:val="31832B7B"/>
    <w:rsid w:val="324A5C97"/>
    <w:rsid w:val="33A86C25"/>
    <w:rsid w:val="34135A5E"/>
    <w:rsid w:val="342D4F9C"/>
    <w:rsid w:val="344024F7"/>
    <w:rsid w:val="357F6212"/>
    <w:rsid w:val="36B97F30"/>
    <w:rsid w:val="36C61041"/>
    <w:rsid w:val="37D76879"/>
    <w:rsid w:val="37E651E2"/>
    <w:rsid w:val="384545C0"/>
    <w:rsid w:val="3853383B"/>
    <w:rsid w:val="397F7584"/>
    <w:rsid w:val="39AD4CD0"/>
    <w:rsid w:val="3A3E371F"/>
    <w:rsid w:val="3AA22BB8"/>
    <w:rsid w:val="3C2F30D1"/>
    <w:rsid w:val="3C873202"/>
    <w:rsid w:val="3CA3183E"/>
    <w:rsid w:val="3D730596"/>
    <w:rsid w:val="3DF83DBC"/>
    <w:rsid w:val="3E514C9A"/>
    <w:rsid w:val="3FFD1C3C"/>
    <w:rsid w:val="418E3D0F"/>
    <w:rsid w:val="41964830"/>
    <w:rsid w:val="433A3159"/>
    <w:rsid w:val="43B12712"/>
    <w:rsid w:val="44691BF2"/>
    <w:rsid w:val="44E60458"/>
    <w:rsid w:val="45490DF4"/>
    <w:rsid w:val="46DD3E86"/>
    <w:rsid w:val="47466682"/>
    <w:rsid w:val="4810786A"/>
    <w:rsid w:val="495B0A44"/>
    <w:rsid w:val="49785A9F"/>
    <w:rsid w:val="4B984EEF"/>
    <w:rsid w:val="4BB228A0"/>
    <w:rsid w:val="4BB25298"/>
    <w:rsid w:val="4BB50022"/>
    <w:rsid w:val="4C5E1D68"/>
    <w:rsid w:val="4CF67436"/>
    <w:rsid w:val="512B750D"/>
    <w:rsid w:val="51EF5074"/>
    <w:rsid w:val="52017428"/>
    <w:rsid w:val="53502A4C"/>
    <w:rsid w:val="54A33B36"/>
    <w:rsid w:val="55331CEE"/>
    <w:rsid w:val="563F0C3A"/>
    <w:rsid w:val="57212B44"/>
    <w:rsid w:val="57932447"/>
    <w:rsid w:val="57AA5E2A"/>
    <w:rsid w:val="58976242"/>
    <w:rsid w:val="58B725F4"/>
    <w:rsid w:val="5936420A"/>
    <w:rsid w:val="59506058"/>
    <w:rsid w:val="5AE77DB4"/>
    <w:rsid w:val="5D09104B"/>
    <w:rsid w:val="5DF43B86"/>
    <w:rsid w:val="5E17542F"/>
    <w:rsid w:val="5EC878D5"/>
    <w:rsid w:val="5F7B2F43"/>
    <w:rsid w:val="608B0980"/>
    <w:rsid w:val="60F11202"/>
    <w:rsid w:val="612766C2"/>
    <w:rsid w:val="615C1478"/>
    <w:rsid w:val="62AF4F81"/>
    <w:rsid w:val="64044BB4"/>
    <w:rsid w:val="648C3390"/>
    <w:rsid w:val="64A4485F"/>
    <w:rsid w:val="64C50AFA"/>
    <w:rsid w:val="656C33BA"/>
    <w:rsid w:val="65D47E53"/>
    <w:rsid w:val="67F7385B"/>
    <w:rsid w:val="67FB31F4"/>
    <w:rsid w:val="68312A60"/>
    <w:rsid w:val="69823044"/>
    <w:rsid w:val="69901642"/>
    <w:rsid w:val="6BB21FD2"/>
    <w:rsid w:val="6CD61178"/>
    <w:rsid w:val="6D4F5145"/>
    <w:rsid w:val="6D5026C9"/>
    <w:rsid w:val="6DF61505"/>
    <w:rsid w:val="6E4E506E"/>
    <w:rsid w:val="6E7A2618"/>
    <w:rsid w:val="6F0C30A3"/>
    <w:rsid w:val="6F913F81"/>
    <w:rsid w:val="70854CDE"/>
    <w:rsid w:val="70C33A56"/>
    <w:rsid w:val="71397C80"/>
    <w:rsid w:val="7297677E"/>
    <w:rsid w:val="75A817A8"/>
    <w:rsid w:val="76950E02"/>
    <w:rsid w:val="77436765"/>
    <w:rsid w:val="77651361"/>
    <w:rsid w:val="7776603B"/>
    <w:rsid w:val="783248A8"/>
    <w:rsid w:val="78804E71"/>
    <w:rsid w:val="78E03F1C"/>
    <w:rsid w:val="79964E39"/>
    <w:rsid w:val="7B9E02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uiPriority w:val="99"/>
    <w:rPr>
      <w:rFonts w:cs="Times New Roman"/>
    </w:rPr>
  </w:style>
  <w:style w:type="character" w:customStyle="1" w:styleId="8">
    <w:name w:val="Footer Char"/>
    <w:basedOn w:val="6"/>
    <w:link w:val="2"/>
    <w:semiHidden/>
    <w:qFormat/>
    <w:uiPriority w:val="99"/>
    <w:rPr>
      <w:rFonts w:ascii="Calibri" w:hAnsi="Calibri" w:cs="Arial"/>
      <w:sz w:val="18"/>
      <w:szCs w:val="18"/>
    </w:rPr>
  </w:style>
  <w:style w:type="character" w:customStyle="1" w:styleId="9">
    <w:name w:val="Header Char"/>
    <w:basedOn w:val="6"/>
    <w:link w:val="3"/>
    <w:semiHidden/>
    <w:qFormat/>
    <w:uiPriority w:val="99"/>
    <w:rPr>
      <w:rFonts w:ascii="Calibri" w:hAnsi="Calibri" w:cs="Arial"/>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30</Pages>
  <Words>1884</Words>
  <Characters>10739</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2021-06-18T01:33:14Z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5477A233869F431FA61F7C5276B3620B</vt:lpwstr>
  </property>
</Properties>
</file>