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b/>
          <w:sz w:val="52"/>
          <w:szCs w:val="52"/>
        </w:rPr>
      </w:pPr>
      <w:r>
        <w:rPr>
          <w:rFonts w:hint="eastAsia" w:cs="隶书" w:asciiTheme="minorEastAsia" w:hAnsiTheme="minorEastAsia"/>
          <w:b/>
          <w:sz w:val="52"/>
          <w:szCs w:val="52"/>
        </w:rPr>
        <w:t>2018年度</w:t>
      </w:r>
    </w:p>
    <w:p>
      <w:pPr>
        <w:jc w:val="center"/>
        <w:rPr>
          <w:rFonts w:hint="eastAsia" w:cs="仿宋_GB2312" w:asciiTheme="minorEastAsia" w:hAnsiTheme="minorEastAsia" w:eastAsiaTheme="minorEastAsia"/>
          <w:b/>
          <w:sz w:val="44"/>
          <w:szCs w:val="44"/>
          <w:lang w:eastAsia="zh-CN"/>
        </w:rPr>
      </w:pPr>
      <w:r>
        <w:rPr>
          <w:rFonts w:hint="eastAsia" w:cs="隶书" w:asciiTheme="minorEastAsia" w:hAnsiTheme="minorEastAsia"/>
          <w:b/>
          <w:sz w:val="52"/>
          <w:szCs w:val="52"/>
          <w:lang w:eastAsia="zh-CN"/>
        </w:rPr>
        <w:t>信阳市浉河区人力资源和社会保障局</w:t>
      </w:r>
    </w:p>
    <w:p>
      <w:pPr>
        <w:jc w:val="center"/>
        <w:rPr>
          <w:rFonts w:cs="隶书" w:asciiTheme="minorEastAsia" w:hAnsiTheme="minorEastAsia"/>
          <w:b/>
          <w:sz w:val="52"/>
          <w:szCs w:val="52"/>
        </w:rPr>
      </w:pPr>
      <w:r>
        <w:rPr>
          <w:rFonts w:hint="eastAsia" w:cs="隶书" w:asciiTheme="minorEastAsia" w:hAnsiTheme="minorEastAsia"/>
          <w:b/>
          <w:sz w:val="52"/>
          <w:szCs w:val="52"/>
        </w:rPr>
        <w:t>部门决算</w:t>
      </w:r>
    </w:p>
    <w:p>
      <w:pPr>
        <w:jc w:val="center"/>
        <w:rPr>
          <w:rFonts w:cs="隶书" w:asciiTheme="minorEastAsia" w:hAnsiTheme="minorEastAsia"/>
          <w:b/>
          <w:sz w:val="52"/>
          <w:szCs w:val="52"/>
        </w:rPr>
      </w:pPr>
    </w:p>
    <w:p>
      <w:pPr>
        <w:jc w:val="center"/>
        <w:rPr>
          <w:rFonts w:cs="隶书" w:asciiTheme="minorEastAsia" w:hAnsiTheme="minorEastAsia"/>
          <w:b/>
          <w:sz w:val="52"/>
          <w:szCs w:val="52"/>
        </w:rPr>
      </w:pPr>
    </w:p>
    <w:p>
      <w:pPr>
        <w:jc w:val="center"/>
        <w:rPr>
          <w:rFonts w:cs="隶书" w:asciiTheme="minorEastAsia" w:hAnsiTheme="minorEastAsia"/>
          <w:b/>
          <w:sz w:val="52"/>
          <w:szCs w:val="52"/>
        </w:rPr>
      </w:pPr>
    </w:p>
    <w:p>
      <w:pPr>
        <w:jc w:val="center"/>
        <w:rPr>
          <w:rFonts w:cs="隶书" w:asciiTheme="minorEastAsia" w:hAnsiTheme="minorEastAsia"/>
          <w:b/>
          <w:sz w:val="52"/>
          <w:szCs w:val="52"/>
        </w:rPr>
      </w:pPr>
    </w:p>
    <w:p>
      <w:pPr>
        <w:jc w:val="center"/>
        <w:rPr>
          <w:rFonts w:cs="隶书" w:asciiTheme="minorEastAsia" w:hAnsiTheme="minorEastAsia"/>
          <w:b/>
          <w:sz w:val="52"/>
          <w:szCs w:val="52"/>
        </w:rPr>
      </w:pPr>
    </w:p>
    <w:p>
      <w:pPr>
        <w:jc w:val="center"/>
        <w:rPr>
          <w:rFonts w:cs="隶书" w:asciiTheme="minorEastAsia" w:hAnsiTheme="minorEastAsia"/>
          <w:b/>
          <w:sz w:val="52"/>
          <w:szCs w:val="52"/>
        </w:rPr>
      </w:pPr>
    </w:p>
    <w:p>
      <w:pPr>
        <w:jc w:val="center"/>
        <w:rPr>
          <w:rFonts w:cs="仿宋_GB2312" w:asciiTheme="minorEastAsia" w:hAnsiTheme="minorEastAsia"/>
          <w:b/>
          <w:sz w:val="44"/>
          <w:szCs w:val="44"/>
        </w:rPr>
        <w:sectPr>
          <w:pgSz w:w="11906" w:h="16838"/>
          <w:pgMar w:top="1440" w:right="1800" w:bottom="1440" w:left="1800" w:header="851" w:footer="992" w:gutter="0"/>
          <w:pgNumType w:fmt="numberInDash" w:start="1"/>
          <w:cols w:space="425" w:num="1"/>
          <w:docGrid w:type="lines" w:linePitch="312" w:charSpace="0"/>
        </w:sectPr>
      </w:pPr>
      <w:r>
        <w:rPr>
          <w:rFonts w:hint="eastAsia" w:cs="隶书" w:asciiTheme="minorEastAsia" w:hAnsiTheme="minorEastAsia"/>
          <w:b/>
          <w:sz w:val="52"/>
          <w:szCs w:val="52"/>
        </w:rPr>
        <w:t>二0一九年</w:t>
      </w:r>
      <w:r>
        <w:rPr>
          <w:rFonts w:hint="eastAsia" w:cs="隶书" w:asciiTheme="minorEastAsia" w:hAnsiTheme="minorEastAsia"/>
          <w:b/>
          <w:sz w:val="52"/>
          <w:szCs w:val="52"/>
          <w:lang w:val="en-US" w:eastAsia="zh-CN"/>
        </w:rPr>
        <w:t>九</w:t>
      </w:r>
      <w:bookmarkStart w:id="0" w:name="_GoBack"/>
      <w:bookmarkEnd w:id="0"/>
      <w:r>
        <w:rPr>
          <w:rFonts w:hint="eastAsia" w:cs="隶书" w:asciiTheme="minorEastAsia" w:hAnsiTheme="minorEastAsia"/>
          <w:b/>
          <w:sz w:val="52"/>
          <w:szCs w:val="52"/>
        </w:rPr>
        <w:t>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信阳市浉河区人力资源和社会保障局</w:t>
      </w:r>
      <w:r>
        <w:rPr>
          <w:rFonts w:hint="eastAsia" w:ascii="黑体" w:hAnsi="黑体" w:eastAsia="黑体" w:cs="黑体"/>
          <w:sz w:val="32"/>
          <w:szCs w:val="32"/>
        </w:rPr>
        <w:t>概况</w:t>
      </w:r>
    </w:p>
    <w:p>
      <w:pPr>
        <w:pStyle w:val="14"/>
        <w:numPr>
          <w:ilvl w:val="0"/>
          <w:numId w:val="1"/>
        </w:numPr>
        <w:ind w:firstLineChars="0"/>
        <w:jc w:val="left"/>
        <w:rPr>
          <w:rFonts w:ascii="宋体" w:hAnsi="宋体" w:eastAsia="宋体" w:cs="宋体"/>
          <w:sz w:val="32"/>
          <w:szCs w:val="32"/>
        </w:rPr>
      </w:pPr>
      <w:r>
        <w:rPr>
          <w:rFonts w:hint="eastAsia" w:ascii="宋体" w:hAnsi="宋体" w:eastAsia="宋体" w:cs="宋体"/>
          <w:sz w:val="32"/>
          <w:szCs w:val="32"/>
        </w:rPr>
        <w:t xml:space="preserve"> 主要职能</w:t>
      </w:r>
    </w:p>
    <w:p>
      <w:pPr>
        <w:pStyle w:val="14"/>
        <w:numPr>
          <w:ilvl w:val="0"/>
          <w:numId w:val="1"/>
        </w:numPr>
        <w:ind w:firstLineChars="0"/>
        <w:jc w:val="left"/>
        <w:rPr>
          <w:rFonts w:ascii="宋体" w:hAnsi="宋体" w:eastAsia="宋体" w:cs="宋体"/>
          <w:sz w:val="32"/>
          <w:szCs w:val="32"/>
        </w:rPr>
      </w:pPr>
      <w:r>
        <w:rPr>
          <w:rFonts w:hint="eastAsia" w:ascii="宋体" w:hAnsi="宋体" w:eastAsia="宋体" w:cs="宋体"/>
          <w:sz w:val="32"/>
          <w:szCs w:val="32"/>
        </w:rPr>
        <w:t xml:space="preserve">  部门决算单位构成</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2018年度部门决算表（Excel表格形式）</w:t>
      </w:r>
    </w:p>
    <w:p>
      <w:pPr>
        <w:pStyle w:val="14"/>
        <w:numPr>
          <w:ilvl w:val="0"/>
          <w:numId w:val="2"/>
        </w:numPr>
        <w:ind w:firstLineChars="0"/>
        <w:jc w:val="left"/>
        <w:rPr>
          <w:rFonts w:ascii="宋体" w:hAnsi="宋体" w:eastAsia="宋体" w:cs="宋体"/>
          <w:sz w:val="32"/>
          <w:szCs w:val="32"/>
        </w:rPr>
      </w:pPr>
      <w:r>
        <w:rPr>
          <w:rFonts w:hint="eastAsia" w:ascii="宋体" w:hAnsi="宋体" w:eastAsia="宋体" w:cs="宋体"/>
          <w:sz w:val="32"/>
          <w:szCs w:val="32"/>
        </w:rPr>
        <w:t>收入支出决算总表</w:t>
      </w:r>
    </w:p>
    <w:p>
      <w:pPr>
        <w:ind w:firstLine="1120" w:firstLineChars="350"/>
        <w:jc w:val="left"/>
        <w:rPr>
          <w:rFonts w:ascii="宋体" w:hAnsi="宋体" w:eastAsia="宋体" w:cs="宋体"/>
          <w:sz w:val="32"/>
          <w:szCs w:val="32"/>
        </w:rPr>
      </w:pPr>
      <w:r>
        <w:rPr>
          <w:rFonts w:hint="eastAsia" w:ascii="宋体" w:hAnsi="宋体" w:eastAsia="宋体" w:cs="宋体"/>
          <w:sz w:val="32"/>
          <w:szCs w:val="32"/>
        </w:rPr>
        <w:t>二、收入决算表</w:t>
      </w:r>
    </w:p>
    <w:p>
      <w:pPr>
        <w:ind w:left="1120"/>
        <w:jc w:val="left"/>
        <w:rPr>
          <w:rFonts w:ascii="宋体" w:hAnsi="宋体" w:eastAsia="宋体" w:cs="宋体"/>
          <w:sz w:val="32"/>
          <w:szCs w:val="32"/>
        </w:rPr>
      </w:pPr>
      <w:r>
        <w:rPr>
          <w:rFonts w:hint="eastAsia" w:ascii="宋体" w:hAnsi="宋体" w:eastAsia="宋体" w:cs="宋体"/>
          <w:sz w:val="32"/>
          <w:szCs w:val="32"/>
        </w:rPr>
        <w:t>三、支出决算表</w:t>
      </w:r>
    </w:p>
    <w:p>
      <w:pPr>
        <w:ind w:left="112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left="112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pStyle w:val="14"/>
        <w:numPr>
          <w:ilvl w:val="0"/>
          <w:numId w:val="3"/>
        </w:numPr>
        <w:ind w:firstLineChars="0"/>
        <w:jc w:val="left"/>
        <w:rPr>
          <w:rFonts w:ascii="宋体" w:hAnsi="宋体" w:eastAsia="宋体" w:cs="宋体"/>
          <w:sz w:val="32"/>
          <w:szCs w:val="32"/>
        </w:rPr>
      </w:pPr>
      <w:r>
        <w:rPr>
          <w:rFonts w:hint="eastAsia" w:ascii="宋体" w:hAnsi="宋体" w:eastAsia="宋体" w:cs="宋体"/>
          <w:sz w:val="32"/>
          <w:szCs w:val="32"/>
        </w:rPr>
        <w:t>一般公共预算财政拨款基本支出决算表</w:t>
      </w:r>
    </w:p>
    <w:p>
      <w:pPr>
        <w:ind w:firstLine="1120" w:firstLineChars="35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1120" w:firstLineChars="350"/>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ind w:left="1600" w:hanging="1600" w:hangingChars="500"/>
        <w:jc w:val="left"/>
        <w:rPr>
          <w:rFonts w:ascii="黑体" w:hAnsi="黑体" w:eastAsia="黑体" w:cs="黑体"/>
          <w:sz w:val="32"/>
          <w:szCs w:val="32"/>
        </w:rPr>
      </w:pPr>
      <w:r>
        <w:rPr>
          <w:rFonts w:hint="eastAsia" w:ascii="黑体" w:hAnsi="黑体" w:eastAsia="黑体" w:cs="黑体"/>
          <w:sz w:val="32"/>
          <w:szCs w:val="32"/>
        </w:rPr>
        <w:t>第三部分 2018年度</w:t>
      </w:r>
      <w:r>
        <w:rPr>
          <w:rFonts w:hint="eastAsia" w:ascii="黑体" w:hAnsi="黑体" w:eastAsia="黑体" w:cs="黑体"/>
          <w:sz w:val="32"/>
          <w:szCs w:val="32"/>
          <w:lang w:eastAsia="zh-CN"/>
        </w:rPr>
        <w:t>信阳市浉河区人力资源和社会保障局</w:t>
      </w:r>
      <w:r>
        <w:rPr>
          <w:rFonts w:hint="eastAsia" w:ascii="黑体" w:hAnsi="黑体" w:eastAsia="黑体" w:cs="黑体"/>
          <w:sz w:val="32"/>
          <w:szCs w:val="32"/>
        </w:rPr>
        <w:t>部门决算情况说明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二、收入决算表情况说明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三、支出决算表情况说明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800" w:firstLineChars="25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八、预算绩效情况说明</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九、政府性基金预算财政拨款收入支出决算情况说明</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十、机关运行经费情况说明</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十一、政府采购情况说</w:t>
      </w:r>
    </w:p>
    <w:p>
      <w:pPr>
        <w:ind w:firstLine="480" w:firstLineChars="150"/>
        <w:jc w:val="left"/>
        <w:rPr>
          <w:rFonts w:ascii="宋体" w:hAnsi="宋体" w:eastAsia="宋体" w:cs="宋体"/>
          <w:sz w:val="32"/>
          <w:szCs w:val="32"/>
        </w:rPr>
      </w:pPr>
      <w:r>
        <w:rPr>
          <w:rFonts w:hint="eastAsia" w:ascii="宋体" w:hAnsi="宋体" w:eastAsia="宋体" w:cs="宋体"/>
          <w:sz w:val="32"/>
          <w:szCs w:val="32"/>
        </w:rPr>
        <w:t>十二、国有资产占有情况说明</w:t>
      </w:r>
    </w:p>
    <w:p>
      <w:pPr>
        <w:jc w:val="left"/>
        <w:rPr>
          <w:rFonts w:ascii="黑体" w:hAnsi="黑体" w:eastAsia="黑体" w:cs="黑体"/>
          <w:sz w:val="32"/>
          <w:szCs w:val="32"/>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14"/>
        <w:numPr>
          <w:ilvl w:val="0"/>
          <w:numId w:val="4"/>
        </w:numPr>
        <w:ind w:firstLineChars="0"/>
        <w:jc w:val="center"/>
        <w:outlineLvl w:val="0"/>
        <w:rPr>
          <w:rFonts w:cs="隶书" w:asciiTheme="minorEastAsia" w:hAnsiTheme="minorEastAsia"/>
          <w:sz w:val="48"/>
          <w:szCs w:val="48"/>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cs="隶书" w:asciiTheme="minorEastAsia" w:hAnsiTheme="minorEastAsia"/>
          <w:sz w:val="48"/>
          <w:szCs w:val="48"/>
          <w:lang w:eastAsia="zh-CN"/>
        </w:rPr>
        <w:t>信阳市浉河区人力资源和社会保障局</w:t>
      </w:r>
      <w:r>
        <w:rPr>
          <w:rFonts w:hint="eastAsia" w:cs="隶书" w:asciiTheme="minorEastAsia" w:hAnsiTheme="minorEastAsia"/>
          <w:sz w:val="48"/>
          <w:szCs w:val="48"/>
        </w:rPr>
        <w:t xml:space="preserve">       概况</w:t>
      </w:r>
    </w:p>
    <w:p>
      <w:pPr>
        <w:numPr>
          <w:ilvl w:val="0"/>
          <w:numId w:val="5"/>
        </w:numPr>
        <w:spacing w:line="360" w:lineRule="auto"/>
        <w:ind w:firstLine="643" w:firstLineChars="200"/>
        <w:jc w:val="left"/>
        <w:outlineLvl w:val="1"/>
        <w:rPr>
          <w:rFonts w:cs="黑体" w:asciiTheme="minorEastAsia" w:hAnsiTheme="minorEastAsia"/>
          <w:b/>
          <w:sz w:val="32"/>
          <w:szCs w:val="32"/>
        </w:rPr>
      </w:pPr>
      <w:r>
        <w:rPr>
          <w:rFonts w:hint="eastAsia" w:cs="黑体" w:asciiTheme="minorEastAsia" w:hAnsiTheme="minorEastAsia"/>
          <w:b/>
          <w:sz w:val="32"/>
          <w:szCs w:val="32"/>
        </w:rPr>
        <w:t>部门职责</w:t>
      </w:r>
    </w:p>
    <w:p>
      <w:pPr>
        <w:rPr>
          <w:rFonts w:ascii="宋体" w:hAnsi="宋体"/>
          <w:sz w:val="32"/>
          <w:szCs w:val="32"/>
        </w:rPr>
      </w:pPr>
      <w:r>
        <w:rPr>
          <w:rFonts w:hint="eastAsia" w:cs="仿宋_GB2312" w:asciiTheme="minorEastAsia" w:hAnsiTheme="minorEastAsia"/>
          <w:sz w:val="32"/>
          <w:szCs w:val="32"/>
        </w:rPr>
        <w:t xml:space="preserve"> </w:t>
      </w:r>
      <w:r>
        <w:rPr>
          <w:rFonts w:hint="eastAsia" w:ascii="宋体" w:hAnsi="宋体"/>
          <w:sz w:val="32"/>
          <w:szCs w:val="32"/>
        </w:rPr>
        <w:t>(一)贯彻执行国家、省、市人力资源和社会保障法律、法规、政策，拟订全区人力资源和社会保障事业发展规划方案，并组织实施和监督检查。</w:t>
      </w:r>
    </w:p>
    <w:p>
      <w:pPr>
        <w:rPr>
          <w:rFonts w:ascii="宋体" w:hAnsi="宋体"/>
          <w:sz w:val="32"/>
          <w:szCs w:val="32"/>
        </w:rPr>
      </w:pPr>
      <w:r>
        <w:rPr>
          <w:rFonts w:hint="eastAsia" w:ascii="宋体" w:hAnsi="宋体"/>
          <w:sz w:val="32"/>
          <w:szCs w:val="32"/>
        </w:rPr>
        <w:t>　(二)拟订全区人力资源市场发展规划和人力资源服务业发展、人力资源流动实施方案，推动建立统一开放，竞争有序的人力资源市场体系，促进人力资源合理流动和优化配置。</w:t>
      </w:r>
    </w:p>
    <w:p>
      <w:pPr>
        <w:rPr>
          <w:rFonts w:ascii="宋体" w:hAnsi="宋体"/>
          <w:sz w:val="32"/>
          <w:szCs w:val="32"/>
        </w:rPr>
      </w:pPr>
      <w:r>
        <w:rPr>
          <w:rFonts w:hint="eastAsia" w:ascii="宋体" w:hAnsi="宋体"/>
          <w:sz w:val="32"/>
          <w:szCs w:val="32"/>
        </w:rPr>
        <w:t>　(三)负责全区促进就业工作。拟订全区统筹城乡的就业发展规划和实施意见;完善公共就业创业服务体系，统筹建立全区面向城乡劳动者的职业技能培训制度，拟订全区就业援助制度;牵头拟订全区高校毕业生就业工作意见；会同有关部门拟订高技能人才、农村实用人才培养和激励政策措施。</w:t>
      </w:r>
    </w:p>
    <w:p>
      <w:pPr>
        <w:rPr>
          <w:rFonts w:ascii="宋体" w:hAnsi="宋体"/>
          <w:sz w:val="32"/>
          <w:szCs w:val="32"/>
        </w:rPr>
      </w:pPr>
      <w:r>
        <w:rPr>
          <w:rFonts w:hint="eastAsia" w:ascii="宋体" w:hAnsi="宋体"/>
          <w:sz w:val="32"/>
          <w:szCs w:val="32"/>
        </w:rPr>
        <w:t>　(四)统筹推进建立全区覆盖城乡的多层次社会保障体系。贯彻落实省、市养老、失业、工伤等社会保险及其补充保险实施意见和标准，制定全区统一的养老、失业、工伤保险关系转续办法；组织落实省、市养老、失业、工伤等社会保险及其补充保险基金管理和监督制度，编制相关社会保险基金预决算草案，会同有关部门实施全民参保计划并建立统一的社会保险公共服务平台。</w:t>
      </w:r>
    </w:p>
    <w:p>
      <w:pPr>
        <w:rPr>
          <w:rFonts w:ascii="宋体" w:hAnsi="宋体"/>
          <w:sz w:val="32"/>
          <w:szCs w:val="32"/>
        </w:rPr>
      </w:pPr>
      <w:r>
        <w:rPr>
          <w:rFonts w:hint="eastAsia" w:ascii="宋体" w:hAnsi="宋体"/>
          <w:sz w:val="32"/>
          <w:szCs w:val="32"/>
        </w:rPr>
        <w:t>　(五)负责全区就业、失业和相关社会保险基金预测预警和信息引导，拟订应对预案，实施预防、调节和控制措施，保持全区就业形势稳定和相关社会保险基金总体收支平衡。</w:t>
      </w:r>
    </w:p>
    <w:p>
      <w:pPr>
        <w:rPr>
          <w:rFonts w:ascii="宋体" w:hAnsi="宋体"/>
          <w:sz w:val="32"/>
          <w:szCs w:val="32"/>
        </w:rPr>
      </w:pPr>
      <w:r>
        <w:rPr>
          <w:rFonts w:hint="eastAsia" w:ascii="宋体" w:hAnsi="宋体"/>
          <w:sz w:val="32"/>
          <w:szCs w:val="32"/>
        </w:rPr>
        <w:t>　(六)统筹拟订全区劳动人事争议调解仲裁制度和劳动关系实施意见，完善劳动关系协商协调机制；依据国家工作时间、休息休假和假期相关规定以及特殊劳动保护政策制定实施细则并监督实施；组织实施劳动保障监察，协调劳动者维权工作，依法查处重大案件。　</w:t>
      </w:r>
    </w:p>
    <w:p>
      <w:pPr>
        <w:ind w:firstLine="480" w:firstLineChars="150"/>
        <w:rPr>
          <w:rFonts w:ascii="宋体" w:hAnsi="宋体"/>
          <w:sz w:val="32"/>
          <w:szCs w:val="32"/>
        </w:rPr>
      </w:pPr>
      <w:r>
        <w:rPr>
          <w:rFonts w:hint="eastAsia" w:ascii="宋体" w:hAnsi="宋体"/>
          <w:sz w:val="32"/>
          <w:szCs w:val="32"/>
        </w:rPr>
        <w:t>(七)牵头推进深化职称制度改革。拟订全区专业技术人员管理、继续教育和博士后管理等实施意见；负责高层次专业技术人才选拔和培养工作;拟订吸引留学人员来浉河区工作或定居的意见；组织拟订全区技能人才培养、评价、使用和激励制度；完善职业资格制度，健全职业技能多元化评价政策</w:t>
      </w:r>
    </w:p>
    <w:p>
      <w:pPr>
        <w:rPr>
          <w:rFonts w:ascii="宋体" w:hAnsi="宋体"/>
          <w:sz w:val="32"/>
          <w:szCs w:val="32"/>
        </w:rPr>
      </w:pPr>
      <w:r>
        <w:rPr>
          <w:rFonts w:hint="eastAsia" w:ascii="宋体" w:hAnsi="宋体"/>
          <w:sz w:val="32"/>
          <w:szCs w:val="32"/>
        </w:rPr>
        <w:t>　(八)会同有关部门指导全区事业单位人事制度改革，按照管理权限负责规范事业单位岗位设置、公开招聘、聘用管理、考核奖惩等人事综合管理工作，拟订全区事业单位人员和机关工勤人员管理办法。</w:t>
      </w:r>
    </w:p>
    <w:p>
      <w:pPr>
        <w:rPr>
          <w:rFonts w:ascii="宋体" w:hAnsi="宋体"/>
          <w:sz w:val="32"/>
          <w:szCs w:val="32"/>
        </w:rPr>
      </w:pPr>
      <w:r>
        <w:rPr>
          <w:rFonts w:hint="eastAsia" w:ascii="宋体" w:hAnsi="宋体"/>
          <w:sz w:val="32"/>
          <w:szCs w:val="32"/>
        </w:rPr>
        <w:t>　(九)会同有关部门拟订全区事业单位人员和机关工勤人员工资收入分配实施意见，建立全区企事业单位人员工资正常增长和支付保障机制；拟订全区企事业单位人员、机关工勤人员福利和离退休实施意见；拟订全区机关、事业单位工勤人员技术等级考核办法。　</w:t>
      </w:r>
    </w:p>
    <w:p>
      <w:pPr>
        <w:ind w:firstLine="320" w:firstLineChars="100"/>
        <w:rPr>
          <w:rFonts w:ascii="宋体" w:hAnsi="宋体"/>
          <w:sz w:val="32"/>
          <w:szCs w:val="32"/>
        </w:rPr>
      </w:pPr>
      <w:r>
        <w:rPr>
          <w:rFonts w:hint="eastAsia" w:ascii="宋体" w:hAnsi="宋体"/>
          <w:sz w:val="32"/>
          <w:szCs w:val="32"/>
        </w:rPr>
        <w:t>(十)会同有关部门拟订全区农民工工作综合性政策措施和规划，推动相关政策的落实，协调解决重点难点问题，维护农民工合法权益；统筹指导全区农民工就业创业和发展家庭服务员促进就业工作。</w:t>
      </w:r>
    </w:p>
    <w:p>
      <w:pPr>
        <w:rPr>
          <w:rFonts w:ascii="宋体" w:hAnsi="宋体"/>
          <w:sz w:val="32"/>
          <w:szCs w:val="32"/>
        </w:rPr>
      </w:pPr>
      <w:r>
        <w:rPr>
          <w:rFonts w:hint="eastAsia" w:ascii="宋体" w:hAnsi="宋体"/>
          <w:sz w:val="32"/>
          <w:szCs w:val="32"/>
        </w:rPr>
        <w:t>　(十一)完成区委、区政府交办的其他任务。</w:t>
      </w:r>
    </w:p>
    <w:p>
      <w:pPr>
        <w:numPr>
          <w:ilvl w:val="0"/>
          <w:numId w:val="6"/>
        </w:numPr>
        <w:spacing w:line="360" w:lineRule="auto"/>
        <w:ind w:firstLine="424" w:firstLineChars="132"/>
        <w:jc w:val="left"/>
        <w:outlineLvl w:val="1"/>
        <w:rPr>
          <w:rFonts w:cs="黑体" w:asciiTheme="minorEastAsia" w:hAnsiTheme="minorEastAsia"/>
          <w:b/>
          <w:sz w:val="32"/>
          <w:szCs w:val="32"/>
        </w:rPr>
      </w:pPr>
      <w:r>
        <w:rPr>
          <w:rFonts w:hint="eastAsia" w:cs="黑体" w:asciiTheme="minorEastAsia" w:hAnsiTheme="minorEastAsia"/>
          <w:b/>
          <w:sz w:val="32"/>
          <w:szCs w:val="32"/>
        </w:rPr>
        <w:t>机构设置</w:t>
      </w:r>
    </w:p>
    <w:p>
      <w:pPr>
        <w:ind w:firstLine="425" w:firstLineChars="133"/>
        <w:rPr>
          <w:rFonts w:ascii="宋体" w:hAnsi="宋体"/>
          <w:sz w:val="32"/>
          <w:szCs w:val="32"/>
        </w:rPr>
      </w:pPr>
      <w:r>
        <w:rPr>
          <w:rFonts w:hint="eastAsia" w:cs="黑体" w:asciiTheme="minorEastAsia" w:hAnsiTheme="minorEastAsia"/>
          <w:sz w:val="32"/>
          <w:szCs w:val="32"/>
        </w:rPr>
        <w:t xml:space="preserve">  </w:t>
      </w:r>
      <w:r>
        <w:rPr>
          <w:rFonts w:hint="eastAsia" w:cs="宋体" w:asciiTheme="minorEastAsia" w:hAnsiTheme="minorEastAsia"/>
          <w:sz w:val="32"/>
          <w:szCs w:val="32"/>
        </w:rPr>
        <w:t>信阳市浉河区人力资源和社会保障局</w:t>
      </w:r>
      <w:r>
        <w:rPr>
          <w:rFonts w:hint="eastAsia" w:cs="仿宋_GB2312" w:asciiTheme="minorEastAsia" w:hAnsiTheme="minorEastAsia"/>
          <w:sz w:val="32"/>
          <w:szCs w:val="32"/>
        </w:rPr>
        <w:t>内设</w:t>
      </w:r>
      <w:r>
        <w:rPr>
          <w:rFonts w:hint="eastAsia" w:cs="仿宋_GB2312" w:asciiTheme="minorEastAsia" w:hAnsiTheme="minorEastAsia"/>
          <w:sz w:val="32"/>
          <w:szCs w:val="32"/>
          <w:lang w:eastAsia="zh-CN"/>
        </w:rPr>
        <w:t>股室</w:t>
      </w:r>
      <w:r>
        <w:rPr>
          <w:rFonts w:hint="eastAsia" w:cs="仿宋_GB2312" w:asciiTheme="minorEastAsia" w:hAnsiTheme="minorEastAsia"/>
          <w:sz w:val="32"/>
          <w:szCs w:val="32"/>
        </w:rPr>
        <w:t>11个，包括办公室、就业促进股、职称股、事业单位人事管理股、工资福利股、社会保险股、社会保险基金监督股、仲裁信访股、劳动保障监察股、人</w:t>
      </w:r>
      <w:r>
        <w:rPr>
          <w:rFonts w:hint="eastAsia" w:ascii="宋体" w:hAnsi="宋体"/>
          <w:sz w:val="32"/>
          <w:szCs w:val="32"/>
        </w:rPr>
        <w:t>事财务股、行政审批股。信阳市浉河区人力资源和社会保障局机关内设 12个二级归口独立预算单位</w:t>
      </w:r>
      <w:r>
        <w:rPr>
          <w:rFonts w:hint="eastAsia" w:ascii="宋体" w:hAnsi="宋体"/>
          <w:sz w:val="32"/>
          <w:szCs w:val="32"/>
          <w:lang w:eastAsia="zh-CN"/>
        </w:rPr>
        <w:t>，分别是：区就业局、区失业所、区城乡居民养老保险中心、区劳动监察大队、区职工医保中心、区城乡居民医保中心、区机关事业养老保险中心、区人才培训中心、区人才交流中心、区劳务办、区劳动仲裁院、区工商所</w:t>
      </w:r>
      <w:r>
        <w:rPr>
          <w:rFonts w:hint="eastAsia" w:ascii="宋体" w:hAnsi="宋体"/>
          <w:sz w:val="32"/>
          <w:szCs w:val="32"/>
        </w:rPr>
        <w:t>。</w:t>
      </w:r>
    </w:p>
    <w:p>
      <w:pPr>
        <w:ind w:firstLine="640" w:firstLineChars="200"/>
        <w:rPr>
          <w:rFonts w:ascii="宋体" w:hAnsi="宋体"/>
          <w:sz w:val="32"/>
          <w:szCs w:val="32"/>
        </w:rPr>
      </w:pPr>
      <w:r>
        <w:rPr>
          <w:rFonts w:hint="eastAsia" w:ascii="宋体" w:hAnsi="宋体"/>
          <w:sz w:val="32"/>
          <w:szCs w:val="32"/>
        </w:rPr>
        <w:t>从决算单位构成看，信阳市浉河区人力资源和社会保障局部门决算包括：本级决算、</w:t>
      </w:r>
      <w:r>
        <w:rPr>
          <w:rFonts w:hint="eastAsia" w:ascii="宋体" w:hAnsi="宋体"/>
          <w:sz w:val="32"/>
          <w:szCs w:val="32"/>
          <w:lang w:eastAsia="zh-CN"/>
        </w:rPr>
        <w:t>和</w:t>
      </w:r>
      <w:r>
        <w:rPr>
          <w:rFonts w:hint="eastAsia" w:ascii="宋体" w:hAnsi="宋体"/>
          <w:sz w:val="32"/>
          <w:szCs w:val="32"/>
        </w:rPr>
        <w:t>所属单位</w:t>
      </w:r>
      <w:r>
        <w:rPr>
          <w:rFonts w:hint="eastAsia" w:ascii="宋体" w:hAnsi="宋体"/>
          <w:sz w:val="32"/>
          <w:szCs w:val="32"/>
          <w:lang w:eastAsia="zh-CN"/>
        </w:rPr>
        <w:t>在内的汇总</w:t>
      </w:r>
      <w:r>
        <w:rPr>
          <w:rFonts w:hint="eastAsia" w:ascii="宋体" w:hAnsi="宋体"/>
          <w:sz w:val="32"/>
          <w:szCs w:val="32"/>
        </w:rPr>
        <w:t>决算。</w:t>
      </w:r>
    </w:p>
    <w:p>
      <w:pPr>
        <w:spacing w:line="360" w:lineRule="auto"/>
        <w:ind w:firstLine="640" w:firstLineChars="200"/>
        <w:jc w:val="left"/>
        <w:rPr>
          <w:rFonts w:cs="仿宋_GB2312" w:asciiTheme="minorEastAsia" w:hAnsiTheme="minorEastAsia"/>
          <w:sz w:val="32"/>
          <w:szCs w:val="32"/>
        </w:rPr>
        <w:sectPr>
          <w:pgSz w:w="11906" w:h="16838"/>
          <w:pgMar w:top="1440" w:right="1800" w:bottom="1440" w:left="1800" w:header="851" w:footer="992" w:gutter="0"/>
          <w:pgNumType w:fmt="numberInDash"/>
          <w:cols w:space="425" w:num="1"/>
          <w:docGrid w:type="lines" w:linePitch="312" w:charSpace="0"/>
        </w:sectPr>
      </w:pPr>
    </w:p>
    <w:p>
      <w:pPr>
        <w:jc w:val="center"/>
        <w:rPr>
          <w:rFonts w:cs="黑体" w:asciiTheme="minorEastAsia" w:hAnsiTheme="minorEastAsia"/>
          <w:sz w:val="32"/>
          <w:szCs w:val="32"/>
        </w:rPr>
      </w:pPr>
    </w:p>
    <w:p>
      <w:pPr>
        <w:jc w:val="left"/>
        <w:rPr>
          <w:rFonts w:cs="黑体" w:asciiTheme="minorEastAsia" w:hAnsiTheme="minorEastAsia"/>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2018年度部门决算表</w:t>
      </w:r>
    </w:p>
    <w:p>
      <w:pPr>
        <w:numPr>
          <w:ilvl w:val="0"/>
          <w:numId w:val="0"/>
        </w:numPr>
        <w:jc w:val="both"/>
        <w:outlineLvl w:val="0"/>
        <w:rPr>
          <w:rFonts w:hint="eastAsia" w:ascii="黑体" w:hAnsi="黑体" w:eastAsia="黑体" w:cs="黑体"/>
          <w:sz w:val="48"/>
          <w:szCs w:val="48"/>
          <w:lang w:val="en-US" w:eastAsia="zh-CN"/>
        </w:rPr>
      </w:pPr>
    </w:p>
    <w:p>
      <w:pPr>
        <w:jc w:val="center"/>
        <w:rPr>
          <w:rFonts w:ascii="黑体" w:hAnsi="黑体" w:eastAsia="黑体" w:cs="黑体"/>
          <w:sz w:val="32"/>
          <w:szCs w:val="32"/>
        </w:rPr>
      </w:pPr>
      <w:r>
        <w:rPr>
          <w:rFonts w:hint="eastAsia" w:ascii="黑体" w:hAnsi="黑体" w:eastAsia="黑体" w:cs="黑体"/>
          <w:sz w:val="48"/>
          <w:szCs w:val="48"/>
          <w:lang w:val="en-US" w:eastAsia="zh-CN"/>
        </w:rPr>
        <w:t>（见附表1-8）</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cs="隶书" w:asciiTheme="minorEastAsia" w:hAnsiTheme="minorEastAsia"/>
          <w:b/>
          <w:sz w:val="48"/>
          <w:szCs w:val="48"/>
        </w:rPr>
      </w:pPr>
      <w:r>
        <w:rPr>
          <w:rFonts w:hint="eastAsia" w:cs="隶书" w:asciiTheme="minorEastAsia" w:hAnsiTheme="minorEastAsia"/>
          <w:b/>
          <w:sz w:val="48"/>
          <w:szCs w:val="48"/>
        </w:rPr>
        <w:t>第三部分</w:t>
      </w:r>
    </w:p>
    <w:p>
      <w:pPr>
        <w:jc w:val="center"/>
        <w:rPr>
          <w:rFonts w:cs="隶书" w:asciiTheme="minorEastAsia" w:hAnsiTheme="minorEastAsia"/>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cs="隶书" w:asciiTheme="minorEastAsia" w:hAnsiTheme="minorEastAsia"/>
          <w:b/>
          <w:sz w:val="48"/>
          <w:szCs w:val="48"/>
        </w:rPr>
        <w:t>信阳市浉河区人力资源和社会保障局2018年度部门决算情况说明</w:t>
      </w:r>
    </w:p>
    <w:p>
      <w:pPr>
        <w:numPr>
          <w:ilvl w:val="0"/>
          <w:numId w:val="7"/>
        </w:numPr>
        <w:adjustRightInd w:val="0"/>
        <w:snapToGrid w:val="0"/>
        <w:spacing w:line="360" w:lineRule="auto"/>
        <w:ind w:firstLine="643" w:firstLineChars="200"/>
        <w:outlineLvl w:val="1"/>
        <w:rPr>
          <w:rFonts w:asciiTheme="minorEastAsia" w:hAnsiTheme="minorEastAsia"/>
          <w:b/>
          <w:sz w:val="32"/>
          <w:szCs w:val="32"/>
        </w:rPr>
      </w:pPr>
      <w:r>
        <w:rPr>
          <w:rFonts w:hint="eastAsia" w:asciiTheme="minorEastAsia" w:hAnsiTheme="minorEastAsia"/>
          <w:b/>
          <w:sz w:val="32"/>
          <w:szCs w:val="32"/>
        </w:rPr>
        <w:t>收入支出决算总体情况说明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度收入总计1235.37万元，支出总计1235.37万元，与2017年相比，收、支总计各增加259.26万元，增长26.5%。主要原因：2018年企业军转干部及自主择业军转干部专项费用支出增加和区直事业单位招聘工作人员人数多次数多导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adjustRightInd w:val="0"/>
        <w:snapToGrid w:val="0"/>
        <w:spacing w:line="360" w:lineRule="auto"/>
        <w:ind w:firstLine="640" w:firstLineChars="200"/>
        <w:rPr>
          <w:rFonts w:asciiTheme="minorEastAsia" w:hAnsiTheme="minorEastAsia"/>
          <w:sz w:val="32"/>
          <w:szCs w:val="32"/>
        </w:rPr>
      </w:pPr>
      <w:r>
        <w:rPr>
          <w:rFonts w:hint="eastAsia" w:cs="Courier New" w:asciiTheme="minorEastAsia" w:hAnsiTheme="minorEastAsia"/>
          <w:sz w:val="32"/>
          <w:szCs w:val="32"/>
        </w:rPr>
        <w:t>2018年度</w:t>
      </w:r>
      <w:r>
        <w:rPr>
          <w:rFonts w:hint="eastAsia" w:asciiTheme="minorEastAsia" w:hAnsiTheme="minorEastAsia"/>
          <w:sz w:val="32"/>
          <w:szCs w:val="32"/>
        </w:rPr>
        <w:t>收入合计1235.37万元，其中：财政拨款收入1235.37万元，占</w:t>
      </w:r>
      <w:r>
        <w:rPr>
          <w:rFonts w:hint="eastAsia" w:cs="Courier New" w:asciiTheme="minorEastAsia" w:hAnsiTheme="minorEastAsia"/>
          <w:sz w:val="32"/>
          <w:szCs w:val="32"/>
        </w:rPr>
        <w:t>100%</w:t>
      </w:r>
      <w:r>
        <w:rPr>
          <w:rFonts w:hint="eastAsia" w:asciiTheme="minorEastAsia" w:hAnsiTheme="minorEastAsia"/>
          <w:sz w:val="32"/>
          <w:szCs w:val="32"/>
        </w:rPr>
        <w:t>。</w:t>
      </w:r>
    </w:p>
    <w:p>
      <w:pPr>
        <w:pStyle w:val="14"/>
        <w:numPr>
          <w:ilvl w:val="0"/>
          <w:numId w:val="1"/>
        </w:numPr>
        <w:adjustRightInd w:val="0"/>
        <w:snapToGrid w:val="0"/>
        <w:spacing w:line="360" w:lineRule="auto"/>
        <w:ind w:firstLine="709" w:firstLineChars="0"/>
        <w:outlineLvl w:val="1"/>
        <w:rPr>
          <w:rFonts w:asciiTheme="minorEastAsia" w:hAnsiTheme="minorEastAsia"/>
          <w:b/>
          <w:sz w:val="32"/>
          <w:szCs w:val="32"/>
        </w:rPr>
      </w:pPr>
      <w:r>
        <w:rPr>
          <w:rFonts w:hint="eastAsia" w:asciiTheme="minorEastAsia" w:hAnsiTheme="minorEastAsia"/>
          <w:b/>
          <w:sz w:val="32"/>
          <w:szCs w:val="32"/>
        </w:rPr>
        <w:t>支出决算情况说明</w:t>
      </w:r>
    </w:p>
    <w:p>
      <w:pPr>
        <w:adjustRightInd w:val="0"/>
        <w:snapToGrid w:val="0"/>
        <w:spacing w:line="360" w:lineRule="auto"/>
        <w:ind w:firstLine="640" w:firstLineChars="200"/>
        <w:rPr>
          <w:rFonts w:cs="Courier New" w:asciiTheme="minorEastAsia" w:hAnsiTheme="minorEastAsia"/>
          <w:b/>
          <w:sz w:val="32"/>
          <w:szCs w:val="32"/>
        </w:rPr>
      </w:pPr>
      <w:r>
        <w:rPr>
          <w:rFonts w:hint="eastAsia" w:cs="Courier New" w:asciiTheme="minorEastAsia" w:hAnsiTheme="minorEastAsia"/>
          <w:sz w:val="32"/>
          <w:szCs w:val="32"/>
        </w:rPr>
        <w:t>2018年度支出合计1235.37万元，其中：基本支出1235.37万元。</w:t>
      </w:r>
    </w:p>
    <w:p>
      <w:pPr>
        <w:numPr>
          <w:ilvl w:val="0"/>
          <w:numId w:val="1"/>
        </w:numPr>
        <w:adjustRightInd w:val="0"/>
        <w:snapToGrid w:val="0"/>
        <w:spacing w:line="360" w:lineRule="auto"/>
        <w:ind w:firstLine="643" w:firstLineChars="200"/>
        <w:outlineLvl w:val="1"/>
        <w:rPr>
          <w:rFonts w:asciiTheme="minorEastAsia" w:hAnsiTheme="minorEastAsia"/>
          <w:b/>
          <w:sz w:val="32"/>
          <w:szCs w:val="32"/>
        </w:rPr>
      </w:pPr>
      <w:r>
        <w:rPr>
          <w:rFonts w:hint="eastAsia" w:asciiTheme="minorEastAsia" w:hAnsiTheme="minorEastAsia"/>
          <w:b/>
          <w:sz w:val="32"/>
          <w:szCs w:val="32"/>
        </w:rPr>
        <w:t>财政拨款收入支出决算总体情况说明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财政拨款收、支总计均为1235.37万元。与2017年相比，财政拨款收、支总计各增加259.26万元，增长26.5%。主要原因：2018年企业军转干部及自主择业军转干部专项费用支出增加和区直事业单位招聘工作人员人数多次数多导致。</w:t>
      </w:r>
    </w:p>
    <w:p>
      <w:pPr>
        <w:numPr>
          <w:ilvl w:val="0"/>
          <w:numId w:val="1"/>
        </w:numPr>
        <w:adjustRightInd w:val="0"/>
        <w:snapToGrid w:val="0"/>
        <w:spacing w:line="360" w:lineRule="auto"/>
        <w:ind w:firstLine="643" w:firstLineChars="200"/>
        <w:outlineLvl w:val="1"/>
        <w:rPr>
          <w:rFonts w:asciiTheme="minorEastAsia" w:hAnsiTheme="minorEastAsia"/>
          <w:b/>
          <w:sz w:val="32"/>
          <w:szCs w:val="32"/>
        </w:rPr>
      </w:pPr>
      <w:r>
        <w:rPr>
          <w:rFonts w:hint="eastAsia" w:asciiTheme="minorEastAsia" w:hAnsiTheme="minorEastAsia"/>
          <w:b/>
          <w:sz w:val="32"/>
          <w:szCs w:val="32"/>
        </w:rPr>
        <w:t>一般公共预算财政拨款支出决算情况说明</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财政拨款支出决算总体情况。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一般公共预算财政拨款支出1235.37万元，占支出合计的100%。与2017年相比，一般公共预算财政拨款支出增加259.26万元，增长26.5%。主要原因：2018年企业军转干部及自主择业军转干部专项费用支出增加和区直事业单位招聘工作人员人数多次数多导致。</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结构情况。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2018年度一般公共预算财政拨款支出1235.37万元，主要用于以下方面：</w:t>
      </w:r>
      <w:r>
        <w:rPr>
          <w:rFonts w:hint="eastAsia" w:cs="Courier New" w:asciiTheme="minorEastAsia" w:hAnsiTheme="minorEastAsia"/>
          <w:b/>
          <w:bCs/>
          <w:sz w:val="32"/>
          <w:szCs w:val="32"/>
        </w:rPr>
        <w:t>一般公共服务（类）</w:t>
      </w:r>
      <w:r>
        <w:rPr>
          <w:rFonts w:hint="eastAsia" w:cs="Courier New" w:asciiTheme="minorEastAsia" w:hAnsiTheme="minorEastAsia"/>
          <w:sz w:val="32"/>
          <w:szCs w:val="32"/>
        </w:rPr>
        <w:t>支出621.33万元，占50.29%；</w:t>
      </w:r>
      <w:r>
        <w:rPr>
          <w:rFonts w:hint="eastAsia" w:cs="Courier New" w:asciiTheme="minorEastAsia" w:hAnsiTheme="minorEastAsia"/>
          <w:b/>
          <w:bCs/>
          <w:sz w:val="32"/>
          <w:szCs w:val="32"/>
        </w:rPr>
        <w:t>社会保障和就业</w:t>
      </w:r>
      <w:r>
        <w:rPr>
          <w:rFonts w:hint="eastAsia" w:cs="Courier New" w:asciiTheme="minorEastAsia" w:hAnsiTheme="minorEastAsia"/>
          <w:sz w:val="32"/>
          <w:szCs w:val="32"/>
        </w:rPr>
        <w:t>支出614.04万元，占49.71%。</w:t>
      </w:r>
    </w:p>
    <w:p>
      <w:pPr>
        <w:numPr>
          <w:ilvl w:val="0"/>
          <w:numId w:val="8"/>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具体情况。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2018年度一般公共预算财政拨款支出年初预算为1260万元，支出决算为1235.37万元，完成年初预算的98%。</w:t>
      </w:r>
    </w:p>
    <w:p>
      <w:pPr>
        <w:pStyle w:val="14"/>
        <w:numPr>
          <w:ilvl w:val="0"/>
          <w:numId w:val="9"/>
        </w:numPr>
        <w:adjustRightInd w:val="0"/>
        <w:snapToGrid w:val="0"/>
        <w:spacing w:line="360" w:lineRule="auto"/>
        <w:ind w:left="0" w:firstLine="709" w:firstLineChars="0"/>
        <w:rPr>
          <w:rFonts w:cs="Courier New" w:asciiTheme="minorEastAsia" w:hAnsiTheme="minorEastAsia"/>
          <w:sz w:val="32"/>
          <w:szCs w:val="32"/>
        </w:rPr>
      </w:pPr>
      <w:r>
        <w:rPr>
          <w:rFonts w:hint="eastAsia" w:cs="Courier New" w:asciiTheme="minorEastAsia" w:hAnsiTheme="minorEastAsia"/>
          <w:b/>
          <w:bCs/>
          <w:sz w:val="32"/>
          <w:szCs w:val="32"/>
        </w:rPr>
        <w:t>一般公共服务（类）人力资源事务（款）军队转业安置（项）。</w:t>
      </w:r>
      <w:r>
        <w:rPr>
          <w:rFonts w:hint="eastAsia" w:cs="Courier New" w:asciiTheme="minorEastAsia" w:hAnsiTheme="minorEastAsia"/>
          <w:sz w:val="32"/>
          <w:szCs w:val="32"/>
        </w:rPr>
        <w:t>年初预算为300万元，支出决算为240.36万元，完成年初预算的80.12%。</w:t>
      </w:r>
    </w:p>
    <w:p>
      <w:pPr>
        <w:pStyle w:val="14"/>
        <w:numPr>
          <w:ilvl w:val="0"/>
          <w:numId w:val="9"/>
        </w:numPr>
        <w:adjustRightInd w:val="0"/>
        <w:snapToGrid w:val="0"/>
        <w:spacing w:line="360" w:lineRule="auto"/>
        <w:ind w:left="142" w:firstLine="567" w:firstLineChars="0"/>
        <w:rPr>
          <w:rFonts w:cs="Courier New" w:asciiTheme="minorEastAsia" w:hAnsiTheme="minorEastAsia"/>
          <w:sz w:val="32"/>
          <w:szCs w:val="32"/>
        </w:rPr>
      </w:pPr>
      <w:r>
        <w:rPr>
          <w:rFonts w:hint="eastAsia" w:cs="Courier New" w:asciiTheme="minorEastAsia" w:hAnsiTheme="minorEastAsia"/>
          <w:b/>
          <w:bCs/>
          <w:sz w:val="32"/>
          <w:szCs w:val="32"/>
        </w:rPr>
        <w:t>一般公共服务（类）人力资源事务（款）其他人力资源事务（项）。</w:t>
      </w:r>
      <w:r>
        <w:rPr>
          <w:rFonts w:hint="eastAsia" w:cs="Courier New" w:asciiTheme="minorEastAsia" w:hAnsiTheme="minorEastAsia"/>
          <w:sz w:val="32"/>
          <w:szCs w:val="32"/>
        </w:rPr>
        <w:t>年初预算为360万元，支出决算为380.97万元，完成年初预算106%。</w:t>
      </w:r>
    </w:p>
    <w:p>
      <w:pPr>
        <w:pStyle w:val="14"/>
        <w:numPr>
          <w:ilvl w:val="0"/>
          <w:numId w:val="9"/>
        </w:numPr>
        <w:adjustRightInd w:val="0"/>
        <w:snapToGrid w:val="0"/>
        <w:spacing w:line="360" w:lineRule="auto"/>
        <w:ind w:left="142" w:firstLine="567" w:firstLineChars="0"/>
        <w:rPr>
          <w:rFonts w:cs="Courier New" w:asciiTheme="minorEastAsia" w:hAnsiTheme="minorEastAsia"/>
          <w:sz w:val="32"/>
          <w:szCs w:val="32"/>
        </w:rPr>
      </w:pPr>
      <w:r>
        <w:rPr>
          <w:rFonts w:hint="eastAsia" w:cs="Courier New" w:asciiTheme="minorEastAsia" w:hAnsiTheme="minorEastAsia"/>
          <w:b/>
          <w:bCs/>
          <w:sz w:val="32"/>
          <w:szCs w:val="32"/>
        </w:rPr>
        <w:t>社会保障和就业支出（类）人力资源和社会保障管理事务（款）行政运行（项）。</w:t>
      </w:r>
      <w:r>
        <w:rPr>
          <w:rFonts w:hint="eastAsia" w:cs="Courier New" w:asciiTheme="minorEastAsia" w:hAnsiTheme="minorEastAsia"/>
          <w:sz w:val="32"/>
          <w:szCs w:val="32"/>
        </w:rPr>
        <w:t>年初预算为620万元，支出决算为614.04万元，完成年初预算99%。</w:t>
      </w:r>
    </w:p>
    <w:p>
      <w:pPr>
        <w:adjustRightInd w:val="0"/>
        <w:snapToGrid w:val="0"/>
        <w:spacing w:line="360" w:lineRule="auto"/>
        <w:ind w:left="640"/>
        <w:outlineLvl w:val="1"/>
        <w:rPr>
          <w:rFonts w:asciiTheme="minorEastAsia" w:hAnsiTheme="minorEastAsia"/>
          <w:b/>
          <w:sz w:val="32"/>
          <w:szCs w:val="32"/>
        </w:rPr>
      </w:pPr>
      <w:r>
        <w:rPr>
          <w:rFonts w:hint="eastAsia" w:asciiTheme="minorEastAsia" w:hAnsiTheme="minorEastAsia"/>
          <w:sz w:val="32"/>
          <w:szCs w:val="32"/>
        </w:rPr>
        <w:t>六、</w:t>
      </w:r>
      <w:r>
        <w:rPr>
          <w:rFonts w:hint="eastAsia" w:asciiTheme="minorEastAsia" w:hAnsiTheme="minorEastAsia"/>
          <w:b/>
          <w:sz w:val="32"/>
          <w:szCs w:val="32"/>
        </w:rPr>
        <w:t>一般公共预算财政拨款基本支出决算情况说明</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2018年一般公共预算财政拨款基本支出1235.37万元，其中：</w:t>
      </w:r>
      <w:r>
        <w:rPr>
          <w:rFonts w:hint="eastAsia" w:cs="仿宋_GB2312" w:asciiTheme="minorEastAsia" w:hAnsiTheme="minorEastAsia"/>
          <w:bCs/>
          <w:spacing w:val="-1"/>
          <w:kern w:val="0"/>
          <w:sz w:val="32"/>
          <w:szCs w:val="32"/>
        </w:rPr>
        <w:t>人员经费1014.99万元</w:t>
      </w:r>
      <w:r>
        <w:rPr>
          <w:rFonts w:hint="eastAsia" w:cs="Courier New" w:asciiTheme="minorEastAsia" w:hAnsiTheme="minorEastAsia"/>
          <w:bCs/>
          <w:sz w:val="32"/>
          <w:szCs w:val="32"/>
        </w:rPr>
        <w:t>，</w:t>
      </w:r>
      <w:r>
        <w:rPr>
          <w:rFonts w:hint="eastAsia" w:cs="Courier New" w:asciiTheme="minorEastAsia" w:hAnsiTheme="minorEastAsia"/>
          <w:sz w:val="32"/>
          <w:szCs w:val="32"/>
        </w:rPr>
        <w:t>主要包括：基本工资、津贴补贴、社会保障缴费、绩效工资、离休费、死亡抚恤金、军转干部支出等；</w:t>
      </w:r>
      <w:r>
        <w:rPr>
          <w:rFonts w:hint="eastAsia" w:cs="仿宋_GB2312" w:asciiTheme="minorEastAsia" w:hAnsiTheme="minorEastAsia"/>
          <w:b/>
          <w:spacing w:val="-1"/>
          <w:kern w:val="0"/>
          <w:sz w:val="32"/>
          <w:szCs w:val="32"/>
        </w:rPr>
        <w:t>公用经费</w:t>
      </w:r>
      <w:r>
        <w:rPr>
          <w:rFonts w:hint="eastAsia" w:cs="仿宋_GB2312" w:asciiTheme="minorEastAsia" w:hAnsiTheme="minorEastAsia"/>
          <w:spacing w:val="-2"/>
          <w:kern w:val="0"/>
          <w:sz w:val="32"/>
          <w:szCs w:val="32"/>
        </w:rPr>
        <w:t>220.38万元</w:t>
      </w:r>
      <w:r>
        <w:rPr>
          <w:rFonts w:hint="eastAsia" w:cs="Courier New" w:asciiTheme="minorEastAsia" w:hAnsiTheme="minorEastAsia"/>
          <w:sz w:val="32"/>
          <w:szCs w:val="32"/>
        </w:rPr>
        <w:t>，主要包括：办公费、印刷费、水电费、邮电费、维修费、租赁费、事业单位招聘办公费、交通补贴、差旅费、加班工作餐等。</w:t>
      </w:r>
    </w:p>
    <w:p>
      <w:pPr>
        <w:adjustRightInd w:val="0"/>
        <w:snapToGrid w:val="0"/>
        <w:spacing w:line="360" w:lineRule="auto"/>
        <w:ind w:firstLine="640" w:firstLineChars="200"/>
        <w:outlineLvl w:val="1"/>
        <w:rPr>
          <w:rFonts w:asciiTheme="minorEastAsia" w:hAnsiTheme="minorEastAsia"/>
          <w:sz w:val="32"/>
          <w:szCs w:val="32"/>
        </w:rPr>
      </w:pPr>
      <w:r>
        <w:rPr>
          <w:rFonts w:hint="eastAsia" w:asciiTheme="minorEastAsia" w:hAnsiTheme="minorEastAsia"/>
          <w:sz w:val="32"/>
          <w:szCs w:val="32"/>
        </w:rPr>
        <w:t>七</w:t>
      </w:r>
      <w:r>
        <w:rPr>
          <w:rFonts w:hint="eastAsia" w:asciiTheme="minorEastAsia" w:hAnsiTheme="minorEastAsia"/>
          <w:b/>
          <w:sz w:val="32"/>
          <w:szCs w:val="32"/>
        </w:rPr>
        <w:t>、一般公共预算财政拨款“三公”经费支出决算情况说明</w:t>
      </w:r>
    </w:p>
    <w:p>
      <w:pPr>
        <w:numPr>
          <w:ilvl w:val="0"/>
          <w:numId w:val="10"/>
        </w:numPr>
        <w:kinsoku w:val="0"/>
        <w:overflowPunct w:val="0"/>
        <w:autoSpaceDE w:val="0"/>
        <w:autoSpaceDN w:val="0"/>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度“三公”经费财政拨款支出预算为6.5万元，支出决算为6万元，完成预算的92%，当年无因公出国（境）费支出和公务用车购置及运行费支出，6万元“三公”经费支出大部分属平时加班用餐。2018年度“三公”经费财政拨款支出决算数比2017年减少1.65万元，下降22%。减少的主要原因是2018年我局按照中央国务院八项规定和省委省政府厉行节约的相关规定要求，严格管控“三公”经费支出，进一步压缩公务接待开支。</w:t>
      </w:r>
    </w:p>
    <w:p>
      <w:pPr>
        <w:numPr>
          <w:ilvl w:val="0"/>
          <w:numId w:val="10"/>
        </w:numPr>
        <w:kinsoku w:val="0"/>
        <w:overflowPunct w:val="0"/>
        <w:autoSpaceDE w:val="0"/>
        <w:autoSpaceDN w:val="0"/>
        <w:adjustRightInd w:val="0"/>
        <w:snapToGrid w:val="0"/>
        <w:spacing w:line="360" w:lineRule="auto"/>
        <w:ind w:left="-640" w:leftChars="0" w:firstLine="640" w:firstLineChars="0"/>
        <w:rPr>
          <w:rFonts w:cs="楷体_GB2312" w:asciiTheme="minorEastAsia" w:hAnsiTheme="minorEastAsia"/>
          <w:sz w:val="32"/>
          <w:szCs w:val="32"/>
        </w:rPr>
      </w:pPr>
      <w:r>
        <w:rPr>
          <w:rFonts w:hint="eastAsia" w:cs="楷体_GB2312" w:asciiTheme="minorEastAsia" w:hAnsiTheme="minorEastAsia"/>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cs="Courier New" w:asciiTheme="minorEastAsia" w:hAnsiTheme="minorEastAsia"/>
          <w:sz w:val="32"/>
          <w:szCs w:val="32"/>
          <w:lang w:val="en-US" w:eastAsia="zh-CN"/>
        </w:rPr>
      </w:pPr>
      <w:r>
        <w:rPr>
          <w:rFonts w:hint="eastAsia" w:cs="Courier New" w:asciiTheme="minorEastAsia" w:hAnsiTheme="minorEastAsia"/>
          <w:sz w:val="32"/>
          <w:szCs w:val="32"/>
        </w:rPr>
        <w:t>2018年度“三公”经费财政拨款支出决算中，因公出国（境）费支出决算0万元，完成预算的0%，占0%；公务用车购置及运行费支出决算0万元，完成预算的0%，占0%；公务接待费支出决算</w:t>
      </w:r>
      <w:r>
        <w:rPr>
          <w:rFonts w:hint="eastAsia" w:cs="Courier New" w:asciiTheme="minorEastAsia" w:hAnsiTheme="minorEastAsia"/>
          <w:sz w:val="32"/>
          <w:szCs w:val="32"/>
          <w:lang w:val="en-US" w:eastAsia="zh-CN"/>
        </w:rPr>
        <w:t>6</w:t>
      </w:r>
      <w:r>
        <w:rPr>
          <w:rFonts w:hint="eastAsia" w:cs="Courier New" w:asciiTheme="minorEastAsia" w:hAnsiTheme="minorEastAsia"/>
          <w:sz w:val="32"/>
          <w:szCs w:val="32"/>
        </w:rPr>
        <w:t>万元，完成预算的</w:t>
      </w:r>
      <w:r>
        <w:rPr>
          <w:rFonts w:hint="eastAsia" w:cs="Courier New" w:asciiTheme="minorEastAsia" w:hAnsiTheme="minorEastAsia"/>
          <w:sz w:val="32"/>
          <w:szCs w:val="32"/>
          <w:lang w:val="en-US" w:eastAsia="zh-CN"/>
        </w:rPr>
        <w:t>92.3</w:t>
      </w:r>
      <w:r>
        <w:rPr>
          <w:rFonts w:hint="eastAsia" w:cs="Courier New" w:asciiTheme="minorEastAsia" w:hAnsiTheme="minorEastAsia"/>
          <w:sz w:val="32"/>
          <w:szCs w:val="32"/>
        </w:rPr>
        <w:t>%，占100%</w:t>
      </w:r>
      <w:r>
        <w:rPr>
          <w:rFonts w:hint="eastAsia" w:cs="Courier New" w:asciiTheme="minorEastAsia" w:hAnsiTheme="minorEastAsia"/>
          <w:sz w:val="32"/>
          <w:szCs w:val="32"/>
          <w:lang w:val="en-US" w:eastAsia="zh-CN"/>
        </w:rPr>
        <w:t>,</w:t>
      </w:r>
      <w:r>
        <w:rPr>
          <w:rFonts w:hint="eastAsia" w:cs="Courier New" w:asciiTheme="minorEastAsia" w:hAnsiTheme="minorEastAsia"/>
          <w:sz w:val="32"/>
          <w:szCs w:val="32"/>
        </w:rPr>
        <w:t>且大部分属平时加班工作用餐</w:t>
      </w:r>
      <w:r>
        <w:rPr>
          <w:rFonts w:hint="eastAsia" w:cs="Courier New" w:asciiTheme="minorEastAsia" w:hAnsiTheme="minorEastAsia"/>
          <w:sz w:val="32"/>
          <w:szCs w:val="32"/>
          <w:lang w:eastAsia="zh-CN"/>
        </w:rPr>
        <w:t>，累计</w:t>
      </w:r>
      <w:r>
        <w:rPr>
          <w:rFonts w:hint="eastAsia" w:cs="Courier New" w:asciiTheme="minorEastAsia" w:hAnsiTheme="minorEastAsia"/>
          <w:sz w:val="32"/>
          <w:szCs w:val="32"/>
          <w:lang w:val="en-US" w:eastAsia="zh-CN"/>
        </w:rPr>
        <w:t>80</w:t>
      </w:r>
      <w:r>
        <w:rPr>
          <w:rFonts w:hint="eastAsia" w:cs="Courier New" w:asciiTheme="minorEastAsia" w:hAnsiTheme="minorEastAsia"/>
          <w:sz w:val="32"/>
          <w:szCs w:val="32"/>
          <w:lang w:eastAsia="zh-CN"/>
        </w:rPr>
        <w:t>批次，累计</w:t>
      </w:r>
      <w:r>
        <w:rPr>
          <w:rFonts w:hint="eastAsia" w:cs="Courier New" w:asciiTheme="minorEastAsia" w:hAnsiTheme="minorEastAsia"/>
          <w:sz w:val="32"/>
          <w:szCs w:val="32"/>
          <w:lang w:val="en-US" w:eastAsia="zh-CN"/>
        </w:rPr>
        <w:t>800</w:t>
      </w:r>
      <w:r>
        <w:rPr>
          <w:rFonts w:hint="eastAsia" w:cs="Courier New" w:asciiTheme="minorEastAsia" w:hAnsiTheme="minorEastAsia"/>
          <w:sz w:val="32"/>
          <w:szCs w:val="32"/>
          <w:lang w:eastAsia="zh-CN"/>
        </w:rPr>
        <w:t>人次</w:t>
      </w:r>
      <w:r>
        <w:rPr>
          <w:rFonts w:hint="eastAsia" w:cs="Courier New" w:asciiTheme="minorEastAsia" w:hAnsiTheme="minorEastAsia"/>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cs="Courier New" w:asciiTheme="minorEastAsia" w:hAnsiTheme="minorEastAsia"/>
          <w:sz w:val="32"/>
          <w:szCs w:val="32"/>
        </w:rPr>
        <w:t>因公出国（境）费年初预算为0万元，支出决算为0万元，完成年初预算的0%。决算数与年初预算数存在差异的主要原因是无。全年因公出国（境）团组0个，累计0人次。</w:t>
      </w:r>
    </w:p>
    <w:p>
      <w:pPr>
        <w:widowControl/>
        <w:spacing w:line="590" w:lineRule="exact"/>
        <w:ind w:firstLine="643" w:firstLineChars="200"/>
        <w:rPr>
          <w:rFonts w:hint="eastAsia" w:cs="Courier New" w:asciiTheme="minorEastAsia" w:hAnsiTheme="minorEastAsia"/>
          <w:sz w:val="32"/>
          <w:szCs w:val="32"/>
        </w:rPr>
      </w:pPr>
      <w:r>
        <w:rPr>
          <w:rFonts w:hint="eastAsia" w:ascii="仿宋_GB2312" w:hAnsi="仿宋_GB2312" w:eastAsia="仿宋_GB2312" w:cs="仿宋_GB2312"/>
          <w:b/>
          <w:bCs/>
          <w:sz w:val="32"/>
          <w:szCs w:val="32"/>
        </w:rPr>
        <w:t>2．</w:t>
      </w:r>
      <w:r>
        <w:rPr>
          <w:rFonts w:hint="eastAsia" w:cs="Courier New" w:asciiTheme="minorEastAsia" w:hAnsiTheme="minorEastAsia"/>
          <w:sz w:val="32"/>
          <w:szCs w:val="32"/>
        </w:rPr>
        <w:t>公务用车购置及运行费年初预算为0万元，支出决算为0万元，完成年初预算的0%。决算数与年初预算数存在差异的主要原因是无。</w:t>
      </w:r>
    </w:p>
    <w:p>
      <w:pPr>
        <w:widowControl/>
        <w:spacing w:line="590" w:lineRule="exact"/>
        <w:ind w:firstLine="640" w:firstLineChars="200"/>
        <w:rPr>
          <w:rFonts w:hint="eastAsia" w:ascii="仿宋_GB2312" w:hAnsi="仿宋_GB2312" w:eastAsia="仿宋_GB2312" w:cs="仿宋_GB2312"/>
          <w:sz w:val="32"/>
          <w:szCs w:val="32"/>
        </w:rPr>
      </w:pPr>
      <w:r>
        <w:rPr>
          <w:rFonts w:hint="eastAsia" w:cs="Courier New" w:asciiTheme="minorEastAsia" w:hAnsiTheme="minorEastAsia"/>
          <w:sz w:val="32"/>
          <w:szCs w:val="32"/>
        </w:rPr>
        <w:t>公务用车购置支出为0万元，购置车辆0辆。</w:t>
      </w:r>
    </w:p>
    <w:p>
      <w:pPr>
        <w:widowControl/>
        <w:spacing w:line="590" w:lineRule="exact"/>
        <w:ind w:firstLine="640" w:firstLineChars="200"/>
        <w:rPr>
          <w:rFonts w:hint="eastAsia" w:cs="Courier New" w:asciiTheme="minorEastAsia" w:hAnsiTheme="minorEastAsia"/>
          <w:sz w:val="32"/>
          <w:szCs w:val="32"/>
        </w:rPr>
      </w:pPr>
      <w:r>
        <w:rPr>
          <w:rFonts w:hint="eastAsia" w:cs="Courier New" w:asciiTheme="minorEastAsia" w:hAnsiTheme="minorEastAsia"/>
          <w:sz w:val="32"/>
          <w:szCs w:val="32"/>
        </w:rPr>
        <w:t>公务用车运行支出0万元。2018年期末，部门开支财政拨款的公务用车保有量为0辆。</w:t>
      </w:r>
    </w:p>
    <w:p>
      <w:pPr>
        <w:widowControl/>
        <w:spacing w:line="590" w:lineRule="exact"/>
        <w:ind w:firstLine="643" w:firstLineChars="200"/>
        <w:rPr>
          <w:rFonts w:hint="eastAsia" w:cs="Courier New" w:asciiTheme="minorEastAsia" w:hAnsiTheme="minorEastAsia"/>
          <w:sz w:val="32"/>
          <w:szCs w:val="32"/>
        </w:rPr>
      </w:pPr>
      <w:r>
        <w:rPr>
          <w:rFonts w:hint="eastAsia" w:ascii="仿宋_GB2312" w:hAnsi="仿宋_GB2312" w:eastAsia="仿宋_GB2312" w:cs="仿宋_GB2312"/>
          <w:b/>
          <w:bCs/>
          <w:sz w:val="32"/>
          <w:szCs w:val="32"/>
        </w:rPr>
        <w:t>3.</w:t>
      </w:r>
      <w:r>
        <w:rPr>
          <w:rFonts w:hint="eastAsia" w:cs="Courier New" w:asciiTheme="minorEastAsia" w:hAnsiTheme="minorEastAsia"/>
          <w:sz w:val="32"/>
          <w:szCs w:val="32"/>
        </w:rPr>
        <w:t>公务接待费年初预算为</w:t>
      </w:r>
      <w:r>
        <w:rPr>
          <w:rFonts w:hint="eastAsia" w:cs="Courier New" w:asciiTheme="minorEastAsia" w:hAnsiTheme="minorEastAsia"/>
          <w:sz w:val="32"/>
          <w:szCs w:val="32"/>
          <w:lang w:val="en-US" w:eastAsia="zh-CN"/>
        </w:rPr>
        <w:t>6.5</w:t>
      </w:r>
      <w:r>
        <w:rPr>
          <w:rFonts w:hint="eastAsia" w:cs="Courier New" w:asciiTheme="minorEastAsia" w:hAnsiTheme="minorEastAsia"/>
          <w:sz w:val="32"/>
          <w:szCs w:val="32"/>
        </w:rPr>
        <w:t>万元，支出决算为</w:t>
      </w:r>
      <w:r>
        <w:rPr>
          <w:rFonts w:hint="eastAsia" w:cs="Courier New" w:asciiTheme="minorEastAsia" w:hAnsiTheme="minorEastAsia"/>
          <w:sz w:val="32"/>
          <w:szCs w:val="32"/>
          <w:lang w:val="en-US" w:eastAsia="zh-CN"/>
        </w:rPr>
        <w:t>6</w:t>
      </w:r>
      <w:r>
        <w:rPr>
          <w:rFonts w:hint="eastAsia" w:cs="Courier New" w:asciiTheme="minorEastAsia" w:hAnsiTheme="minorEastAsia"/>
          <w:sz w:val="32"/>
          <w:szCs w:val="32"/>
        </w:rPr>
        <w:t>万元，完成年初预算的</w:t>
      </w:r>
      <w:r>
        <w:rPr>
          <w:rFonts w:hint="eastAsia" w:cs="Courier New" w:asciiTheme="minorEastAsia" w:hAnsiTheme="minorEastAsia"/>
          <w:sz w:val="32"/>
          <w:szCs w:val="32"/>
          <w:lang w:val="en-US" w:eastAsia="zh-CN"/>
        </w:rPr>
        <w:t>92.3</w:t>
      </w:r>
      <w:r>
        <w:rPr>
          <w:rFonts w:hint="eastAsia" w:cs="Courier New" w:asciiTheme="minorEastAsia" w:hAnsiTheme="minorEastAsia"/>
          <w:sz w:val="32"/>
          <w:szCs w:val="32"/>
        </w:rPr>
        <w:t>%</w:t>
      </w:r>
      <w:r>
        <w:rPr>
          <w:rFonts w:hint="eastAsia" w:cs="Courier New" w:asciiTheme="minorEastAsia" w:hAnsiTheme="minorEastAsia"/>
          <w:sz w:val="32"/>
          <w:szCs w:val="32"/>
          <w:lang w:val="en-US" w:eastAsia="zh-CN"/>
        </w:rPr>
        <w:t>,</w:t>
      </w:r>
      <w:r>
        <w:rPr>
          <w:rFonts w:hint="eastAsia" w:cs="Courier New" w:asciiTheme="minorEastAsia" w:hAnsiTheme="minorEastAsia"/>
          <w:sz w:val="32"/>
          <w:szCs w:val="32"/>
        </w:rPr>
        <w:t>且大部分属平时加班工作用餐。决算数与年初预算数存在差异的主要原因是严格按照“三公”经费只降不增的文件精神执行。其中：</w:t>
      </w:r>
    </w:p>
    <w:p>
      <w:pPr>
        <w:widowControl/>
        <w:spacing w:line="590" w:lineRule="exact"/>
        <w:ind w:firstLine="640" w:firstLineChars="200"/>
        <w:rPr>
          <w:rFonts w:hint="eastAsia" w:cs="Courier New" w:asciiTheme="minorEastAsia" w:hAnsiTheme="minorEastAsia"/>
          <w:sz w:val="32"/>
          <w:szCs w:val="32"/>
        </w:rPr>
      </w:pPr>
      <w:r>
        <w:rPr>
          <w:rFonts w:hint="eastAsia" w:cs="Courier New" w:asciiTheme="minorEastAsia" w:hAnsiTheme="minorEastAsia"/>
          <w:sz w:val="32"/>
          <w:szCs w:val="32"/>
        </w:rPr>
        <w:t>外宾接待支出0万元。2018年共接待国（境）外来访团组0个、来访外宾0人次（不包括陪同人员）。</w:t>
      </w:r>
    </w:p>
    <w:p>
      <w:pPr>
        <w:widowControl/>
        <w:spacing w:line="590" w:lineRule="exact"/>
        <w:ind w:firstLine="640" w:firstLineChars="200"/>
        <w:rPr>
          <w:rFonts w:hint="eastAsia" w:cs="Courier New" w:asciiTheme="minorEastAsia" w:hAnsiTheme="minorEastAsia"/>
          <w:sz w:val="32"/>
          <w:szCs w:val="32"/>
        </w:rPr>
      </w:pPr>
      <w:r>
        <w:rPr>
          <w:rFonts w:hint="eastAsia" w:cs="Courier New" w:asciiTheme="minorEastAsia" w:hAnsiTheme="minorEastAsia"/>
          <w:sz w:val="32"/>
          <w:szCs w:val="32"/>
        </w:rPr>
        <w:t>其他国内公务接待支出</w:t>
      </w:r>
      <w:r>
        <w:rPr>
          <w:rFonts w:hint="eastAsia" w:cs="Courier New" w:asciiTheme="minorEastAsia" w:hAnsiTheme="minorEastAsia"/>
          <w:sz w:val="32"/>
          <w:szCs w:val="32"/>
          <w:lang w:val="en-US" w:eastAsia="zh-CN"/>
        </w:rPr>
        <w:t>0</w:t>
      </w:r>
      <w:r>
        <w:rPr>
          <w:rFonts w:hint="eastAsia" w:cs="Courier New" w:asciiTheme="minorEastAsia" w:hAnsiTheme="minorEastAsia"/>
          <w:sz w:val="32"/>
          <w:szCs w:val="32"/>
        </w:rPr>
        <w:t>万元。主要用于县区之间往来业务交流、学习。2018年共接待国内来访团组</w:t>
      </w:r>
      <w:r>
        <w:rPr>
          <w:rFonts w:hint="eastAsia" w:cs="Courier New" w:asciiTheme="minorEastAsia" w:hAnsiTheme="minorEastAsia"/>
          <w:sz w:val="32"/>
          <w:szCs w:val="32"/>
          <w:lang w:val="en-US" w:eastAsia="zh-CN"/>
        </w:rPr>
        <w:t>0</w:t>
      </w:r>
      <w:r>
        <w:rPr>
          <w:rFonts w:hint="eastAsia" w:cs="Courier New" w:asciiTheme="minorEastAsia" w:hAnsiTheme="minorEastAsia"/>
          <w:sz w:val="32"/>
          <w:szCs w:val="32"/>
        </w:rPr>
        <w:t>个、来宾</w:t>
      </w:r>
      <w:r>
        <w:rPr>
          <w:rFonts w:hint="eastAsia" w:cs="Courier New" w:asciiTheme="minorEastAsia" w:hAnsiTheme="minorEastAsia"/>
          <w:sz w:val="32"/>
          <w:szCs w:val="32"/>
          <w:lang w:val="en-US" w:eastAsia="zh-CN"/>
        </w:rPr>
        <w:t>0</w:t>
      </w:r>
      <w:r>
        <w:rPr>
          <w:rFonts w:hint="eastAsia" w:cs="Courier New" w:asciiTheme="minorEastAsia" w:hAnsiTheme="minorEastAsia"/>
          <w:sz w:val="32"/>
          <w:szCs w:val="32"/>
        </w:rPr>
        <w:t>人次（不包括陪同人员）。</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p>
    <w:p>
      <w:pPr>
        <w:pStyle w:val="14"/>
        <w:numPr>
          <w:ilvl w:val="1"/>
          <w:numId w:val="1"/>
        </w:numPr>
        <w:adjustRightInd w:val="0"/>
        <w:snapToGrid w:val="0"/>
        <w:spacing w:line="360" w:lineRule="auto"/>
        <w:ind w:hanging="1693" w:firstLineChars="0"/>
        <w:outlineLvl w:val="1"/>
        <w:rPr>
          <w:rFonts w:asciiTheme="minorEastAsia" w:hAnsiTheme="minorEastAsia"/>
          <w:b/>
          <w:sz w:val="32"/>
          <w:szCs w:val="32"/>
        </w:rPr>
      </w:pPr>
      <w:r>
        <w:rPr>
          <w:rFonts w:hint="eastAsia" w:asciiTheme="minorEastAsia" w:hAnsiTheme="minorEastAsia"/>
          <w:b/>
          <w:sz w:val="32"/>
          <w:szCs w:val="32"/>
        </w:rPr>
        <w:t>预算绩效情况说明</w:t>
      </w:r>
    </w:p>
    <w:p>
      <w:pPr>
        <w:numPr>
          <w:ilvl w:val="0"/>
          <w:numId w:val="11"/>
        </w:numPr>
        <w:kinsoku w:val="0"/>
        <w:overflowPunct w:val="0"/>
        <w:autoSpaceDE w:val="0"/>
        <w:autoSpaceDN w:val="0"/>
        <w:adjustRightInd w:val="0"/>
        <w:snapToGrid w:val="0"/>
        <w:spacing w:line="360" w:lineRule="auto"/>
        <w:ind w:firstLine="425" w:firstLineChars="133"/>
        <w:rPr>
          <w:rFonts w:cs="楷体_GB2312" w:asciiTheme="minorEastAsia" w:hAnsiTheme="minorEastAsia"/>
          <w:sz w:val="32"/>
          <w:szCs w:val="32"/>
        </w:rPr>
      </w:pPr>
      <w:r>
        <w:rPr>
          <w:rFonts w:hint="eastAsia" w:cs="楷体_GB2312" w:asciiTheme="minorEastAsia" w:hAnsiTheme="minorEastAsia"/>
          <w:sz w:val="32"/>
          <w:szCs w:val="32"/>
        </w:rPr>
        <w:t>绩效管理工作开展情况。</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根据财政预算管理要求，本单位对2018年度一般公共预算项目支出全面开展绩效自评。其中，一级项目1个，二级项目1个，共涉及预算资金1235.37万元，自评覆盖率达到100%。</w:t>
      </w:r>
    </w:p>
    <w:p>
      <w:pPr>
        <w:pStyle w:val="14"/>
        <w:numPr>
          <w:ilvl w:val="1"/>
          <w:numId w:val="1"/>
        </w:numPr>
        <w:adjustRightInd w:val="0"/>
        <w:snapToGrid w:val="0"/>
        <w:spacing w:line="360" w:lineRule="auto"/>
        <w:ind w:hanging="1693" w:firstLineChars="0"/>
        <w:outlineLvl w:val="1"/>
        <w:rPr>
          <w:rFonts w:asciiTheme="minorEastAsia" w:hAnsiTheme="minorEastAsia"/>
          <w:b/>
          <w:sz w:val="32"/>
          <w:szCs w:val="32"/>
        </w:rPr>
      </w:pPr>
      <w:r>
        <w:rPr>
          <w:rFonts w:hint="eastAsia" w:asciiTheme="minorEastAsia" w:hAnsiTheme="minorEastAsia"/>
          <w:b/>
          <w:sz w:val="32"/>
          <w:szCs w:val="32"/>
        </w:rPr>
        <w:t>政府性基金预算财政拨款支出决算情况说明</w:t>
      </w:r>
    </w:p>
    <w:p>
      <w:pPr>
        <w:adjustRightInd w:val="0"/>
        <w:snapToGrid w:val="0"/>
        <w:spacing w:line="360" w:lineRule="auto"/>
        <w:ind w:left="141" w:leftChars="67" w:firstLine="480" w:firstLineChars="150"/>
        <w:rPr>
          <w:rFonts w:cs="Courier New" w:asciiTheme="minorEastAsia" w:hAnsiTheme="minorEastAsia"/>
          <w:sz w:val="32"/>
          <w:szCs w:val="32"/>
        </w:rPr>
      </w:pPr>
      <w:r>
        <w:rPr>
          <w:rFonts w:hint="eastAsia" w:cs="Courier New" w:asciiTheme="minorEastAsia" w:hAnsiTheme="minorEastAsia"/>
          <w:sz w:val="32"/>
          <w:szCs w:val="32"/>
        </w:rPr>
        <w:t>我部门2018年没有政府性基金预算财政拨款收入，也没使用政府性基金安排的支出。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adjustRightInd w:val="0"/>
        <w:snapToGrid w:val="0"/>
        <w:spacing w:line="360" w:lineRule="auto"/>
        <w:ind w:firstLine="800" w:firstLineChars="250"/>
        <w:outlineLvl w:val="1"/>
        <w:rPr>
          <w:rFonts w:asciiTheme="minorEastAsia" w:hAnsiTheme="minorEastAsia"/>
          <w:sz w:val="32"/>
          <w:szCs w:val="32"/>
        </w:rPr>
      </w:pPr>
      <w:r>
        <w:rPr>
          <w:rFonts w:hint="eastAsia" w:ascii="仿宋_GB2312" w:hAnsi="仿宋_GB2312" w:eastAsia="仿宋_GB2312" w:cs="仿宋_GB2312"/>
          <w:sz w:val="32"/>
          <w:szCs w:val="32"/>
        </w:rPr>
        <w:t>2018年度机关运行经费</w:t>
      </w:r>
      <w:r>
        <w:rPr>
          <w:rFonts w:hint="eastAsia" w:ascii="仿宋_GB2312" w:hAnsi="仿宋_GB2312" w:eastAsia="仿宋_GB2312" w:cs="仿宋_GB2312"/>
          <w:sz w:val="32"/>
          <w:szCs w:val="32"/>
          <w:u w:val="dotDash"/>
        </w:rPr>
        <w:t>年</w:t>
      </w:r>
      <w:r>
        <w:rPr>
          <w:rStyle w:val="10"/>
          <w:rFonts w:hint="eastAsia" w:ascii="仿宋_GB2312" w:hAnsi="仿宋_GB2312" w:eastAsia="仿宋_GB2312" w:cs="仿宋_GB2312"/>
          <w:sz w:val="32"/>
          <w:szCs w:val="32"/>
          <w:u w:val="dotDash"/>
        </w:rPr>
        <w:footnoteReference w:id="0"/>
      </w:r>
      <w:r>
        <w:rPr>
          <w:rFonts w:hint="eastAsia" w:ascii="仿宋_GB2312" w:hAnsi="仿宋_GB2312" w:eastAsia="仿宋_GB2312" w:cs="仿宋_GB2312"/>
          <w:sz w:val="32"/>
          <w:szCs w:val="32"/>
        </w:rPr>
        <w:t>初预算为81.56万元，支出决算80万元，完成年初预算的98%。</w:t>
      </w:r>
    </w:p>
    <w:p>
      <w:pPr>
        <w:kinsoku w:val="0"/>
        <w:overflowPunct w:val="0"/>
        <w:autoSpaceDE w:val="0"/>
        <w:autoSpaceDN w:val="0"/>
        <w:adjustRightInd w:val="0"/>
        <w:snapToGrid w:val="0"/>
        <w:spacing w:line="360" w:lineRule="auto"/>
        <w:ind w:firstLine="643" w:firstLineChars="200"/>
        <w:rPr>
          <w:rFonts w:cs="仿宋_GB2312" w:asciiTheme="minorEastAsia" w:hAnsiTheme="minorEastAsia"/>
          <w:b/>
          <w:bCs/>
          <w:kern w:val="0"/>
          <w:sz w:val="32"/>
          <w:szCs w:val="32"/>
        </w:rPr>
      </w:pPr>
      <w:r>
        <w:rPr>
          <w:rFonts w:hint="eastAsia" w:cs="仿宋_GB2312" w:asciiTheme="minorEastAsia" w:hAnsiTheme="minorEastAsia"/>
          <w:b/>
          <w:bCs/>
          <w:kern w:val="0"/>
          <w:sz w:val="32"/>
          <w:szCs w:val="32"/>
        </w:rPr>
        <w:t>十一、政府采购支出情况。</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2018年度政府采购支出总额2万元，其中：政府采购货物支出2万元。占政府采购支出的100</w:t>
      </w:r>
      <w:r>
        <w:rPr>
          <w:rFonts w:cs="Courier New" w:asciiTheme="minorEastAsia" w:hAnsiTheme="minorEastAsia"/>
          <w:sz w:val="32"/>
          <w:szCs w:val="32"/>
        </w:rPr>
        <w:t>%</w:t>
      </w:r>
      <w:r>
        <w:rPr>
          <w:rFonts w:hint="eastAsia" w:cs="Courier New" w:asciiTheme="minorEastAsia" w:hAnsiTheme="minorEastAsia"/>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2018年期末，我部门共有车辆0辆，单位价值50万元以上通用设备0台（套），单位价值100万元以上专用设备0台（套）。</w:t>
      </w:r>
    </w:p>
    <w:p>
      <w:pPr>
        <w:kinsoku w:val="0"/>
        <w:overflowPunct w:val="0"/>
        <w:autoSpaceDE w:val="0"/>
        <w:autoSpaceDN w:val="0"/>
        <w:adjustRightInd w:val="0"/>
        <w:snapToGrid w:val="0"/>
        <w:spacing w:line="360" w:lineRule="auto"/>
        <w:rPr>
          <w:rFonts w:cs="Courier New" w:asciiTheme="minorEastAsia" w:hAnsiTheme="minorEastAsia"/>
          <w:sz w:val="32"/>
          <w:szCs w:val="32"/>
        </w:rPr>
      </w:pP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sectPr>
          <w:pgSz w:w="11905" w:h="16840"/>
          <w:pgMar w:top="1580" w:right="1240" w:bottom="1180" w:left="1400" w:header="0" w:footer="982" w:gutter="0"/>
          <w:pgNumType w:fmt="numberInDash"/>
          <w:cols w:space="720" w:num="1"/>
        </w:sect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left"/>
        <w:rPr>
          <w:rFonts w:cs="黑体" w:asciiTheme="minorEastAsia" w:hAnsiTheme="minorEastAsia"/>
          <w:sz w:val="32"/>
          <w:szCs w:val="32"/>
        </w:rPr>
      </w:pPr>
    </w:p>
    <w:p>
      <w:pPr>
        <w:jc w:val="center"/>
        <w:outlineLvl w:val="0"/>
        <w:rPr>
          <w:rFonts w:cs="隶书" w:asciiTheme="minorEastAsia" w:hAnsiTheme="minorEastAsia"/>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cs="隶书" w:asciiTheme="minorEastAsia" w:hAnsiTheme="minorEastAsia"/>
          <w:b/>
          <w:sz w:val="48"/>
          <w:szCs w:val="48"/>
        </w:rPr>
        <w:t>第四部分　　名词解释</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D74A7"/>
    <w:multiLevelType w:val="multilevel"/>
    <w:tmpl w:val="0A8D74A7"/>
    <w:lvl w:ilvl="0" w:tentative="0">
      <w:start w:val="1"/>
      <w:numFmt w:val="decimal"/>
      <w:lvlText w:val="%1、"/>
      <w:lvlJc w:val="left"/>
      <w:pPr>
        <w:ind w:left="1515" w:hanging="1515"/>
      </w:pPr>
      <w:rPr>
        <w:rFonts w:cs="Courier New"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18304E"/>
    <w:multiLevelType w:val="multilevel"/>
    <w:tmpl w:val="3C18304E"/>
    <w:lvl w:ilvl="0" w:tentative="0">
      <w:start w:val="1"/>
      <w:numFmt w:val="japaneseCounting"/>
      <w:lvlText w:val="第%1部"/>
      <w:lvlJc w:val="left"/>
      <w:pPr>
        <w:ind w:left="1920" w:hanging="19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6C15B6"/>
    <w:multiLevelType w:val="multilevel"/>
    <w:tmpl w:val="576C15B6"/>
    <w:lvl w:ilvl="0" w:tentative="0">
      <w:start w:val="6"/>
      <w:numFmt w:val="japaneseCounting"/>
      <w:lvlText w:val="%1、"/>
      <w:lvlJc w:val="left"/>
      <w:pPr>
        <w:ind w:left="1840" w:hanging="720"/>
      </w:pPr>
      <w:rPr>
        <w:rFonts w:hint="default"/>
      </w:r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3">
    <w:nsid w:val="5971BE17"/>
    <w:multiLevelType w:val="multilevel"/>
    <w:tmpl w:val="5971BE17"/>
    <w:lvl w:ilvl="0" w:tentative="0">
      <w:start w:val="1"/>
      <w:numFmt w:val="japaneseCounting"/>
      <w:suff w:val="nothing"/>
      <w:lvlText w:val="%1、"/>
      <w:lvlJc w:val="left"/>
      <w:rPr>
        <w:rFonts w:ascii="宋体" w:hAnsi="宋体" w:eastAsia="宋体" w:cs="宋体"/>
        <w:lang w:val="en-US"/>
      </w:rPr>
    </w:lvl>
    <w:lvl w:ilvl="1" w:tentative="0">
      <w:start w:val="8"/>
      <w:numFmt w:val="japaneseCounting"/>
      <w:lvlText w:val="%2、"/>
      <w:lvlJc w:val="left"/>
      <w:pPr>
        <w:ind w:left="2260" w:hanging="720"/>
      </w:pPr>
      <w:rPr>
        <w:rFonts w:hint="default"/>
      </w:r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4">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5">
    <w:nsid w:val="5971C193"/>
    <w:multiLevelType w:val="singleLevel"/>
    <w:tmpl w:val="5971C193"/>
    <w:lvl w:ilvl="0" w:tentative="0">
      <w:start w:val="2"/>
      <w:numFmt w:val="chineseCounting"/>
      <w:suff w:val="nothing"/>
      <w:lvlText w:val="%1、"/>
      <w:lvlJc w:val="left"/>
    </w:lvl>
  </w:abstractNum>
  <w:abstractNum w:abstractNumId="6">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7">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72A04208"/>
    <w:multiLevelType w:val="multilevel"/>
    <w:tmpl w:val="72A04208"/>
    <w:lvl w:ilvl="0" w:tentative="0">
      <w:start w:val="1"/>
      <w:numFmt w:val="japaneseCounting"/>
      <w:lvlText w:val="%1、"/>
      <w:lvlJc w:val="left"/>
      <w:pPr>
        <w:ind w:left="1840" w:hanging="720"/>
      </w:pPr>
      <w:rPr>
        <w:rFonts w:hint="default"/>
      </w:r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num w:numId="1">
    <w:abstractNumId w:val="3"/>
  </w:num>
  <w:num w:numId="2">
    <w:abstractNumId w:val="10"/>
  </w:num>
  <w:num w:numId="3">
    <w:abstractNumId w:val="2"/>
  </w:num>
  <w:num w:numId="4">
    <w:abstractNumId w:val="1"/>
  </w:num>
  <w:num w:numId="5">
    <w:abstractNumId w:val="4"/>
  </w:num>
  <w:num w:numId="6">
    <w:abstractNumId w:val="5"/>
  </w:num>
  <w:num w:numId="7">
    <w:abstractNumId w:val="6"/>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7569"/>
    <w:rsid w:val="00042323"/>
    <w:rsid w:val="00061C2E"/>
    <w:rsid w:val="00082964"/>
    <w:rsid w:val="000B4639"/>
    <w:rsid w:val="000B7ED1"/>
    <w:rsid w:val="000C248E"/>
    <w:rsid w:val="000C3E7A"/>
    <w:rsid w:val="000F012B"/>
    <w:rsid w:val="00116D5C"/>
    <w:rsid w:val="001373EA"/>
    <w:rsid w:val="00172A27"/>
    <w:rsid w:val="001C1945"/>
    <w:rsid w:val="001C44DF"/>
    <w:rsid w:val="00207DD2"/>
    <w:rsid w:val="002162C4"/>
    <w:rsid w:val="0024228E"/>
    <w:rsid w:val="0029288D"/>
    <w:rsid w:val="0029394A"/>
    <w:rsid w:val="002B7F70"/>
    <w:rsid w:val="002D733F"/>
    <w:rsid w:val="002E38FE"/>
    <w:rsid w:val="002F0A08"/>
    <w:rsid w:val="0034374F"/>
    <w:rsid w:val="0035138E"/>
    <w:rsid w:val="003A2A64"/>
    <w:rsid w:val="003F3B0E"/>
    <w:rsid w:val="00402301"/>
    <w:rsid w:val="00427986"/>
    <w:rsid w:val="00435F65"/>
    <w:rsid w:val="00473E77"/>
    <w:rsid w:val="004813EF"/>
    <w:rsid w:val="004D067A"/>
    <w:rsid w:val="005203BD"/>
    <w:rsid w:val="00523588"/>
    <w:rsid w:val="00542EA6"/>
    <w:rsid w:val="00565347"/>
    <w:rsid w:val="00574FE2"/>
    <w:rsid w:val="00576590"/>
    <w:rsid w:val="005A020A"/>
    <w:rsid w:val="005C0935"/>
    <w:rsid w:val="005C0BF3"/>
    <w:rsid w:val="006119AE"/>
    <w:rsid w:val="00630D31"/>
    <w:rsid w:val="00634913"/>
    <w:rsid w:val="0066425C"/>
    <w:rsid w:val="00687E06"/>
    <w:rsid w:val="006A353C"/>
    <w:rsid w:val="006A695D"/>
    <w:rsid w:val="006C1D7D"/>
    <w:rsid w:val="006F4686"/>
    <w:rsid w:val="0073383F"/>
    <w:rsid w:val="007374F8"/>
    <w:rsid w:val="007377C1"/>
    <w:rsid w:val="007433A7"/>
    <w:rsid w:val="00762B93"/>
    <w:rsid w:val="007819F1"/>
    <w:rsid w:val="007A7847"/>
    <w:rsid w:val="007F60A4"/>
    <w:rsid w:val="00802069"/>
    <w:rsid w:val="00803287"/>
    <w:rsid w:val="00811E23"/>
    <w:rsid w:val="0083090D"/>
    <w:rsid w:val="00852E12"/>
    <w:rsid w:val="008900CB"/>
    <w:rsid w:val="008B3997"/>
    <w:rsid w:val="008C08CD"/>
    <w:rsid w:val="008F5939"/>
    <w:rsid w:val="009260EB"/>
    <w:rsid w:val="00963954"/>
    <w:rsid w:val="00973355"/>
    <w:rsid w:val="00990BBD"/>
    <w:rsid w:val="009F53FF"/>
    <w:rsid w:val="00A13066"/>
    <w:rsid w:val="00A22B2A"/>
    <w:rsid w:val="00A23487"/>
    <w:rsid w:val="00A37FE6"/>
    <w:rsid w:val="00A42E46"/>
    <w:rsid w:val="00A74714"/>
    <w:rsid w:val="00AD0A82"/>
    <w:rsid w:val="00AD1596"/>
    <w:rsid w:val="00B37910"/>
    <w:rsid w:val="00B54309"/>
    <w:rsid w:val="00B66847"/>
    <w:rsid w:val="00B67511"/>
    <w:rsid w:val="00B741E7"/>
    <w:rsid w:val="00B84FB0"/>
    <w:rsid w:val="00BB7049"/>
    <w:rsid w:val="00BC3701"/>
    <w:rsid w:val="00BF0881"/>
    <w:rsid w:val="00C0629B"/>
    <w:rsid w:val="00C24A45"/>
    <w:rsid w:val="00C30F69"/>
    <w:rsid w:val="00C41D0D"/>
    <w:rsid w:val="00C46152"/>
    <w:rsid w:val="00CA0C88"/>
    <w:rsid w:val="00CA339F"/>
    <w:rsid w:val="00CB5E0E"/>
    <w:rsid w:val="00CD0C6B"/>
    <w:rsid w:val="00CE5B1B"/>
    <w:rsid w:val="00D04E87"/>
    <w:rsid w:val="00D30346"/>
    <w:rsid w:val="00D474BE"/>
    <w:rsid w:val="00D825B7"/>
    <w:rsid w:val="00DA7FD5"/>
    <w:rsid w:val="00DF5814"/>
    <w:rsid w:val="00E00EDA"/>
    <w:rsid w:val="00E4477B"/>
    <w:rsid w:val="00E80865"/>
    <w:rsid w:val="00E93EF7"/>
    <w:rsid w:val="00E9775E"/>
    <w:rsid w:val="00EB4E29"/>
    <w:rsid w:val="00EB5C0A"/>
    <w:rsid w:val="00ED717F"/>
    <w:rsid w:val="00EF3C29"/>
    <w:rsid w:val="00F35DD8"/>
    <w:rsid w:val="00F7729C"/>
    <w:rsid w:val="00F85CC0"/>
    <w:rsid w:val="00F93A78"/>
    <w:rsid w:val="00FC5808"/>
    <w:rsid w:val="00FC5D4F"/>
    <w:rsid w:val="00FD71F4"/>
    <w:rsid w:val="00FE1784"/>
    <w:rsid w:val="01064770"/>
    <w:rsid w:val="04453648"/>
    <w:rsid w:val="09BB2134"/>
    <w:rsid w:val="13DA4090"/>
    <w:rsid w:val="15492582"/>
    <w:rsid w:val="189D0F4D"/>
    <w:rsid w:val="1BB26345"/>
    <w:rsid w:val="1E7D3B34"/>
    <w:rsid w:val="209C4FF0"/>
    <w:rsid w:val="258F34D6"/>
    <w:rsid w:val="2BA4769A"/>
    <w:rsid w:val="2CD06EF4"/>
    <w:rsid w:val="2D101201"/>
    <w:rsid w:val="2F2D0798"/>
    <w:rsid w:val="32EF40CE"/>
    <w:rsid w:val="372974AC"/>
    <w:rsid w:val="3CE47224"/>
    <w:rsid w:val="42271DDB"/>
    <w:rsid w:val="48036E61"/>
    <w:rsid w:val="48830152"/>
    <w:rsid w:val="48B52937"/>
    <w:rsid w:val="48EE3EF3"/>
    <w:rsid w:val="4C1E2F28"/>
    <w:rsid w:val="4E754B60"/>
    <w:rsid w:val="51AD42DE"/>
    <w:rsid w:val="537066A4"/>
    <w:rsid w:val="53E9756D"/>
    <w:rsid w:val="5651051D"/>
    <w:rsid w:val="57BB5F84"/>
    <w:rsid w:val="57E961A8"/>
    <w:rsid w:val="581E77CF"/>
    <w:rsid w:val="58B06254"/>
    <w:rsid w:val="58C8545E"/>
    <w:rsid w:val="59E3092F"/>
    <w:rsid w:val="5AF25131"/>
    <w:rsid w:val="5F3A0145"/>
    <w:rsid w:val="600176AC"/>
    <w:rsid w:val="627358F6"/>
    <w:rsid w:val="6431638A"/>
    <w:rsid w:val="664A46E0"/>
    <w:rsid w:val="674E08EC"/>
    <w:rsid w:val="6A2415C4"/>
    <w:rsid w:val="6B6F7EE5"/>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7"/>
    <w:unhideWhenUsed/>
    <w:qFormat/>
    <w:uiPriority w:val="99"/>
    <w:pPr>
      <w:snapToGrid w:val="0"/>
      <w:jc w:val="left"/>
    </w:pPr>
    <w:rPr>
      <w:rFonts w:ascii="Calibri" w:hAnsi="Calibri" w:eastAsia="宋体" w:cs="Times New Roman"/>
      <w:sz w:val="18"/>
      <w:szCs w:val="22"/>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otnote reference"/>
    <w:basedOn w:val="9"/>
    <w:unhideWhenUsed/>
    <w:qFormat/>
    <w:uiPriority w:val="99"/>
    <w:rPr>
      <w:vertAlign w:val="superscript"/>
    </w:rPr>
  </w:style>
  <w:style w:type="character" w:customStyle="1" w:styleId="11">
    <w:name w:val="font31"/>
    <w:basedOn w:val="9"/>
    <w:qFormat/>
    <w:uiPriority w:val="0"/>
    <w:rPr>
      <w:rFonts w:ascii="Arial" w:hAnsi="Arial" w:cs="Arial"/>
      <w:color w:val="000000"/>
      <w:sz w:val="16"/>
      <w:szCs w:val="16"/>
      <w:u w:val="none"/>
    </w:rPr>
  </w:style>
  <w:style w:type="character" w:customStyle="1" w:styleId="12">
    <w:name w:val="font01"/>
    <w:basedOn w:val="9"/>
    <w:qFormat/>
    <w:uiPriority w:val="0"/>
    <w:rPr>
      <w:rFonts w:hint="default" w:ascii="Arial" w:hAnsi="Arial" w:cs="Arial"/>
      <w:color w:val="000000"/>
      <w:sz w:val="16"/>
      <w:szCs w:val="16"/>
      <w:u w:val="none"/>
    </w:rPr>
  </w:style>
  <w:style w:type="character" w:customStyle="1" w:styleId="13">
    <w:name w:val="font41"/>
    <w:basedOn w:val="9"/>
    <w:qFormat/>
    <w:uiPriority w:val="0"/>
    <w:rPr>
      <w:rFonts w:hint="eastAsia"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 w:type="character" w:customStyle="1" w:styleId="15">
    <w:name w:val="批注文字 Char"/>
    <w:basedOn w:val="9"/>
    <w:link w:val="2"/>
    <w:qFormat/>
    <w:uiPriority w:val="99"/>
    <w:rPr>
      <w:rFonts w:ascii="Calibri" w:hAnsi="Calibri"/>
      <w:kern w:val="2"/>
      <w:sz w:val="21"/>
      <w:szCs w:val="22"/>
    </w:r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7">
    <w:name w:val="脚注文本 Char"/>
    <w:basedOn w:val="9"/>
    <w:link w:val="6"/>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68A4F-4D55-4DAA-9161-75C0574C8A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705</Words>
  <Characters>4023</Characters>
  <Lines>33</Lines>
  <Paragraphs>9</Paragraphs>
  <TotalTime>1</TotalTime>
  <ScaleCrop>false</ScaleCrop>
  <LinksUpToDate>false</LinksUpToDate>
  <CharactersWithSpaces>4719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2019-09-19T00:47:00Z</cp:lastPrinted>
  <dcterms:modified xsi:type="dcterms:W3CDTF">2021-06-18T01:43:06Z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42253E01D9F54524B4C3045CF9418AE0</vt:lpwstr>
  </property>
</Properties>
</file>