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ind w:firstLine="520" w:firstLineChars="100"/>
        <w:rPr>
          <w:rFonts w:hint="eastAsia" w:ascii="微软雅黑" w:hAnsi="微软雅黑" w:eastAsia="微软雅黑" w:cs="微软雅黑"/>
          <w:sz w:val="52"/>
          <w:szCs w:val="52"/>
          <w:lang w:eastAsia="zh-CN"/>
        </w:rPr>
      </w:pPr>
      <w:r>
        <w:rPr>
          <w:rFonts w:hint="eastAsia" w:ascii="微软雅黑" w:hAnsi="微软雅黑" w:eastAsia="微软雅黑" w:cs="微软雅黑"/>
          <w:sz w:val="52"/>
          <w:szCs w:val="52"/>
          <w:lang w:eastAsia="zh-CN"/>
        </w:rPr>
        <w:t>河南省信阳市浉河区人民法院</w:t>
      </w:r>
    </w:p>
    <w:p>
      <w:pPr>
        <w:ind w:firstLine="2080" w:firstLineChars="400"/>
        <w:rPr>
          <w:rFonts w:ascii="隶书" w:hAnsi="隶书" w:eastAsia="隶书" w:cs="隶书"/>
          <w:sz w:val="52"/>
          <w:szCs w:val="52"/>
        </w:rPr>
      </w:pPr>
      <w:r>
        <w:rPr>
          <w:rFonts w:hint="eastAsia" w:ascii="隶书" w:hAnsi="隶书" w:eastAsia="隶书" w:cs="隶书"/>
          <w:sz w:val="52"/>
          <w:szCs w:val="52"/>
        </w:rPr>
        <w:t>201</w:t>
      </w:r>
      <w:r>
        <w:rPr>
          <w:rFonts w:hint="eastAsia" w:ascii="隶书" w:hAnsi="隶书" w:eastAsia="隶书" w:cs="隶书"/>
          <w:sz w:val="52"/>
          <w:szCs w:val="52"/>
          <w:lang w:val="en-US" w:eastAsia="zh-CN"/>
        </w:rPr>
        <w:t>8</w:t>
      </w:r>
      <w:r>
        <w:rPr>
          <w:rFonts w:hint="eastAsia" w:ascii="隶书" w:hAnsi="隶书" w:eastAsia="隶书" w:cs="隶书"/>
          <w:sz w:val="52"/>
          <w:szCs w:val="52"/>
        </w:rPr>
        <w:t>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hint="eastAsia" w:ascii="仿宋" w:hAnsi="仿宋" w:eastAsia="仿宋" w:cs="隶书"/>
          <w:sz w:val="32"/>
          <w:szCs w:val="32"/>
        </w:rPr>
      </w:pPr>
      <w:r>
        <w:rPr>
          <w:rFonts w:hint="eastAsia" w:ascii="仿宋" w:hAnsi="仿宋" w:eastAsia="仿宋" w:cs="隶书"/>
          <w:sz w:val="32"/>
          <w:szCs w:val="32"/>
        </w:rPr>
        <w:t>公开单位联系人：常伟          联系方式：6362117</w:t>
      </w:r>
    </w:p>
    <w:p>
      <w:pPr>
        <w:rPr>
          <w:rFonts w:hint="eastAsia" w:ascii="仿宋" w:hAnsi="仿宋" w:eastAsia="仿宋" w:cs="隶书"/>
          <w:sz w:val="32"/>
          <w:szCs w:val="32"/>
        </w:rPr>
      </w:pPr>
    </w:p>
    <w:p>
      <w:pPr>
        <w:rPr>
          <w:rFonts w:hint="eastAsia" w:ascii="仿宋" w:hAnsi="仿宋" w:eastAsia="仿宋" w:cs="隶书"/>
          <w:sz w:val="32"/>
          <w:szCs w:val="32"/>
        </w:rPr>
      </w:pPr>
    </w:p>
    <w:p>
      <w:pPr>
        <w:rPr>
          <w:rFonts w:hint="eastAsia" w:ascii="仿宋" w:hAnsi="仿宋" w:eastAsia="仿宋" w:cs="隶书"/>
          <w:sz w:val="32"/>
          <w:szCs w:val="32"/>
        </w:rPr>
      </w:pPr>
    </w:p>
    <w:p>
      <w:pPr>
        <w:rPr>
          <w:rFonts w:hint="eastAsia" w:ascii="仿宋" w:hAnsi="仿宋" w:eastAsia="仿宋" w:cs="隶书"/>
          <w:sz w:val="32"/>
          <w:szCs w:val="32"/>
        </w:rPr>
      </w:pPr>
    </w:p>
    <w:p>
      <w:pPr>
        <w:ind w:firstLine="3200" w:firstLineChars="1000"/>
        <w:rPr>
          <w:rFonts w:hint="eastAsia" w:ascii="仿宋" w:hAnsi="仿宋" w:eastAsia="仿宋" w:cs="隶书"/>
          <w:sz w:val="32"/>
          <w:szCs w:val="32"/>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二〇一九年九月</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河南省信阳市浉河区人民法院概况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部门决算单位构成及机构设置</w:t>
      </w:r>
    </w:p>
    <w:p>
      <w:pPr>
        <w:ind w:left="1606" w:hanging="1606" w:hangingChars="500"/>
        <w:jc w:val="left"/>
        <w:rPr>
          <w:rFonts w:ascii="黑体" w:hAnsi="黑体" w:eastAsia="黑体" w:cs="黑体"/>
          <w:sz w:val="32"/>
          <w:szCs w:val="32"/>
        </w:rPr>
      </w:pPr>
      <w:r>
        <w:rPr>
          <w:rFonts w:hint="eastAsia" w:ascii="宋体" w:hAnsi="宋体" w:eastAsia="宋体" w:cs="宋体"/>
          <w:b/>
          <w:bCs/>
          <w:sz w:val="32"/>
          <w:szCs w:val="32"/>
          <w:lang w:val="en-US" w:eastAsia="zh-CN"/>
        </w:rPr>
        <w:t>第二部分</w:t>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河南省信阳市浉河区人民法院</w:t>
      </w:r>
      <w:r>
        <w:rPr>
          <w:rFonts w:hint="eastAsia" w:ascii="黑体" w:hAnsi="黑体" w:eastAsia="黑体" w:cs="黑体"/>
          <w:b/>
          <w:bCs/>
          <w:sz w:val="32"/>
          <w:szCs w:val="32"/>
        </w:rPr>
        <w:t>201</w:t>
      </w:r>
      <w:r>
        <w:rPr>
          <w:rFonts w:hint="eastAsia" w:ascii="黑体" w:hAnsi="黑体" w:eastAsia="黑体" w:cs="黑体"/>
          <w:b/>
          <w:bCs/>
          <w:sz w:val="32"/>
          <w:szCs w:val="32"/>
          <w:lang w:val="en-US" w:eastAsia="zh-CN"/>
        </w:rPr>
        <w:t>8</w:t>
      </w:r>
      <w:r>
        <w:rPr>
          <w:rFonts w:hint="eastAsia" w:ascii="黑体" w:hAnsi="黑体" w:eastAsia="黑体" w:cs="黑体"/>
          <w:b/>
          <w:bCs/>
          <w:sz w:val="32"/>
          <w:szCs w:val="32"/>
        </w:rPr>
        <w:t>年度</w:t>
      </w:r>
      <w:r>
        <w:rPr>
          <w:rFonts w:hint="eastAsia" w:ascii="黑体" w:hAnsi="黑体" w:eastAsia="黑体" w:cs="黑体"/>
          <w:sz w:val="32"/>
          <w:szCs w:val="32"/>
        </w:rPr>
        <w:t>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十、</w:t>
      </w:r>
      <w:r>
        <w:rPr>
          <w:rFonts w:hint="eastAsia" w:ascii="宋体" w:hAnsi="宋体" w:eastAsia="宋体" w:cs="宋体"/>
          <w:sz w:val="32"/>
          <w:szCs w:val="32"/>
          <w:lang w:eastAsia="zh-CN"/>
        </w:rPr>
        <w:t>机关运行经费支出情况说明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十一、政府采购支出情况说明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十二、国有资产占用情况说明</w:t>
      </w:r>
    </w:p>
    <w:p>
      <w:pPr>
        <w:jc w:val="left"/>
        <w:rPr>
          <w:rFonts w:hint="eastAsia"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部分　　名词</w:t>
      </w:r>
      <w:r>
        <w:rPr>
          <w:rFonts w:hint="eastAsia" w:ascii="黑体" w:hAnsi="黑体" w:eastAsia="黑体" w:cs="黑体"/>
          <w:sz w:val="32"/>
          <w:szCs w:val="32"/>
          <w:lang w:val="en-US" w:eastAsia="zh-CN"/>
        </w:rPr>
        <w:t>解释</w:t>
      </w:r>
    </w:p>
    <w:p>
      <w:pPr>
        <w:numPr>
          <w:ilvl w:val="0"/>
          <w:numId w:val="0"/>
        </w:numPr>
        <w:jc w:val="left"/>
        <w:rPr>
          <w:rFonts w:hint="eastAsia" w:ascii="黑体" w:hAnsi="黑体" w:eastAsia="黑体" w:cs="黑体"/>
          <w:b/>
          <w:bCs/>
          <w:sz w:val="32"/>
          <w:szCs w:val="32"/>
          <w:lang w:val="en-US" w:eastAsia="zh-CN"/>
        </w:rPr>
      </w:pPr>
      <w:bookmarkStart w:id="0" w:name="_GoBack"/>
      <w:r>
        <w:rPr>
          <w:rFonts w:hint="eastAsia" w:ascii="黑体" w:hAnsi="黑体" w:eastAsia="黑体" w:cs="黑体"/>
          <w:b/>
          <w:bCs/>
          <w:sz w:val="32"/>
          <w:szCs w:val="32"/>
          <w:lang w:val="en-US" w:eastAsia="zh-CN"/>
        </w:rPr>
        <w:t>附件  2018年部门决算表</w:t>
      </w:r>
    </w:p>
    <w:bookmarkEnd w:id="0"/>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黑体" w:hAnsi="黑体" w:eastAsia="黑体" w:cs="黑体"/>
          <w:b/>
          <w:bCs/>
          <w:sz w:val="32"/>
          <w:szCs w:val="32"/>
          <w:lang w:val="en-US" w:eastAsia="zh-CN"/>
        </w:rPr>
      </w:pPr>
      <w:r>
        <w:rPr>
          <w:rFonts w:hint="eastAsia" w:ascii="宋体" w:hAnsi="宋体" w:eastAsia="宋体" w:cs="宋体"/>
          <w:color w:val="auto"/>
          <w:sz w:val="32"/>
          <w:szCs w:val="32"/>
          <w:highlight w:val="none"/>
        </w:rPr>
        <w:t>八、政府性基金预算财政拨款收入支出决算表</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5"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河南省信阳市浉河区人民法院概况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numPr>
          <w:ilvl w:val="0"/>
          <w:numId w:val="3"/>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依法审判本级法院管辖和本地域管辖的第一审刑事民事经济行政</w:t>
      </w:r>
    </w:p>
    <w:p>
      <w:pPr>
        <w:numPr>
          <w:ilvl w:val="0"/>
          <w:numId w:val="3"/>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依法受理符合本级别法院和本地管辖及委托的执行案件。</w:t>
      </w:r>
    </w:p>
    <w:p>
      <w:pPr>
        <w:numPr>
          <w:ilvl w:val="0"/>
          <w:numId w:val="3"/>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受理不服本院已发生法律效力的判决、裁定等各类申诉，并，依法对其中确有错误的已发生法律效力的判决、裁定和调解进行再审。</w:t>
      </w:r>
    </w:p>
    <w:p>
      <w:pPr>
        <w:spacing w:line="360" w:lineRule="auto"/>
        <w:ind w:firstLine="960" w:firstLineChars="3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w:t>
      </w:r>
    </w:p>
    <w:p>
      <w:pPr>
        <w:numPr>
          <w:ilvl w:val="0"/>
          <w:numId w:val="4"/>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部门决算单位构成及机构设置</w:t>
      </w:r>
    </w:p>
    <w:p>
      <w:pPr>
        <w:spacing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1、河南省信阳市浉河区人民法院部门决算单位构成是浉河区法院本级，无二级机构。</w:t>
      </w:r>
    </w:p>
    <w:p>
      <w:pPr>
        <w:spacing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2、河南省信阳市浉河区人民法院机构设置</w:t>
      </w:r>
    </w:p>
    <w:p>
      <w:pPr>
        <w:spacing w:line="360" w:lineRule="auto"/>
        <w:ind w:firstLine="640" w:firstLineChars="200"/>
        <w:jc w:val="left"/>
        <w:rPr>
          <w:rFonts w:ascii="宋体" w:hAnsi="宋体" w:eastAsia="宋体" w:cs="宋体"/>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sz w:val="32"/>
          <w:szCs w:val="32"/>
        </w:rPr>
        <w:t>河南省信阳市浉河区人民法院现设有政</w:t>
      </w:r>
      <w:r>
        <w:rPr>
          <w:rFonts w:hint="eastAsia" w:ascii="宋体" w:hAnsi="宋体" w:eastAsia="宋体" w:cs="宋体"/>
          <w:sz w:val="32"/>
          <w:szCs w:val="32"/>
          <w:lang w:eastAsia="zh-CN"/>
        </w:rPr>
        <w:t>治</w:t>
      </w:r>
      <w:r>
        <w:rPr>
          <w:rFonts w:hint="eastAsia" w:ascii="宋体" w:hAnsi="宋体" w:eastAsia="宋体" w:cs="宋体"/>
          <w:sz w:val="32"/>
          <w:szCs w:val="32"/>
        </w:rPr>
        <w:t>处、执行局（执行一庭，执行二庭，综合科）、法警大队、办公室、立案一庭、立案二庭、刑事审判第一庭、刑事审判第二庭、民事审判第一庭、民事审判第二庭、民事审判第三庭、行政审判庭、审判监督庭、审管办、司法技术科、机关党委、监察室、机关服务中心共18个部门和5个法庭（东双河法庭，董家河法庭，李家寨法庭，五星法庭，游河法庭）。</w:t>
      </w:r>
    </w:p>
    <w:p>
      <w:pPr>
        <w:jc w:val="center"/>
        <w:rPr>
          <w:rFonts w:hint="eastAsia" w:ascii="黑体" w:hAnsi="黑体" w:eastAsia="黑体" w:cs="黑体"/>
          <w:sz w:val="56"/>
          <w:szCs w:val="56"/>
          <w:lang w:eastAsia="zh-CN"/>
        </w:rPr>
      </w:pPr>
    </w:p>
    <w:p>
      <w:pPr>
        <w:jc w:val="both"/>
        <w:rPr>
          <w:rFonts w:hint="eastAsia" w:ascii="黑体" w:hAnsi="黑体" w:eastAsia="黑体" w:cs="黑体"/>
          <w:sz w:val="56"/>
          <w:szCs w:val="56"/>
          <w:lang w:eastAsia="zh-CN"/>
        </w:rPr>
      </w:pPr>
    </w:p>
    <w:p>
      <w:pPr>
        <w:jc w:val="left"/>
        <w:rPr>
          <w:rFonts w:hint="eastAsia" w:ascii="黑体" w:hAnsi="黑体" w:eastAsia="黑体" w:cs="黑体"/>
          <w:sz w:val="32"/>
          <w:szCs w:val="32"/>
          <w:lang w:eastAsia="zh-CN"/>
        </w:rPr>
        <w:sectPr>
          <w:type w:val="continuous"/>
          <w:pgSz w:w="11906" w:h="16838"/>
          <w:pgMar w:top="1440" w:right="1080" w:bottom="1440" w:left="1080" w:header="851" w:footer="992" w:gutter="0"/>
          <w:pgNumType w:fmt="numberInDash"/>
          <w:cols w:space="425" w:num="1"/>
          <w:docGrid w:type="lines" w:linePitch="312" w:charSpace="0"/>
        </w:sect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val="en-US" w:eastAsia="zh-CN"/>
        </w:rPr>
        <w:t>二</w:t>
      </w:r>
      <w:r>
        <w:rPr>
          <w:rFonts w:hint="eastAsia" w:ascii="隶书" w:hAnsi="隶书" w:eastAsia="隶书" w:cs="隶书"/>
          <w:sz w:val="48"/>
          <w:szCs w:val="48"/>
        </w:rPr>
        <w:t>部分</w:t>
      </w:r>
    </w:p>
    <w:p>
      <w:pPr>
        <w:jc w:val="center"/>
        <w:rPr>
          <w:rFonts w:ascii="隶书" w:hAnsi="隶书" w:eastAsia="隶书" w:cs="隶书"/>
          <w:sz w:val="48"/>
          <w:szCs w:val="48"/>
        </w:rPr>
      </w:pPr>
      <w:r>
        <w:rPr>
          <w:rFonts w:hint="eastAsia" w:ascii="黑体" w:hAnsi="黑体" w:eastAsia="黑体" w:cs="黑体"/>
          <w:sz w:val="52"/>
          <w:szCs w:val="52"/>
          <w:lang w:val="en-US" w:eastAsia="zh-CN"/>
        </w:rPr>
        <w:t>河南省信阳市浉河区人民法院</w:t>
      </w:r>
    </w:p>
    <w:p>
      <w:pPr>
        <w:jc w:val="center"/>
        <w:rPr>
          <w:rFonts w:ascii="隶书" w:hAnsi="隶书" w:eastAsia="隶书" w:cs="隶书"/>
          <w:sz w:val="48"/>
          <w:szCs w:val="48"/>
        </w:rPr>
        <w:sectPr>
          <w:type w:val="continuous"/>
          <w:pgSz w:w="11906" w:h="16838"/>
          <w:pgMar w:top="1440" w:right="1080" w:bottom="1440" w:left="1080" w:header="851" w:footer="992" w:gutter="0"/>
          <w:pgNumType w:fmt="numberInDash"/>
          <w:cols w:space="425" w:num="1"/>
          <w:docGrid w:type="lines" w:linePitch="312" w:charSpace="0"/>
        </w:sectPr>
      </w:pPr>
      <w:r>
        <w:rPr>
          <w:rFonts w:hint="eastAsia" w:ascii="隶书" w:hAnsi="隶书" w:eastAsia="隶书" w:cs="隶书"/>
          <w:sz w:val="48"/>
          <w:szCs w:val="48"/>
        </w:rPr>
        <w:t>201</w:t>
      </w:r>
      <w:r>
        <w:rPr>
          <w:rFonts w:hint="eastAsia" w:ascii="隶书" w:hAnsi="隶书" w:eastAsia="隶书" w:cs="隶书"/>
          <w:sz w:val="48"/>
          <w:szCs w:val="48"/>
          <w:lang w:val="en-US" w:eastAsia="zh-CN"/>
        </w:rPr>
        <w:t>8</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年度收入</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支出</w:t>
      </w:r>
      <w:r>
        <w:rPr>
          <w:rFonts w:hint="eastAsia" w:ascii="仿宋_GB2312" w:hAnsi="宋体" w:eastAsia="仿宋_GB2312" w:cs="Courier New"/>
          <w:sz w:val="32"/>
          <w:szCs w:val="32"/>
        </w:rPr>
        <w:t>总计</w:t>
      </w:r>
      <w:r>
        <w:rPr>
          <w:rFonts w:hint="eastAsia" w:ascii="仿宋_GB2312" w:hAnsi="宋体" w:eastAsia="仿宋_GB2312" w:cs="Courier New"/>
          <w:sz w:val="32"/>
          <w:szCs w:val="32"/>
          <w:lang w:val="en-US" w:eastAsia="zh-CN"/>
        </w:rPr>
        <w:t>均为3634.01</w:t>
      </w:r>
      <w:r>
        <w:rPr>
          <w:rFonts w:hint="eastAsia" w:ascii="仿宋_GB2312" w:hAnsi="宋体" w:eastAsia="仿宋_GB2312" w:cs="Courier New"/>
          <w:sz w:val="32"/>
          <w:szCs w:val="32"/>
        </w:rPr>
        <w:t>万元，与201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年相比，收、支</w:t>
      </w:r>
      <w:r>
        <w:rPr>
          <w:rFonts w:hint="eastAsia" w:ascii="仿宋_GB2312" w:hAnsi="宋体" w:eastAsia="仿宋_GB2312" w:cs="Courier New"/>
          <w:sz w:val="32"/>
          <w:szCs w:val="32"/>
          <w:lang w:val="en-US" w:eastAsia="zh-CN"/>
        </w:rPr>
        <w:t>各</w:t>
      </w:r>
      <w:r>
        <w:rPr>
          <w:rFonts w:hint="eastAsia" w:ascii="仿宋_GB2312" w:hAnsi="宋体" w:eastAsia="仿宋_GB2312" w:cs="Courier New"/>
          <w:sz w:val="32"/>
          <w:szCs w:val="32"/>
        </w:rPr>
        <w:t>增加</w:t>
      </w:r>
      <w:r>
        <w:rPr>
          <w:rFonts w:hint="eastAsia" w:ascii="仿宋_GB2312" w:hAnsi="宋体" w:eastAsia="仿宋_GB2312" w:cs="Courier New"/>
          <w:sz w:val="32"/>
          <w:szCs w:val="32"/>
          <w:lang w:val="en-US" w:eastAsia="zh-CN"/>
        </w:rPr>
        <w:t>600.78万</w:t>
      </w:r>
      <w:r>
        <w:rPr>
          <w:rFonts w:hint="eastAsia" w:ascii="仿宋_GB2312" w:hAnsi="宋体" w:eastAsia="仿宋_GB2312" w:cs="Courier New"/>
          <w:sz w:val="32"/>
          <w:szCs w:val="32"/>
        </w:rPr>
        <w:t>元，增长</w:t>
      </w:r>
      <w:r>
        <w:rPr>
          <w:rFonts w:hint="eastAsia" w:ascii="仿宋_GB2312" w:hAnsi="宋体" w:eastAsia="仿宋_GB2312" w:cs="Courier New"/>
          <w:sz w:val="32"/>
          <w:szCs w:val="32"/>
          <w:lang w:val="en-US" w:eastAsia="zh-CN"/>
        </w:rPr>
        <w:t>19</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增加原因一是案件较去年增加1000多件，办公办案经费相应的增加很多；二是新进人员6人，聘任制书记员增加15人，人员经费也相应增加。</w:t>
      </w: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2769.86</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2769.86</w:t>
      </w:r>
      <w:r>
        <w:rPr>
          <w:rFonts w:hint="eastAsia" w:ascii="仿宋_GB2312" w:hAnsi="Times New Roman" w:eastAsia="仿宋_GB2312"/>
          <w:sz w:val="32"/>
          <w:szCs w:val="32"/>
        </w:rPr>
        <w:t>万元，占100%。</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年度支出合计2</w:t>
      </w:r>
      <w:r>
        <w:rPr>
          <w:rFonts w:hint="eastAsia" w:ascii="仿宋_GB2312" w:hAnsi="宋体" w:eastAsia="仿宋_GB2312" w:cs="Courier New"/>
          <w:sz w:val="32"/>
          <w:szCs w:val="32"/>
          <w:lang w:val="en-US" w:eastAsia="zh-CN"/>
        </w:rPr>
        <w:t>495.84</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2334.21</w:t>
      </w:r>
      <w:r>
        <w:rPr>
          <w:rFonts w:hint="eastAsia" w:ascii="仿宋_GB2312" w:hAnsi="宋体" w:eastAsia="仿宋_GB2312" w:cs="Courier New"/>
          <w:sz w:val="32"/>
          <w:szCs w:val="32"/>
        </w:rPr>
        <w:t>万元，占9</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5</w:t>
      </w:r>
      <w:r>
        <w:rPr>
          <w:rFonts w:ascii="仿宋_GB2312" w:hAnsi="宋体" w:eastAsia="仿宋_GB2312" w:cs="Courier New"/>
          <w:sz w:val="32"/>
          <w:szCs w:val="32"/>
        </w:rPr>
        <w:t>%</w:t>
      </w:r>
      <w:r>
        <w:rPr>
          <w:rFonts w:hint="eastAsia" w:ascii="仿宋_GB2312" w:hAnsi="宋体" w:eastAsia="仿宋_GB2312" w:cs="Courier New"/>
          <w:sz w:val="32"/>
          <w:szCs w:val="32"/>
        </w:rPr>
        <w:t>；项目支出1</w:t>
      </w:r>
      <w:r>
        <w:rPr>
          <w:rFonts w:hint="eastAsia" w:ascii="仿宋_GB2312" w:hAnsi="宋体" w:eastAsia="仿宋_GB2312" w:cs="Courier New"/>
          <w:sz w:val="32"/>
          <w:szCs w:val="32"/>
          <w:lang w:val="en-US" w:eastAsia="zh-CN"/>
        </w:rPr>
        <w:t>61.62</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6.5</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hint="default" w:ascii="仿宋_GB2312" w:hAnsi="宋体" w:eastAsia="仿宋_GB2312" w:cs="Courier New"/>
          <w:sz w:val="32"/>
          <w:szCs w:val="32"/>
          <w:lang w:val="en-US" w:eastAsia="zh-CN"/>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年财政拨款收支总决算</w:t>
      </w:r>
      <w:r>
        <w:rPr>
          <w:rFonts w:hint="eastAsia" w:ascii="仿宋_GB2312" w:hAnsi="宋体" w:eastAsia="仿宋_GB2312" w:cs="Courier New"/>
          <w:sz w:val="32"/>
          <w:szCs w:val="32"/>
          <w:lang w:val="en-US" w:eastAsia="zh-CN"/>
        </w:rPr>
        <w:t>均为2911.94</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年相比，财政拨款收、支总计各</w:t>
      </w:r>
      <w:r>
        <w:rPr>
          <w:rFonts w:hint="eastAsia" w:ascii="仿宋_GB2312" w:hAnsi="宋体" w:eastAsia="仿宋_GB2312" w:cs="Courier New"/>
          <w:sz w:val="32"/>
          <w:szCs w:val="32"/>
          <w:lang w:val="en-US" w:eastAsia="zh-CN"/>
        </w:rPr>
        <w:t>减少121.29</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下降4</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主要原因上年财政拨款存在结余。</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年一般公共预算财政拨款支出2</w:t>
      </w:r>
      <w:r>
        <w:rPr>
          <w:rFonts w:hint="eastAsia" w:ascii="仿宋_GB2312" w:hAnsi="宋体" w:eastAsia="仿宋_GB2312" w:cs="Courier New"/>
          <w:sz w:val="32"/>
          <w:szCs w:val="32"/>
          <w:lang w:val="en-US" w:eastAsia="zh-CN"/>
        </w:rPr>
        <w:t>495.84</w:t>
      </w:r>
      <w:r>
        <w:rPr>
          <w:rFonts w:hint="eastAsia" w:ascii="仿宋_GB2312" w:hAnsi="宋体" w:eastAsia="仿宋_GB2312" w:cs="Courier New"/>
          <w:sz w:val="32"/>
          <w:szCs w:val="32"/>
        </w:rPr>
        <w:t>万元，占支出合计的100%。与201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年相比，一般公共预算财政拨款支出增加</w:t>
      </w:r>
      <w:r>
        <w:rPr>
          <w:rFonts w:hint="eastAsia" w:ascii="仿宋_GB2312" w:hAnsi="宋体" w:eastAsia="仿宋_GB2312" w:cs="Courier New"/>
          <w:sz w:val="32"/>
          <w:szCs w:val="32"/>
          <w:lang w:val="en-US" w:eastAsia="zh-CN"/>
        </w:rPr>
        <w:t>315.5</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14.5</w:t>
      </w:r>
      <w:r>
        <w:rPr>
          <w:rFonts w:hint="eastAsia" w:ascii="仿宋_GB2312" w:hAnsi="宋体" w:eastAsia="仿宋_GB2312" w:cs="Courier New"/>
          <w:sz w:val="32"/>
          <w:szCs w:val="32"/>
        </w:rPr>
        <w:t>%。增加原因一是案件较去年增加，办公办案经费相应的增加很多；二是新进人员经费也相应增加。</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ind w:firstLine="640" w:firstLineChars="200"/>
        <w:jc w:val="left"/>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w:t>
      </w:r>
      <w:r>
        <w:rPr>
          <w:rFonts w:hint="eastAsia" w:ascii="仿宋_GB2312" w:hAnsi="宋体" w:eastAsia="仿宋_GB2312" w:cs="Courier New"/>
          <w:sz w:val="32"/>
          <w:szCs w:val="32"/>
          <w:lang w:eastAsia="zh-CN"/>
        </w:rPr>
        <w:t>出</w:t>
      </w:r>
      <w:r>
        <w:rPr>
          <w:rFonts w:hint="eastAsia" w:ascii="仿宋_GB2312" w:hAnsi="宋体" w:eastAsia="仿宋_GB2312" w:cs="Courier New"/>
          <w:sz w:val="32"/>
          <w:szCs w:val="32"/>
          <w:lang w:val="en-US" w:eastAsia="zh-CN"/>
        </w:rPr>
        <w:t>2495.84</w:t>
      </w:r>
      <w:r>
        <w:rPr>
          <w:rFonts w:hint="eastAsia" w:ascii="仿宋_GB2312" w:hAnsi="宋体" w:eastAsia="仿宋_GB2312" w:cs="Courier New"/>
          <w:sz w:val="32"/>
          <w:szCs w:val="32"/>
        </w:rPr>
        <w:t>万元，主要用于以下方面：公共安全支出20</w:t>
      </w:r>
      <w:r>
        <w:rPr>
          <w:rFonts w:hint="eastAsia" w:ascii="仿宋_GB2312" w:hAnsi="宋体" w:eastAsia="仿宋_GB2312" w:cs="Courier New"/>
          <w:sz w:val="32"/>
          <w:szCs w:val="32"/>
          <w:lang w:val="en-US" w:eastAsia="zh-CN"/>
        </w:rPr>
        <w:t>90.5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83.8</w:t>
      </w:r>
      <w:r>
        <w:rPr>
          <w:rFonts w:hint="eastAsia" w:ascii="仿宋_GB2312" w:hAnsi="宋体" w:eastAsia="仿宋_GB2312" w:cs="Courier New"/>
          <w:sz w:val="32"/>
          <w:szCs w:val="32"/>
        </w:rPr>
        <w:t>%；社保</w:t>
      </w:r>
      <w:r>
        <w:rPr>
          <w:rFonts w:hint="eastAsia" w:ascii="仿宋_GB2312" w:hAnsi="宋体" w:eastAsia="仿宋_GB2312" w:cs="Courier New"/>
          <w:sz w:val="32"/>
          <w:szCs w:val="32"/>
          <w:lang w:val="en-US" w:eastAsia="zh-CN"/>
        </w:rPr>
        <w:t>255</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，占</w:t>
      </w:r>
      <w:r>
        <w:rPr>
          <w:rFonts w:hint="eastAsia" w:ascii="仿宋_GB2312" w:hAnsi="宋体" w:eastAsia="仿宋_GB2312" w:cs="Courier New"/>
          <w:sz w:val="32"/>
          <w:szCs w:val="32"/>
          <w:lang w:val="en-US" w:eastAsia="zh-CN"/>
        </w:rPr>
        <w:t>10.2%</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医疗卫生支出</w:t>
      </w:r>
      <w:r>
        <w:rPr>
          <w:rFonts w:hint="eastAsia" w:ascii="仿宋_GB2312" w:hAnsi="宋体" w:eastAsia="仿宋_GB2312" w:cs="Courier New"/>
          <w:sz w:val="32"/>
          <w:szCs w:val="32"/>
          <w:lang w:val="en-US" w:eastAsia="zh-CN"/>
        </w:rPr>
        <w:t>60.21万元，占2.4%；</w:t>
      </w:r>
      <w:r>
        <w:rPr>
          <w:rFonts w:hint="eastAsia" w:ascii="仿宋_GB2312" w:hAnsi="宋体" w:eastAsia="仿宋_GB2312" w:cs="Courier New"/>
          <w:sz w:val="32"/>
          <w:szCs w:val="32"/>
        </w:rPr>
        <w:t>住房保障支出</w:t>
      </w:r>
      <w:r>
        <w:rPr>
          <w:rFonts w:hint="eastAsia" w:ascii="仿宋_GB2312" w:hAnsi="宋体" w:eastAsia="仿宋_GB2312" w:cs="Courier New"/>
          <w:sz w:val="32"/>
          <w:szCs w:val="32"/>
          <w:lang w:val="en-US" w:eastAsia="zh-CN"/>
        </w:rPr>
        <w:t>90.12</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，占</w:t>
      </w:r>
      <w:r>
        <w:rPr>
          <w:rFonts w:hint="eastAsia" w:ascii="仿宋_GB2312" w:hAnsi="宋体" w:eastAsia="仿宋_GB2312" w:cs="Courier New"/>
          <w:sz w:val="32"/>
          <w:szCs w:val="32"/>
          <w:lang w:val="en-US" w:eastAsia="zh-CN"/>
        </w:rPr>
        <w:t>3.6%</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2495.84</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2495.84</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无差异</w:t>
      </w:r>
      <w:r>
        <w:rPr>
          <w:rFonts w:hint="eastAsia" w:ascii="仿宋_GB2312" w:hAnsi="宋体" w:eastAsia="仿宋_GB2312" w:cs="Courier New"/>
          <w:sz w:val="32"/>
          <w:szCs w:val="32"/>
        </w:rPr>
        <w:t>。</w:t>
      </w:r>
    </w:p>
    <w:p>
      <w:pPr>
        <w:keepNext w:val="0"/>
        <w:keepLines w:val="0"/>
        <w:pageBreakBefore w:val="0"/>
        <w:numPr>
          <w:ilvl w:val="0"/>
          <w:numId w:val="7"/>
        </w:numPr>
        <w:wordWrap/>
        <w:topLinePunct w:val="0"/>
        <w:bidi w:val="0"/>
        <w:adjustRightInd w:val="0"/>
        <w:snapToGrid w:val="0"/>
        <w:spacing w:afterAutospacing="0" w:line="360" w:lineRule="auto"/>
        <w:ind w:firstLine="960" w:firstLineChars="300"/>
        <w:jc w:val="both"/>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val="en-US" w:eastAsia="zh-CN"/>
        </w:rPr>
        <w:t>一般公共服务支出（类）法院（款）行政运行(项)。</w:t>
      </w:r>
      <w:r>
        <w:rPr>
          <w:rFonts w:hint="eastAsia" w:ascii="仿宋_GB2312" w:hAnsi="宋体" w:eastAsia="仿宋_GB2312" w:cs="Courier New"/>
          <w:sz w:val="32"/>
          <w:szCs w:val="32"/>
        </w:rPr>
        <w:t>年初预算为</w:t>
      </w:r>
      <w:r>
        <w:rPr>
          <w:rFonts w:hint="eastAsia" w:ascii="仿宋_GB2312" w:hAnsi="宋体" w:eastAsia="仿宋_GB2312" w:cs="Courier New"/>
          <w:color w:val="auto"/>
          <w:sz w:val="32"/>
          <w:szCs w:val="32"/>
          <w:highlight w:val="none"/>
          <w:lang w:val="en-US" w:eastAsia="zh-CN"/>
        </w:rPr>
        <w:t>1912.89</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1912.89</w:t>
      </w:r>
      <w:r>
        <w:rPr>
          <w:rFonts w:hint="eastAsia" w:ascii="仿宋_GB2312" w:hAnsi="宋体" w:eastAsia="仿宋_GB2312" w:cs="Courier New"/>
          <w:sz w:val="32"/>
          <w:szCs w:val="32"/>
        </w:rPr>
        <w:t>万元，完成年初预算的</w:t>
      </w:r>
      <w:r>
        <w:rPr>
          <w:rFonts w:hint="eastAsia" w:ascii="仿宋_GB2312" w:hAnsi="宋体" w:eastAsia="仿宋_GB2312" w:cs="Courier New"/>
          <w:color w:val="auto"/>
          <w:sz w:val="32"/>
          <w:szCs w:val="32"/>
          <w:highlight w:val="none"/>
          <w:lang w:val="en-US" w:eastAsia="zh-CN"/>
        </w:rPr>
        <w:t>100</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无差异。</w:t>
      </w:r>
    </w:p>
    <w:p>
      <w:pPr>
        <w:keepNext w:val="0"/>
        <w:keepLines w:val="0"/>
        <w:pageBreakBefore w:val="0"/>
        <w:numPr>
          <w:ilvl w:val="0"/>
          <w:numId w:val="7"/>
        </w:numPr>
        <w:wordWrap/>
        <w:topLinePunct w:val="0"/>
        <w:bidi w:val="0"/>
        <w:adjustRightInd w:val="0"/>
        <w:snapToGrid w:val="0"/>
        <w:spacing w:afterAutospacing="0" w:line="360" w:lineRule="auto"/>
        <w:ind w:firstLine="960" w:firstLineChars="300"/>
        <w:jc w:val="both"/>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val="en-US" w:eastAsia="zh-CN"/>
        </w:rPr>
        <w:t>一般公共服务支出（类）法院（款）一般行政管理事务（项）。</w:t>
      </w:r>
      <w:r>
        <w:rPr>
          <w:rFonts w:hint="eastAsia" w:ascii="仿宋_GB2312" w:hAnsi="宋体" w:eastAsia="仿宋_GB2312" w:cs="Courier New"/>
          <w:sz w:val="32"/>
          <w:szCs w:val="32"/>
        </w:rPr>
        <w:t>年初预算为</w:t>
      </w:r>
      <w:r>
        <w:rPr>
          <w:rFonts w:hint="eastAsia" w:ascii="仿宋_GB2312" w:hAnsi="宋体" w:eastAsia="仿宋_GB2312" w:cs="Courier New"/>
          <w:color w:val="auto"/>
          <w:sz w:val="32"/>
          <w:szCs w:val="32"/>
          <w:highlight w:val="none"/>
          <w:lang w:val="en-US" w:eastAsia="zh-CN"/>
        </w:rPr>
        <w:t>155.83</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155.83</w:t>
      </w:r>
      <w:r>
        <w:rPr>
          <w:rFonts w:hint="eastAsia" w:ascii="仿宋_GB2312" w:hAnsi="宋体" w:eastAsia="仿宋_GB2312" w:cs="Courier New"/>
          <w:sz w:val="32"/>
          <w:szCs w:val="32"/>
        </w:rPr>
        <w:t>万元，完成年初预算的</w:t>
      </w:r>
      <w:r>
        <w:rPr>
          <w:rFonts w:hint="eastAsia" w:ascii="仿宋_GB2312" w:hAnsi="宋体" w:eastAsia="仿宋_GB2312" w:cs="Courier New"/>
          <w:color w:val="auto"/>
          <w:sz w:val="32"/>
          <w:szCs w:val="32"/>
          <w:highlight w:val="none"/>
          <w:lang w:val="en-US" w:eastAsia="zh-CN"/>
        </w:rPr>
        <w:t>100</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无差异。</w:t>
      </w:r>
    </w:p>
    <w:p>
      <w:pPr>
        <w:keepNext w:val="0"/>
        <w:keepLines w:val="0"/>
        <w:pageBreakBefore w:val="0"/>
        <w:numPr>
          <w:ilvl w:val="0"/>
          <w:numId w:val="7"/>
        </w:numPr>
        <w:wordWrap/>
        <w:topLinePunct w:val="0"/>
        <w:bidi w:val="0"/>
        <w:adjustRightInd w:val="0"/>
        <w:snapToGrid w:val="0"/>
        <w:spacing w:afterAutospacing="0" w:line="360" w:lineRule="auto"/>
        <w:ind w:firstLine="960" w:firstLineChars="300"/>
        <w:jc w:val="both"/>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val="en-US" w:eastAsia="zh-CN"/>
        </w:rPr>
        <w:t>一般公共服务支出（类）法院（款）两庭建设（项）5.79万元、</w:t>
      </w:r>
      <w:r>
        <w:rPr>
          <w:rFonts w:hint="eastAsia" w:ascii="仿宋_GB2312" w:hAnsi="宋体" w:eastAsia="仿宋_GB2312" w:cs="Courier New"/>
          <w:sz w:val="32"/>
          <w:szCs w:val="32"/>
        </w:rPr>
        <w:t>年初预算为</w:t>
      </w:r>
      <w:r>
        <w:rPr>
          <w:rFonts w:hint="eastAsia" w:ascii="仿宋_GB2312" w:hAnsi="宋体" w:eastAsia="仿宋_GB2312" w:cs="Courier New"/>
          <w:color w:val="auto"/>
          <w:sz w:val="32"/>
          <w:szCs w:val="32"/>
          <w:highlight w:val="none"/>
          <w:lang w:val="en-US" w:eastAsia="zh-CN"/>
        </w:rPr>
        <w:t>5.79</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5.79</w:t>
      </w:r>
      <w:r>
        <w:rPr>
          <w:rFonts w:hint="eastAsia" w:ascii="仿宋_GB2312" w:hAnsi="宋体" w:eastAsia="仿宋_GB2312" w:cs="Courier New"/>
          <w:sz w:val="32"/>
          <w:szCs w:val="32"/>
        </w:rPr>
        <w:t>万元，完成年初预算的</w:t>
      </w:r>
      <w:r>
        <w:rPr>
          <w:rFonts w:hint="eastAsia" w:ascii="仿宋_GB2312" w:hAnsi="宋体" w:eastAsia="仿宋_GB2312" w:cs="Courier New"/>
          <w:color w:val="auto"/>
          <w:sz w:val="32"/>
          <w:szCs w:val="32"/>
          <w:highlight w:val="none"/>
          <w:lang w:val="en-US" w:eastAsia="zh-CN"/>
        </w:rPr>
        <w:t>100</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无差异。</w:t>
      </w:r>
    </w:p>
    <w:p>
      <w:pPr>
        <w:keepNext w:val="0"/>
        <w:keepLines w:val="0"/>
        <w:pageBreakBefore w:val="0"/>
        <w:numPr>
          <w:ilvl w:val="0"/>
          <w:numId w:val="7"/>
        </w:numPr>
        <w:wordWrap/>
        <w:topLinePunct w:val="0"/>
        <w:bidi w:val="0"/>
        <w:adjustRightInd w:val="0"/>
        <w:snapToGrid w:val="0"/>
        <w:spacing w:afterAutospacing="0" w:line="360" w:lineRule="auto"/>
        <w:ind w:firstLine="960" w:firstLineChars="300"/>
        <w:jc w:val="both"/>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val="en-US" w:eastAsia="zh-CN"/>
        </w:rPr>
        <w:t>一般公共服务支出（类）法院（款）事业运行（项）15.99万元。</w:t>
      </w:r>
      <w:r>
        <w:rPr>
          <w:rFonts w:hint="eastAsia" w:ascii="仿宋_GB2312" w:hAnsi="宋体" w:eastAsia="仿宋_GB2312" w:cs="Courier New"/>
          <w:sz w:val="32"/>
          <w:szCs w:val="32"/>
        </w:rPr>
        <w:t>年初预算为</w:t>
      </w:r>
      <w:r>
        <w:rPr>
          <w:rFonts w:hint="eastAsia" w:ascii="仿宋_GB2312" w:hAnsi="宋体" w:eastAsia="仿宋_GB2312" w:cs="Courier New"/>
          <w:color w:val="auto"/>
          <w:sz w:val="32"/>
          <w:szCs w:val="32"/>
          <w:highlight w:val="none"/>
          <w:lang w:val="en-US" w:eastAsia="zh-CN"/>
        </w:rPr>
        <w:t>15.99</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15.99</w:t>
      </w:r>
      <w:r>
        <w:rPr>
          <w:rFonts w:hint="eastAsia" w:ascii="仿宋_GB2312" w:hAnsi="宋体" w:eastAsia="仿宋_GB2312" w:cs="Courier New"/>
          <w:sz w:val="32"/>
          <w:szCs w:val="32"/>
        </w:rPr>
        <w:t>万元，完成年初预算的</w:t>
      </w:r>
      <w:r>
        <w:rPr>
          <w:rFonts w:hint="eastAsia" w:ascii="仿宋_GB2312" w:hAnsi="宋体" w:eastAsia="仿宋_GB2312" w:cs="Courier New"/>
          <w:color w:val="auto"/>
          <w:sz w:val="32"/>
          <w:szCs w:val="32"/>
          <w:highlight w:val="none"/>
          <w:lang w:val="en-US" w:eastAsia="zh-CN"/>
        </w:rPr>
        <w:t>100</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无差异。</w:t>
      </w:r>
    </w:p>
    <w:p>
      <w:pPr>
        <w:keepNext w:val="0"/>
        <w:keepLines w:val="0"/>
        <w:pageBreakBefore w:val="0"/>
        <w:numPr>
          <w:ilvl w:val="0"/>
          <w:numId w:val="7"/>
        </w:numPr>
        <w:wordWrap/>
        <w:topLinePunct w:val="0"/>
        <w:bidi w:val="0"/>
        <w:adjustRightInd w:val="0"/>
        <w:snapToGrid w:val="0"/>
        <w:spacing w:afterAutospacing="0" w:line="360" w:lineRule="auto"/>
        <w:ind w:firstLine="960" w:firstLineChars="300"/>
        <w:jc w:val="both"/>
        <w:textAlignment w:val="auto"/>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eastAsia="zh-CN"/>
        </w:rPr>
        <w:t>社会保障和就业支出（类）行政事业单位离退休（款）养老保险（项）</w:t>
      </w:r>
      <w:r>
        <w:rPr>
          <w:rFonts w:hint="eastAsia" w:ascii="仿宋_GB2312" w:hAnsi="宋体" w:eastAsia="仿宋_GB2312" w:cs="Courier New"/>
          <w:sz w:val="32"/>
          <w:szCs w:val="32"/>
          <w:lang w:val="en-US" w:eastAsia="zh-CN"/>
        </w:rPr>
        <w:t>。</w:t>
      </w:r>
      <w:r>
        <w:rPr>
          <w:rFonts w:hint="eastAsia" w:ascii="仿宋_GB2312" w:hAnsi="宋体" w:eastAsia="仿宋_GB2312" w:cs="Courier New"/>
          <w:sz w:val="32"/>
          <w:szCs w:val="32"/>
        </w:rPr>
        <w:t>年初预算为</w:t>
      </w:r>
      <w:r>
        <w:rPr>
          <w:rFonts w:hint="eastAsia" w:ascii="仿宋_GB2312" w:hAnsi="宋体" w:eastAsia="仿宋_GB2312" w:cs="Courier New"/>
          <w:color w:val="auto"/>
          <w:sz w:val="32"/>
          <w:szCs w:val="32"/>
          <w:highlight w:val="none"/>
          <w:lang w:val="en-US" w:eastAsia="zh-CN"/>
        </w:rPr>
        <w:t>237.77</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237.77</w:t>
      </w:r>
      <w:r>
        <w:rPr>
          <w:rFonts w:hint="eastAsia" w:ascii="仿宋_GB2312" w:hAnsi="宋体" w:eastAsia="仿宋_GB2312" w:cs="Courier New"/>
          <w:sz w:val="32"/>
          <w:szCs w:val="32"/>
        </w:rPr>
        <w:t>万元，完成年初预算的</w:t>
      </w:r>
      <w:r>
        <w:rPr>
          <w:rFonts w:hint="eastAsia" w:ascii="仿宋_GB2312" w:hAnsi="宋体" w:eastAsia="仿宋_GB2312" w:cs="Courier New"/>
          <w:color w:val="auto"/>
          <w:sz w:val="32"/>
          <w:szCs w:val="32"/>
          <w:highlight w:val="none"/>
          <w:lang w:val="en-US" w:eastAsia="zh-CN"/>
        </w:rPr>
        <w:t>100</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无差异。</w:t>
      </w:r>
    </w:p>
    <w:p>
      <w:pPr>
        <w:keepNext w:val="0"/>
        <w:keepLines w:val="0"/>
        <w:pageBreakBefore w:val="0"/>
        <w:numPr>
          <w:ilvl w:val="0"/>
          <w:numId w:val="7"/>
        </w:numPr>
        <w:wordWrap/>
        <w:topLinePunct w:val="0"/>
        <w:bidi w:val="0"/>
        <w:adjustRightInd w:val="0"/>
        <w:snapToGrid w:val="0"/>
        <w:spacing w:afterAutospacing="0" w:line="360" w:lineRule="auto"/>
        <w:ind w:firstLine="960" w:firstLineChars="300"/>
        <w:jc w:val="both"/>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社会保障和就业支出（类）</w:t>
      </w:r>
      <w:r>
        <w:rPr>
          <w:rFonts w:hint="eastAsia" w:ascii="仿宋_GB2312" w:hAnsi="宋体" w:eastAsia="仿宋_GB2312" w:cs="Courier New"/>
          <w:sz w:val="32"/>
          <w:szCs w:val="32"/>
          <w:lang w:val="en-US" w:eastAsia="zh-CN"/>
        </w:rPr>
        <w:t>抚恤（款）死亡抚恤（项）。</w:t>
      </w:r>
      <w:r>
        <w:rPr>
          <w:rFonts w:hint="eastAsia" w:ascii="仿宋_GB2312" w:hAnsi="宋体" w:eastAsia="仿宋_GB2312" w:cs="Courier New"/>
          <w:sz w:val="32"/>
          <w:szCs w:val="32"/>
        </w:rPr>
        <w:t>年初预算为</w:t>
      </w:r>
      <w:r>
        <w:rPr>
          <w:rFonts w:hint="eastAsia" w:ascii="仿宋_GB2312" w:hAnsi="宋体" w:eastAsia="仿宋_GB2312" w:cs="Courier New"/>
          <w:color w:val="auto"/>
          <w:sz w:val="32"/>
          <w:szCs w:val="32"/>
          <w:highlight w:val="none"/>
          <w:lang w:val="en-US" w:eastAsia="zh-CN"/>
        </w:rPr>
        <w:t>17.23</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17.23</w:t>
      </w:r>
      <w:r>
        <w:rPr>
          <w:rFonts w:hint="eastAsia" w:ascii="仿宋_GB2312" w:hAnsi="宋体" w:eastAsia="仿宋_GB2312" w:cs="Courier New"/>
          <w:sz w:val="32"/>
          <w:szCs w:val="32"/>
        </w:rPr>
        <w:t>万元，完成年初预算的</w:t>
      </w:r>
      <w:r>
        <w:rPr>
          <w:rFonts w:hint="eastAsia" w:ascii="仿宋_GB2312" w:hAnsi="宋体" w:eastAsia="仿宋_GB2312" w:cs="Courier New"/>
          <w:color w:val="auto"/>
          <w:sz w:val="32"/>
          <w:szCs w:val="32"/>
          <w:highlight w:val="none"/>
          <w:lang w:val="en-US" w:eastAsia="zh-CN"/>
        </w:rPr>
        <w:t>100</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无异。</w:t>
      </w:r>
    </w:p>
    <w:p>
      <w:pPr>
        <w:keepNext w:val="0"/>
        <w:keepLines w:val="0"/>
        <w:pageBreakBefore w:val="0"/>
        <w:numPr>
          <w:ilvl w:val="0"/>
          <w:numId w:val="7"/>
        </w:numPr>
        <w:wordWrap/>
        <w:topLinePunct w:val="0"/>
        <w:bidi w:val="0"/>
        <w:adjustRightInd w:val="0"/>
        <w:snapToGrid w:val="0"/>
        <w:spacing w:afterAutospacing="0" w:line="360" w:lineRule="auto"/>
        <w:ind w:firstLine="960" w:firstLineChars="300"/>
        <w:jc w:val="both"/>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val="en-US" w:eastAsia="zh-CN"/>
        </w:rPr>
        <w:t>医疗卫生与计划生育支出（类）行政事业单位医疗（款）行政单位医疗（项）。</w:t>
      </w:r>
      <w:r>
        <w:rPr>
          <w:rFonts w:hint="eastAsia" w:ascii="仿宋_GB2312" w:hAnsi="宋体" w:eastAsia="仿宋_GB2312" w:cs="Courier New"/>
          <w:sz w:val="32"/>
          <w:szCs w:val="32"/>
        </w:rPr>
        <w:t>年初预算为</w:t>
      </w:r>
      <w:r>
        <w:rPr>
          <w:rFonts w:hint="eastAsia" w:ascii="仿宋_GB2312" w:hAnsi="宋体" w:eastAsia="仿宋_GB2312" w:cs="Courier New"/>
          <w:color w:val="auto"/>
          <w:sz w:val="32"/>
          <w:szCs w:val="32"/>
          <w:highlight w:val="none"/>
          <w:lang w:val="en-US" w:eastAsia="zh-CN"/>
        </w:rPr>
        <w:t>60.21</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60.21</w:t>
      </w:r>
      <w:r>
        <w:rPr>
          <w:rFonts w:hint="eastAsia" w:ascii="仿宋_GB2312" w:hAnsi="宋体" w:eastAsia="仿宋_GB2312" w:cs="Courier New"/>
          <w:sz w:val="32"/>
          <w:szCs w:val="32"/>
        </w:rPr>
        <w:t>万元，完成年初预算的</w:t>
      </w:r>
      <w:r>
        <w:rPr>
          <w:rFonts w:hint="eastAsia" w:ascii="仿宋_GB2312" w:hAnsi="宋体" w:eastAsia="仿宋_GB2312" w:cs="Courier New"/>
          <w:color w:val="auto"/>
          <w:sz w:val="32"/>
          <w:szCs w:val="32"/>
          <w:highlight w:val="none"/>
          <w:lang w:val="en-US" w:eastAsia="zh-CN"/>
        </w:rPr>
        <w:t>100</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无差异。</w:t>
      </w:r>
    </w:p>
    <w:p>
      <w:pPr>
        <w:keepNext w:val="0"/>
        <w:keepLines w:val="0"/>
        <w:pageBreakBefore w:val="0"/>
        <w:numPr>
          <w:ilvl w:val="0"/>
          <w:numId w:val="7"/>
        </w:numPr>
        <w:wordWrap/>
        <w:topLinePunct w:val="0"/>
        <w:bidi w:val="0"/>
        <w:adjustRightInd w:val="0"/>
        <w:snapToGrid w:val="0"/>
        <w:spacing w:afterAutospacing="0" w:line="360" w:lineRule="auto"/>
        <w:ind w:firstLine="960" w:firstLineChars="300"/>
        <w:jc w:val="both"/>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val="en-US" w:eastAsia="zh-CN"/>
        </w:rPr>
        <w:t>住房保障支出（类)住房改革支出（款）住房公积金（项）90.12万元。</w:t>
      </w:r>
      <w:r>
        <w:rPr>
          <w:rFonts w:hint="eastAsia" w:ascii="仿宋_GB2312" w:hAnsi="宋体" w:eastAsia="仿宋_GB2312" w:cs="Courier New"/>
          <w:sz w:val="32"/>
          <w:szCs w:val="32"/>
        </w:rPr>
        <w:t>年初预算为</w:t>
      </w:r>
      <w:r>
        <w:rPr>
          <w:rFonts w:hint="eastAsia" w:ascii="仿宋_GB2312" w:hAnsi="宋体" w:eastAsia="仿宋_GB2312" w:cs="Courier New"/>
          <w:color w:val="auto"/>
          <w:sz w:val="32"/>
          <w:szCs w:val="32"/>
          <w:highlight w:val="none"/>
          <w:lang w:val="en-US" w:eastAsia="zh-CN"/>
        </w:rPr>
        <w:t>90.12</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90.12</w:t>
      </w:r>
      <w:r>
        <w:rPr>
          <w:rFonts w:hint="eastAsia" w:ascii="仿宋_GB2312" w:hAnsi="宋体" w:eastAsia="仿宋_GB2312" w:cs="Courier New"/>
          <w:sz w:val="32"/>
          <w:szCs w:val="32"/>
        </w:rPr>
        <w:t>万元，完成年初预算的</w:t>
      </w:r>
      <w:r>
        <w:rPr>
          <w:rFonts w:hint="eastAsia" w:ascii="仿宋_GB2312" w:hAnsi="宋体" w:eastAsia="仿宋_GB2312" w:cs="Courier New"/>
          <w:color w:val="auto"/>
          <w:sz w:val="32"/>
          <w:szCs w:val="32"/>
          <w:highlight w:val="none"/>
          <w:lang w:val="en-US" w:eastAsia="zh-CN"/>
        </w:rPr>
        <w:t>100</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无差异。</w:t>
      </w:r>
    </w:p>
    <w:p>
      <w:pPr>
        <w:adjustRightInd w:val="0"/>
        <w:snapToGrid w:val="0"/>
        <w:spacing w:line="360" w:lineRule="auto"/>
        <w:ind w:firstLine="640" w:firstLineChars="200"/>
        <w:rPr>
          <w:rFonts w:hint="eastAsia"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2334.21</w:t>
      </w:r>
      <w:r>
        <w:rPr>
          <w:rFonts w:hint="eastAsia" w:ascii="仿宋_GB2312" w:hAnsi="宋体" w:eastAsia="仿宋_GB2312" w:cs="Courier New"/>
          <w:sz w:val="32"/>
          <w:szCs w:val="32"/>
        </w:rPr>
        <w:t>万元，其中：</w:t>
      </w:r>
      <w:r>
        <w:rPr>
          <w:rFonts w:hint="eastAsia" w:ascii="仿宋_GB2312" w:hAnsi="Times New Roman" w:eastAsia="仿宋_GB2312" w:cs="仿宋_GB2312"/>
          <w:b/>
          <w:bCs w:val="0"/>
          <w:spacing w:val="-1"/>
          <w:kern w:val="0"/>
          <w:sz w:val="32"/>
          <w:szCs w:val="32"/>
        </w:rPr>
        <w:t>人员经费</w:t>
      </w:r>
      <w:r>
        <w:rPr>
          <w:rFonts w:hint="eastAsia" w:ascii="仿宋_GB2312" w:hAnsi="Times New Roman" w:eastAsia="仿宋_GB2312" w:cs="仿宋_GB2312"/>
          <w:bCs/>
          <w:spacing w:val="-1"/>
          <w:kern w:val="0"/>
          <w:sz w:val="32"/>
          <w:szCs w:val="32"/>
        </w:rPr>
        <w:t>1</w:t>
      </w:r>
      <w:r>
        <w:rPr>
          <w:rFonts w:hint="eastAsia" w:ascii="仿宋_GB2312" w:hAnsi="Times New Roman" w:eastAsia="仿宋_GB2312" w:cs="仿宋_GB2312"/>
          <w:bCs/>
          <w:spacing w:val="-1"/>
          <w:kern w:val="0"/>
          <w:sz w:val="32"/>
          <w:szCs w:val="32"/>
          <w:lang w:val="en-US" w:eastAsia="zh-CN"/>
        </w:rPr>
        <w:t>628.64</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主要包括：基本工资、津贴补贴、伙食补助费、绩效工资等；</w:t>
      </w:r>
      <w:r>
        <w:rPr>
          <w:rFonts w:hint="eastAsia" w:ascii="仿宋_GB2312" w:hAnsi="Times New Roman" w:eastAsia="仿宋_GB2312" w:cs="仿宋_GB2312"/>
          <w:b/>
          <w:spacing w:val="-1"/>
          <w:kern w:val="0"/>
          <w:sz w:val="32"/>
          <w:szCs w:val="32"/>
        </w:rPr>
        <w:t>公用经费7</w:t>
      </w:r>
      <w:r>
        <w:rPr>
          <w:rFonts w:hint="eastAsia" w:ascii="仿宋_GB2312" w:hAnsi="Times New Roman" w:eastAsia="仿宋_GB2312" w:cs="仿宋_GB2312"/>
          <w:b/>
          <w:spacing w:val="-1"/>
          <w:kern w:val="0"/>
          <w:sz w:val="32"/>
          <w:szCs w:val="32"/>
          <w:lang w:val="en-US" w:eastAsia="zh-CN"/>
        </w:rPr>
        <w:t>05.57</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，主要包括：办公经费、办案经费等。</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83.15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83.15</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%，其中：因公出国（境）费支出决算为0万元，完成预算的0%；公务用车购置及运行费支出决算为</w:t>
      </w:r>
      <w:r>
        <w:rPr>
          <w:rFonts w:hint="eastAsia" w:ascii="仿宋_GB2312" w:hAnsi="宋体" w:eastAsia="仿宋_GB2312" w:cs="Courier New"/>
          <w:sz w:val="32"/>
          <w:szCs w:val="32"/>
          <w:lang w:val="en-US" w:eastAsia="zh-CN"/>
        </w:rPr>
        <w:t>63.05</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20.09</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年度“三公”经费支出决算数</w:t>
      </w:r>
      <w:r>
        <w:rPr>
          <w:rFonts w:hint="eastAsia" w:ascii="仿宋_GB2312" w:hAnsi="宋体" w:eastAsia="仿宋_GB2312" w:cs="Courier New"/>
          <w:sz w:val="32"/>
          <w:szCs w:val="32"/>
          <w:lang w:eastAsia="zh-CN"/>
        </w:rPr>
        <w:t>持平</w:t>
      </w:r>
      <w:r>
        <w:rPr>
          <w:rFonts w:hint="eastAsia" w:ascii="仿宋_GB2312" w:hAnsi="宋体" w:eastAsia="仿宋_GB2312" w:cs="Courier New"/>
          <w:sz w:val="32"/>
          <w:szCs w:val="32"/>
        </w:rPr>
        <w:t>于预算数的主要原因是严格控制非生产性开支。</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年度“三公”经费财政拨款支出决算中</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因公出国（境）费支出决算为0万元，完成预算的0%</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占0%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63.05</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占75.83%</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20.09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24.17</w:t>
      </w:r>
      <w:r>
        <w:rPr>
          <w:rFonts w:hint="eastAsia" w:ascii="仿宋_GB2312" w:hAnsi="宋体" w:eastAsia="仿宋_GB2312" w:cs="Courier New"/>
          <w:sz w:val="32"/>
          <w:szCs w:val="32"/>
        </w:rPr>
        <w:t>%。具体情况如下：</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lang w:val="en-US" w:eastAsia="zh-CN"/>
        </w:rPr>
        <w:t>1.</w:t>
      </w: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w:t>
      </w:r>
      <w:r>
        <w:rPr>
          <w:rFonts w:hint="eastAsia" w:ascii="仿宋_GB2312" w:hAnsi="宋体" w:eastAsia="仿宋_GB2312" w:cs="Courier New"/>
          <w:sz w:val="32"/>
          <w:szCs w:val="32"/>
          <w:lang w:eastAsia="zh-CN"/>
        </w:rPr>
        <w:t>因公出国（境）</w:t>
      </w:r>
      <w:r>
        <w:rPr>
          <w:rFonts w:hint="eastAsia" w:ascii="仿宋_GB2312" w:hAnsi="宋体" w:eastAsia="仿宋_GB2312" w:cs="Courier New"/>
          <w:sz w:val="32"/>
          <w:szCs w:val="32"/>
          <w:lang w:val="en-US" w:eastAsia="zh-CN"/>
        </w:rPr>
        <w:t>0团组和0人次。</w:t>
      </w:r>
    </w:p>
    <w:p>
      <w:pPr>
        <w:numPr>
          <w:ilvl w:val="0"/>
          <w:numId w:val="0"/>
        </w:numPr>
        <w:kinsoku w:val="0"/>
        <w:overflowPunct w:val="0"/>
        <w:autoSpaceDE w:val="0"/>
        <w:autoSpaceDN w:val="0"/>
        <w:adjustRightInd w:val="0"/>
        <w:snapToGrid w:val="0"/>
        <w:spacing w:line="360" w:lineRule="auto"/>
        <w:ind w:leftChars="200" w:firstLine="321" w:firstLineChars="100"/>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2.</w:t>
      </w: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63.05</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支出为22.69万元</w:t>
      </w:r>
      <w:r>
        <w:rPr>
          <w:rFonts w:hint="eastAsia" w:ascii="仿宋_GB2312" w:hAnsi="宋体" w:eastAsia="仿宋_GB2312" w:cs="Courier New"/>
          <w:sz w:val="32"/>
          <w:szCs w:val="32"/>
          <w:lang w:eastAsia="zh-CN"/>
        </w:rPr>
        <w:t>，购置车辆</w:t>
      </w:r>
      <w:r>
        <w:rPr>
          <w:rFonts w:hint="eastAsia" w:ascii="仿宋_GB2312" w:hAnsi="宋体" w:eastAsia="仿宋_GB2312" w:cs="Courier New"/>
          <w:sz w:val="32"/>
          <w:szCs w:val="32"/>
          <w:lang w:val="en-US" w:eastAsia="zh-CN"/>
        </w:rPr>
        <w:t>1辆</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3" w:firstLineChars="200"/>
        <w:rPr>
          <w:rFonts w:hint="default" w:ascii="仿宋_GB2312" w:hAnsi="宋体" w:eastAsia="仿宋_GB2312" w:cs="Courier New"/>
          <w:sz w:val="32"/>
          <w:szCs w:val="32"/>
          <w:lang w:val="en-US" w:eastAsia="zh-CN"/>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40.36</w:t>
      </w:r>
      <w:r>
        <w:rPr>
          <w:rFonts w:hint="eastAsia" w:ascii="仿宋_GB2312" w:hAnsi="宋体" w:eastAsia="仿宋_GB2312" w:cs="Courier New"/>
          <w:sz w:val="32"/>
          <w:szCs w:val="32"/>
        </w:rPr>
        <w:t>万元。主要用于车辆维修、燃油费等。</w:t>
      </w:r>
      <w:r>
        <w:rPr>
          <w:rFonts w:hint="eastAsia" w:ascii="仿宋_GB2312" w:hAnsi="宋体" w:eastAsia="仿宋_GB2312" w:cs="Courier New"/>
          <w:sz w:val="32"/>
          <w:szCs w:val="32"/>
          <w:lang w:eastAsia="zh-CN"/>
        </w:rPr>
        <w:t>公车报有量为</w:t>
      </w:r>
      <w:r>
        <w:rPr>
          <w:rFonts w:hint="eastAsia" w:ascii="仿宋_GB2312" w:hAnsi="宋体" w:eastAsia="仿宋_GB2312" w:cs="Courier New"/>
          <w:sz w:val="32"/>
          <w:szCs w:val="32"/>
          <w:lang w:val="en-US" w:eastAsia="zh-CN"/>
        </w:rPr>
        <w:t>13辆。</w:t>
      </w:r>
    </w:p>
    <w:p>
      <w:pPr>
        <w:numPr>
          <w:ilvl w:val="0"/>
          <w:numId w:val="0"/>
        </w:num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3.</w:t>
      </w: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20.09</w:t>
      </w:r>
      <w:r>
        <w:rPr>
          <w:rFonts w:hint="eastAsia" w:ascii="仿宋_GB2312" w:hAnsi="宋体" w:eastAsia="仿宋_GB2312" w:cs="Courier New"/>
          <w:sz w:val="32"/>
          <w:szCs w:val="32"/>
        </w:rPr>
        <w:t>万元。其中：</w:t>
      </w:r>
    </w:p>
    <w:p>
      <w:pPr>
        <w:numPr>
          <w:ilvl w:val="0"/>
          <w:numId w:val="0"/>
        </w:numPr>
        <w:kinsoku w:val="0"/>
        <w:overflowPunct w:val="0"/>
        <w:autoSpaceDE w:val="0"/>
        <w:autoSpaceDN w:val="0"/>
        <w:adjustRightInd w:val="0"/>
        <w:snapToGrid w:val="0"/>
        <w:spacing w:line="360" w:lineRule="auto"/>
        <w:ind w:leftChars="0"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外宾接待支出</w:t>
      </w:r>
      <w:r>
        <w:rPr>
          <w:rFonts w:hint="eastAsia" w:ascii="仿宋_GB2312" w:hAnsi="宋体" w:eastAsia="仿宋_GB2312" w:cs="Courier New"/>
          <w:sz w:val="32"/>
          <w:szCs w:val="32"/>
        </w:rPr>
        <w:t xml:space="preserve"> 0 万元。无外宾接待支出。201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年共接待国（境）外来访团组 0 个、来访外宾 0 人次（不包括陪同人员）。</w:t>
      </w:r>
    </w:p>
    <w:p>
      <w:pPr>
        <w:numPr>
          <w:ilvl w:val="0"/>
          <w:numId w:val="0"/>
        </w:numPr>
        <w:kinsoku w:val="0"/>
        <w:overflowPunct w:val="0"/>
        <w:autoSpaceDE w:val="0"/>
        <w:autoSpaceDN w:val="0"/>
        <w:adjustRightInd w:val="0"/>
        <w:snapToGrid w:val="0"/>
        <w:spacing w:line="360" w:lineRule="auto"/>
        <w:ind w:leftChars="0"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其他国内公务接待支出</w:t>
      </w:r>
      <w:r>
        <w:rPr>
          <w:rFonts w:hint="eastAsia" w:ascii="仿宋_GB2312" w:hAnsi="宋体" w:eastAsia="仿宋_GB2312" w:cs="Courier New"/>
          <w:sz w:val="32"/>
          <w:szCs w:val="32"/>
          <w:lang w:val="en-US" w:eastAsia="zh-CN"/>
        </w:rPr>
        <w:t>20.09</w:t>
      </w:r>
      <w:r>
        <w:rPr>
          <w:rFonts w:hint="eastAsia" w:ascii="仿宋_GB2312" w:hAnsi="宋体" w:eastAsia="仿宋_GB2312" w:cs="Courier New"/>
          <w:sz w:val="32"/>
          <w:szCs w:val="32"/>
        </w:rPr>
        <w:t>万元。主要用于办公办案业务性招待。201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年共接待国内来访团组2</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0批次、来宾2</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75 人次（不包括陪同人员）。</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根据财政预算管理要求，浉河区法院对201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年度一般公共预算项目支出全面开展绩效自评。</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（二）项目绩效自评结果。</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项目绩效自评结果良好。</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（三）重点绩效评价结果。</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 xml:space="preserve"> 年度我部门无重点绩效评价。</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年度政府性基金预算财政拨款支出年初预算为0万元，支出决算为0万元。</w:t>
      </w:r>
    </w:p>
    <w:p>
      <w:pPr>
        <w:numPr>
          <w:ilvl w:val="0"/>
          <w:numId w:val="0"/>
        </w:numPr>
        <w:adjustRightInd w:val="0"/>
        <w:snapToGrid w:val="0"/>
        <w:spacing w:line="360" w:lineRule="auto"/>
        <w:ind w:leftChars="200" w:firstLine="640" w:firstLineChars="200"/>
        <w:outlineLvl w:val="1"/>
        <w:rPr>
          <w:rFonts w:hint="eastAsia" w:ascii="黑体" w:hAnsi="黑体" w:eastAsia="黑体"/>
          <w:sz w:val="32"/>
          <w:szCs w:val="32"/>
        </w:rPr>
      </w:pPr>
      <w:r>
        <w:rPr>
          <w:rFonts w:hint="eastAsia" w:ascii="黑体" w:hAnsi="黑体" w:eastAsia="黑体"/>
          <w:sz w:val="32"/>
          <w:szCs w:val="32"/>
          <w:lang w:val="en-US" w:eastAsia="zh-CN"/>
        </w:rPr>
        <w:t>十、</w:t>
      </w:r>
      <w:r>
        <w:rPr>
          <w:rFonts w:hint="eastAsia" w:ascii="黑体" w:hAnsi="黑体" w:eastAsia="黑体"/>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年度机关运行经费年初预算为20</w:t>
      </w:r>
      <w:r>
        <w:rPr>
          <w:rFonts w:hint="eastAsia" w:ascii="仿宋_GB2312" w:hAnsi="宋体" w:eastAsia="仿宋_GB2312" w:cs="Courier New"/>
          <w:sz w:val="32"/>
          <w:szCs w:val="32"/>
          <w:lang w:val="en-US" w:eastAsia="zh-CN"/>
        </w:rPr>
        <w:t>90.5</w:t>
      </w:r>
      <w:r>
        <w:rPr>
          <w:rFonts w:hint="eastAsia" w:ascii="仿宋_GB2312" w:hAnsi="宋体" w:eastAsia="仿宋_GB2312" w:cs="Courier New"/>
          <w:sz w:val="32"/>
          <w:szCs w:val="32"/>
        </w:rPr>
        <w:t>万元，支出决算为20</w:t>
      </w:r>
      <w:r>
        <w:rPr>
          <w:rFonts w:hint="eastAsia" w:ascii="仿宋_GB2312" w:hAnsi="宋体" w:eastAsia="仿宋_GB2312" w:cs="Courier New"/>
          <w:sz w:val="32"/>
          <w:szCs w:val="32"/>
          <w:lang w:val="en-US" w:eastAsia="zh-CN"/>
        </w:rPr>
        <w:t>90.5</w:t>
      </w:r>
      <w:r>
        <w:rPr>
          <w:rFonts w:hint="eastAsia" w:ascii="仿宋_GB2312" w:hAnsi="宋体" w:eastAsia="仿宋_GB2312" w:cs="Courier New"/>
          <w:sz w:val="32"/>
          <w:szCs w:val="32"/>
        </w:rPr>
        <w:t>万元，完成年初预算的100%。决算数与年初预算数</w:t>
      </w:r>
      <w:r>
        <w:rPr>
          <w:rFonts w:hint="eastAsia" w:ascii="仿宋_GB2312" w:hAnsi="宋体" w:eastAsia="仿宋_GB2312" w:cs="Courier New"/>
          <w:sz w:val="32"/>
          <w:szCs w:val="32"/>
          <w:lang w:val="en-US" w:eastAsia="zh-CN"/>
        </w:rPr>
        <w:t>不</w:t>
      </w:r>
      <w:r>
        <w:rPr>
          <w:rFonts w:hint="eastAsia" w:ascii="仿宋_GB2312" w:hAnsi="宋体" w:eastAsia="仿宋_GB2312" w:cs="Courier New"/>
          <w:sz w:val="32"/>
          <w:szCs w:val="32"/>
        </w:rPr>
        <w:t>存在差异。</w:t>
      </w:r>
    </w:p>
    <w:p>
      <w:pPr>
        <w:numPr>
          <w:ilvl w:val="0"/>
          <w:numId w:val="0"/>
        </w:numPr>
        <w:adjustRightInd w:val="0"/>
        <w:snapToGrid w:val="0"/>
        <w:spacing w:line="360" w:lineRule="auto"/>
        <w:ind w:leftChars="200" w:firstLine="640" w:firstLineChars="200"/>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十一、政府采购支出情况。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年度政府采购支出总额</w:t>
      </w:r>
      <w:r>
        <w:rPr>
          <w:rFonts w:hint="eastAsia" w:ascii="仿宋_GB2312" w:hAnsi="宋体" w:eastAsia="仿宋_GB2312" w:cs="Courier New"/>
          <w:sz w:val="32"/>
          <w:szCs w:val="32"/>
          <w:lang w:val="en-US" w:eastAsia="zh-CN"/>
        </w:rPr>
        <w:t>161.62</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161.62</w:t>
      </w:r>
      <w:r>
        <w:rPr>
          <w:rFonts w:hint="eastAsia" w:ascii="仿宋_GB2312" w:hAnsi="宋体" w:eastAsia="仿宋_GB2312" w:cs="Courier New"/>
          <w:sz w:val="32"/>
          <w:szCs w:val="32"/>
        </w:rPr>
        <w:t>万元、政府采购工程支出0万元、政府采购服务支出0万元。授予中小企业合同金额0万元，占政府采购支出总额的0%，其中：授予小微企业合同金额0万元，占政府采购支出总额的0%。</w:t>
      </w:r>
    </w:p>
    <w:p>
      <w:pPr>
        <w:numPr>
          <w:ilvl w:val="0"/>
          <w:numId w:val="0"/>
        </w:numPr>
        <w:adjustRightInd w:val="0"/>
        <w:snapToGrid w:val="0"/>
        <w:spacing w:line="360" w:lineRule="auto"/>
        <w:ind w:leftChars="200" w:firstLine="640" w:firstLineChars="200"/>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十二、国有资产占用情况。</w:t>
      </w:r>
    </w:p>
    <w:p>
      <w:pPr>
        <w:pStyle w:val="5"/>
        <w:keepNext w:val="0"/>
        <w:keepLines w:val="0"/>
        <w:pageBreakBefore w:val="0"/>
        <w:widowControl/>
        <w:suppressLineNumbers w:val="0"/>
        <w:wordWrap/>
        <w:topLinePunct w:val="0"/>
        <w:bidi w:val="0"/>
        <w:spacing w:before="0" w:beforeAutospacing="0" w:afterAutospacing="0"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201</w:t>
      </w:r>
      <w:r>
        <w:rPr>
          <w:rFonts w:hint="eastAsia" w:ascii="仿宋" w:hAnsi="仿宋" w:eastAsia="仿宋" w:cs="仿宋"/>
          <w:sz w:val="32"/>
          <w:szCs w:val="32"/>
          <w:shd w:val="clear" w:fill="FFFFFF"/>
          <w:lang w:val="en-US" w:eastAsia="zh-CN"/>
        </w:rPr>
        <w:t>8</w:t>
      </w:r>
      <w:r>
        <w:rPr>
          <w:rFonts w:hint="eastAsia" w:ascii="仿宋" w:hAnsi="仿宋" w:eastAsia="仿宋" w:cs="仿宋"/>
          <w:sz w:val="32"/>
          <w:szCs w:val="32"/>
          <w:shd w:val="clear" w:fill="FFFFFF"/>
        </w:rPr>
        <w:t>年期末，我部门共有车辆13辆，其中：省级领导干部用车0辆、主要领导干部用车0辆、机要通信用车0辆、应急保障车0辆、执法执勤用车11辆、特种专业技术用车0辆、离退休干部用车0辆、其他用车2辆；单位价值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w:t>
      </w:r>
      <w:r>
        <w:rPr>
          <w:rFonts w:hint="eastAsia" w:ascii="隶书" w:hAnsi="隶书" w:eastAsia="隶书" w:cs="隶书"/>
          <w:sz w:val="48"/>
          <w:szCs w:val="48"/>
          <w:lang w:val="en-US" w:eastAsia="zh-CN"/>
        </w:rPr>
        <w:t>三</w:t>
      </w:r>
      <w:r>
        <w:rPr>
          <w:rFonts w:hint="eastAsia" w:ascii="隶书" w:hAnsi="隶书" w:eastAsia="隶书" w:cs="隶书"/>
          <w:sz w:val="48"/>
          <w:szCs w:val="48"/>
        </w:rPr>
        <w:t>部分　　名词解释</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（请根据单位实际情况，参照《2017年政府收支分类科目》和对口中央部门决算公开信息填写）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584F4"/>
    <w:multiLevelType w:val="singleLevel"/>
    <w:tmpl w:val="D0B584F4"/>
    <w:lvl w:ilvl="0" w:tentative="0">
      <w:start w:val="1"/>
      <w:numFmt w:val="decimal"/>
      <w:lvlText w:val="%1."/>
      <w:lvlJc w:val="left"/>
      <w:pPr>
        <w:tabs>
          <w:tab w:val="left" w:pos="312"/>
        </w:tabs>
      </w:pPr>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3">
    <w:nsid w:val="5971C193"/>
    <w:multiLevelType w:val="singleLevel"/>
    <w:tmpl w:val="5971C193"/>
    <w:lvl w:ilvl="0" w:tentative="0">
      <w:start w:val="2"/>
      <w:numFmt w:val="chineseCounting"/>
      <w:suff w:val="nothing"/>
      <w:lvlText w:val="%1、"/>
      <w:lvlJc w:val="left"/>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7">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8">
    <w:nsid w:val="5971F72C"/>
    <w:multiLevelType w:val="singleLevel"/>
    <w:tmpl w:val="5971F72C"/>
    <w:lvl w:ilvl="0" w:tentative="0">
      <w:start w:val="1"/>
      <w:numFmt w:val="chineseCounting"/>
      <w:suff w:val="nothing"/>
      <w:lvlText w:val="%1、"/>
      <w:lvlJc w:val="left"/>
      <w:pPr>
        <w:ind w:left="0" w:firstLine="420"/>
      </w:pPr>
      <w:rPr>
        <w:rFonts w:hint="eastAsia"/>
      </w:rPr>
    </w:lvl>
  </w:abstractNum>
  <w:abstractNum w:abstractNumId="9">
    <w:nsid w:val="7625BBD5"/>
    <w:multiLevelType w:val="singleLevel"/>
    <w:tmpl w:val="7625BBD5"/>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9"/>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D3AA5"/>
    <w:rsid w:val="00172A27"/>
    <w:rsid w:val="003056F7"/>
    <w:rsid w:val="005052D0"/>
    <w:rsid w:val="006251F7"/>
    <w:rsid w:val="00630D31"/>
    <w:rsid w:val="00783862"/>
    <w:rsid w:val="00AF5647"/>
    <w:rsid w:val="00B54309"/>
    <w:rsid w:val="00B84FB0"/>
    <w:rsid w:val="00CA7318"/>
    <w:rsid w:val="00DA2A0E"/>
    <w:rsid w:val="00EE0BEE"/>
    <w:rsid w:val="00F93487"/>
    <w:rsid w:val="00FD6F2A"/>
    <w:rsid w:val="01064770"/>
    <w:rsid w:val="04453648"/>
    <w:rsid w:val="09BB2134"/>
    <w:rsid w:val="09ED202A"/>
    <w:rsid w:val="09FF4684"/>
    <w:rsid w:val="0A431731"/>
    <w:rsid w:val="0A8A4920"/>
    <w:rsid w:val="0A986AAB"/>
    <w:rsid w:val="0B225F16"/>
    <w:rsid w:val="114B1E54"/>
    <w:rsid w:val="13DA4090"/>
    <w:rsid w:val="15492582"/>
    <w:rsid w:val="156E75A7"/>
    <w:rsid w:val="15E94686"/>
    <w:rsid w:val="166740A9"/>
    <w:rsid w:val="16DC49CF"/>
    <w:rsid w:val="187759EA"/>
    <w:rsid w:val="19216C22"/>
    <w:rsid w:val="19740D12"/>
    <w:rsid w:val="1BB26345"/>
    <w:rsid w:val="1D3E7E66"/>
    <w:rsid w:val="1E7D3B34"/>
    <w:rsid w:val="1EA8661E"/>
    <w:rsid w:val="1ECB6FC1"/>
    <w:rsid w:val="209C4FF0"/>
    <w:rsid w:val="211313D4"/>
    <w:rsid w:val="230666A8"/>
    <w:rsid w:val="23265F09"/>
    <w:rsid w:val="258F34D6"/>
    <w:rsid w:val="262445AC"/>
    <w:rsid w:val="277A2158"/>
    <w:rsid w:val="2B35463C"/>
    <w:rsid w:val="2B775233"/>
    <w:rsid w:val="2BA4769A"/>
    <w:rsid w:val="2CD06EF4"/>
    <w:rsid w:val="2E4F1699"/>
    <w:rsid w:val="2EA3017F"/>
    <w:rsid w:val="32CE09A9"/>
    <w:rsid w:val="32EF40CE"/>
    <w:rsid w:val="35CE2524"/>
    <w:rsid w:val="372974AC"/>
    <w:rsid w:val="3AC16FDC"/>
    <w:rsid w:val="3CB216F4"/>
    <w:rsid w:val="3CE47224"/>
    <w:rsid w:val="42271DDB"/>
    <w:rsid w:val="436869F4"/>
    <w:rsid w:val="44180A30"/>
    <w:rsid w:val="47123BE8"/>
    <w:rsid w:val="47A352C0"/>
    <w:rsid w:val="48036E61"/>
    <w:rsid w:val="480E350C"/>
    <w:rsid w:val="484B54CB"/>
    <w:rsid w:val="48B52937"/>
    <w:rsid w:val="48EE3EF3"/>
    <w:rsid w:val="4C1E2F28"/>
    <w:rsid w:val="4E054941"/>
    <w:rsid w:val="51AD42DE"/>
    <w:rsid w:val="53E3635F"/>
    <w:rsid w:val="53E9756D"/>
    <w:rsid w:val="56407735"/>
    <w:rsid w:val="5651051D"/>
    <w:rsid w:val="56C61A96"/>
    <w:rsid w:val="57BB5F84"/>
    <w:rsid w:val="57E961A8"/>
    <w:rsid w:val="581E77CF"/>
    <w:rsid w:val="58B06254"/>
    <w:rsid w:val="59E3092F"/>
    <w:rsid w:val="5AF25131"/>
    <w:rsid w:val="5C025799"/>
    <w:rsid w:val="5F3A0145"/>
    <w:rsid w:val="600176AC"/>
    <w:rsid w:val="627358F6"/>
    <w:rsid w:val="6431638A"/>
    <w:rsid w:val="649E2ABB"/>
    <w:rsid w:val="66335117"/>
    <w:rsid w:val="664A46E0"/>
    <w:rsid w:val="6715463E"/>
    <w:rsid w:val="674E08EC"/>
    <w:rsid w:val="69975458"/>
    <w:rsid w:val="6A0B6DFF"/>
    <w:rsid w:val="6A2415C4"/>
    <w:rsid w:val="6C2F3976"/>
    <w:rsid w:val="6EF25BD8"/>
    <w:rsid w:val="6FA53D97"/>
    <w:rsid w:val="70A61E1C"/>
    <w:rsid w:val="722B79CC"/>
    <w:rsid w:val="737A5BE5"/>
    <w:rsid w:val="73F1196C"/>
    <w:rsid w:val="75531EF6"/>
    <w:rsid w:val="75D0003D"/>
    <w:rsid w:val="76BD5B9E"/>
    <w:rsid w:val="779E3F57"/>
    <w:rsid w:val="79960645"/>
    <w:rsid w:val="7A0A7936"/>
    <w:rsid w:val="7A995FA2"/>
    <w:rsid w:val="7D0D382E"/>
    <w:rsid w:val="7F39282F"/>
    <w:rsid w:val="7F7D2C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ont31"/>
    <w:basedOn w:val="7"/>
    <w:qFormat/>
    <w:uiPriority w:val="0"/>
    <w:rPr>
      <w:rFonts w:ascii="Arial" w:hAnsi="Arial" w:cs="Arial"/>
      <w:color w:val="000000"/>
      <w:sz w:val="16"/>
      <w:szCs w:val="16"/>
      <w:u w:val="none"/>
    </w:rPr>
  </w:style>
  <w:style w:type="character" w:customStyle="1" w:styleId="9">
    <w:name w:val="font01"/>
    <w:basedOn w:val="7"/>
    <w:qFormat/>
    <w:uiPriority w:val="0"/>
    <w:rPr>
      <w:rFonts w:hint="default" w:ascii="Arial" w:hAnsi="Arial" w:cs="Arial"/>
      <w:color w:val="000000"/>
      <w:sz w:val="16"/>
      <w:szCs w:val="16"/>
      <w:u w:val="none"/>
    </w:rPr>
  </w:style>
  <w:style w:type="character" w:customStyle="1" w:styleId="10">
    <w:name w:val="font41"/>
    <w:basedOn w:val="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549</Words>
  <Characters>3133</Characters>
  <Lines>26</Lines>
  <Paragraphs>7</Paragraphs>
  <TotalTime>3</TotalTime>
  <ScaleCrop>false</ScaleCrop>
  <LinksUpToDate>false</LinksUpToDate>
  <CharactersWithSpaces>3675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2017-07-25T02:47:00Z</cp:lastPrinted>
  <dcterms:modified xsi:type="dcterms:W3CDTF">2021-06-18T02:16:28Z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66B5480781984B2CA3B9EF8E8E595A08</vt:lpwstr>
  </property>
</Properties>
</file>