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rPr>
        <w:t>2018年度</w:t>
      </w:r>
    </w:p>
    <w:p>
      <w:pPr>
        <w:jc w:val="center"/>
        <w:rPr>
          <w:rFonts w:hint="eastAsia" w:ascii="黑体" w:hAnsi="黑体" w:eastAsia="黑体" w:cs="黑体"/>
          <w:sz w:val="52"/>
          <w:szCs w:val="52"/>
        </w:rPr>
      </w:pPr>
      <w:r>
        <w:rPr>
          <w:rFonts w:hint="eastAsia" w:ascii="黑体" w:hAnsi="黑体" w:eastAsia="黑体" w:cs="黑体"/>
          <w:sz w:val="52"/>
          <w:szCs w:val="52"/>
          <w:lang w:eastAsia="zh-CN"/>
        </w:rPr>
        <w:t>信阳市浉河区工业和信息化委员会</w:t>
      </w:r>
      <w:r>
        <w:rPr>
          <w:rFonts w:hint="eastAsia" w:ascii="黑体" w:hAnsi="黑体" w:eastAsia="黑体" w:cs="黑体"/>
          <w:sz w:val="52"/>
          <w:szCs w:val="52"/>
        </w:rPr>
        <w:t>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二〇一九年</w:t>
      </w:r>
      <w:r>
        <w:rPr>
          <w:rFonts w:hint="eastAsia" w:ascii="黑体" w:hAnsi="黑体" w:eastAsia="黑体" w:cs="黑体"/>
          <w:sz w:val="32"/>
          <w:szCs w:val="32"/>
          <w:lang w:eastAsia="zh-CN"/>
        </w:rPr>
        <w:t>九</w:t>
      </w:r>
      <w:r>
        <w:rPr>
          <w:rFonts w:hint="eastAsia" w:ascii="黑体" w:hAnsi="黑体" w:eastAsia="黑体" w:cs="黑体"/>
          <w:sz w:val="32"/>
          <w:szCs w:val="32"/>
        </w:rPr>
        <w:t>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信阳市浉河区工业和信息化委员会</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2018年度部门决算表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hint="eastAsia" w:ascii="宋体" w:hAnsi="宋体" w:cs="宋体"/>
          <w:sz w:val="32"/>
          <w:szCs w:val="32"/>
        </w:rPr>
      </w:pPr>
      <w:r>
        <w:rPr>
          <w:rFonts w:hint="eastAsia" w:ascii="宋体" w:hAnsi="宋体" w:cs="宋体"/>
          <w:sz w:val="32"/>
          <w:szCs w:val="32"/>
        </w:rPr>
        <w:t>三、支出决算表</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2018年度部门决算情况说明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宋体" w:hAnsi="宋体" w:cs="宋体"/>
          <w:sz w:val="32"/>
          <w:szCs w:val="32"/>
        </w:rPr>
      </w:pPr>
    </w:p>
    <w:p>
      <w:pPr>
        <w:jc w:val="left"/>
        <w:rPr>
          <w:rFonts w:hint="eastAsia" w:ascii="黑体" w:hAnsi="黑体" w:eastAsia="黑体" w:cs="黑体"/>
          <w:sz w:val="32"/>
          <w:szCs w:val="32"/>
        </w:rPr>
        <w:sectPr>
          <w:footerReference r:id="rId4" w:type="default"/>
          <w:footerReference r:id="rId5"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黑体" w:hAnsi="宋体" w:eastAsia="黑体" w:cs="宋体"/>
          <w:kern w:val="0"/>
          <w:sz w:val="28"/>
          <w:szCs w:val="28"/>
        </w:rPr>
      </w:pPr>
      <w:r>
        <w:rPr>
          <w:rFonts w:hint="eastAsia" w:ascii="黑体" w:hAnsi="黑体" w:eastAsia="黑体" w:cs="黑体"/>
          <w:sz w:val="48"/>
          <w:szCs w:val="48"/>
        </w:rPr>
        <w:t xml:space="preserve">第一部分  </w:t>
      </w:r>
      <w:r>
        <w:rPr>
          <w:rFonts w:hint="eastAsia" w:ascii="黑体" w:hAnsi="黑体" w:eastAsia="黑体" w:cs="黑体"/>
          <w:sz w:val="48"/>
          <w:szCs w:val="48"/>
          <w:lang w:eastAsia="zh-CN"/>
        </w:rPr>
        <w:t>信阳市浉河区工业和信息化委员会</w:t>
      </w:r>
      <w:r>
        <w:rPr>
          <w:rFonts w:hint="eastAsia" w:ascii="黑体" w:hAnsi="黑体" w:eastAsia="黑体" w:cs="黑体"/>
          <w:sz w:val="48"/>
          <w:szCs w:val="48"/>
        </w:rPr>
        <w:t>概况</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spacing w:line="360" w:lineRule="auto"/>
        <w:ind w:firstLine="630"/>
        <w:rPr>
          <w:rFonts w:ascii="仿宋_GB2312" w:hAnsi="宋体" w:eastAsia="仿宋_GB2312"/>
          <w:sz w:val="32"/>
          <w:szCs w:val="32"/>
        </w:rPr>
      </w:pPr>
      <w:r>
        <w:rPr>
          <w:rFonts w:hint="eastAsia" w:ascii="仿宋_GB2312" w:hAnsi="宋体" w:eastAsia="仿宋_GB2312"/>
          <w:sz w:val="32"/>
          <w:szCs w:val="32"/>
        </w:rPr>
        <w:t>（一）提出全区新型工业化发展战略和政策，协调解决新型工业化进程中的重大问题，拟订并组织实施全区工业和信息化的发展规划。</w:t>
      </w:r>
    </w:p>
    <w:p>
      <w:pPr>
        <w:spacing w:line="360" w:lineRule="auto"/>
        <w:ind w:firstLine="630"/>
        <w:rPr>
          <w:rFonts w:ascii="仿宋_GB2312" w:hAnsi="宋体" w:eastAsia="仿宋_GB2312"/>
          <w:sz w:val="32"/>
          <w:szCs w:val="32"/>
        </w:rPr>
      </w:pPr>
      <w:r>
        <w:rPr>
          <w:rFonts w:hint="eastAsia" w:ascii="仿宋_GB2312" w:hAnsi="宋体" w:eastAsia="仿宋_GB2312"/>
          <w:sz w:val="32"/>
          <w:szCs w:val="32"/>
        </w:rPr>
        <w:t>（二）拟订并组织实施全区工业行业规划、计划和产业政策，提出优化产业布局、结构的政策建议，起草相关规章草案，拟订行业技术规范和标准并组织实施，指导行业质量管理工作。</w:t>
      </w:r>
    </w:p>
    <w:p>
      <w:pPr>
        <w:spacing w:line="360" w:lineRule="auto"/>
        <w:ind w:firstLine="630"/>
        <w:rPr>
          <w:rFonts w:ascii="仿宋_GB2312" w:hAnsi="宋体" w:eastAsia="仿宋_GB2312"/>
          <w:sz w:val="32"/>
          <w:szCs w:val="32"/>
        </w:rPr>
      </w:pPr>
      <w:r>
        <w:rPr>
          <w:rFonts w:hint="eastAsia" w:ascii="仿宋_GB2312" w:hAnsi="宋体" w:eastAsia="仿宋_GB2312"/>
          <w:sz w:val="32"/>
          <w:szCs w:val="32"/>
        </w:rPr>
        <w:t>（三）监测分析全区工业运行态势，统计并发布相关信息，进行预测预警和信息引导，协调解决行业运行发展中的有关问题并提出政策建议，负责工业应急管理、产业安全和国防动员有关工作。</w:t>
      </w:r>
    </w:p>
    <w:p>
      <w:pPr>
        <w:spacing w:line="360" w:lineRule="auto"/>
        <w:ind w:firstLine="630"/>
        <w:rPr>
          <w:rFonts w:ascii="仿宋_GB2312" w:hAnsi="宋体" w:eastAsia="仿宋_GB2312"/>
          <w:sz w:val="32"/>
          <w:szCs w:val="32"/>
        </w:rPr>
      </w:pPr>
      <w:r>
        <w:rPr>
          <w:rFonts w:hint="eastAsia" w:ascii="仿宋_GB2312" w:hAnsi="宋体" w:eastAsia="仿宋_GB2312"/>
          <w:sz w:val="32"/>
          <w:szCs w:val="32"/>
        </w:rPr>
        <w:t>（四）负责指导工业企业改制工作，拟订全区工业企业改革的政策，推动建立现代企业制度；指导企业管理人员的培训和企业家队伍建设工作。</w:t>
      </w:r>
    </w:p>
    <w:p>
      <w:pPr>
        <w:spacing w:line="360" w:lineRule="auto"/>
        <w:ind w:firstLine="630"/>
        <w:rPr>
          <w:rFonts w:ascii="仿宋_GB2312" w:hAnsi="宋体" w:eastAsia="仿宋_GB2312"/>
          <w:sz w:val="32"/>
          <w:szCs w:val="32"/>
        </w:rPr>
      </w:pPr>
      <w:r>
        <w:rPr>
          <w:rFonts w:hint="eastAsia" w:ascii="仿宋_GB2312" w:hAnsi="宋体" w:eastAsia="仿宋_GB2312"/>
          <w:sz w:val="32"/>
          <w:szCs w:val="32"/>
        </w:rPr>
        <w:t>（五）负责推进工业技术改造和产业结构调整，指导工业发展，推进工业化和信息化融合，促进工业经济统筹协调发展，提高工业整体技术水平，不断增强自主创新能力，加快工业结构调整和优化升级步伐。</w:t>
      </w:r>
    </w:p>
    <w:p>
      <w:pPr>
        <w:spacing w:line="360" w:lineRule="auto"/>
        <w:ind w:firstLine="630"/>
        <w:rPr>
          <w:rFonts w:ascii="仿宋_GB2312" w:hAnsi="宋体" w:eastAsia="仿宋_GB2312"/>
          <w:sz w:val="32"/>
          <w:szCs w:val="32"/>
        </w:rPr>
      </w:pPr>
      <w:r>
        <w:rPr>
          <w:rFonts w:hint="eastAsia" w:ascii="仿宋_GB2312" w:hAnsi="宋体" w:eastAsia="仿宋_GB2312"/>
          <w:sz w:val="32"/>
          <w:szCs w:val="32"/>
        </w:rPr>
        <w:t>（六）负责提出全区工业、信息化固定资产投资规模和方向（含利用外资和境外投资）以及国家、省、市对口部门和本区用于工业和信息化财政性建设资金安排的意见，按照上级规定的权限审批、核准国家、省、市、区规划内和年度计划规模内固定资产投资项目。</w:t>
      </w:r>
    </w:p>
    <w:p>
      <w:pPr>
        <w:spacing w:line="360" w:lineRule="auto"/>
        <w:ind w:firstLine="630"/>
        <w:rPr>
          <w:rFonts w:ascii="仿宋_GB2312" w:hAnsi="宋体" w:eastAsia="仿宋_GB2312"/>
          <w:sz w:val="32"/>
          <w:szCs w:val="32"/>
        </w:rPr>
      </w:pPr>
      <w:r>
        <w:rPr>
          <w:rFonts w:hint="eastAsia" w:ascii="仿宋_GB2312" w:hAnsi="宋体" w:eastAsia="仿宋_GB2312"/>
          <w:sz w:val="32"/>
          <w:szCs w:val="32"/>
        </w:rPr>
        <w:t>（七）组织实施国家高新技术产业中涉及生物医药、新材料、信息产业等的规划、政策和标准；指导行业技术创新和技术进步，以先进适用技术改造提升传统产业；组织实施国家、省、市、区有关重大科技专项工程，推进相关科研成果产业化；推动全区软件业、信息服务业和新兴产业发展。</w:t>
      </w:r>
    </w:p>
    <w:p>
      <w:pPr>
        <w:spacing w:line="360" w:lineRule="auto"/>
        <w:ind w:firstLine="630"/>
        <w:rPr>
          <w:rFonts w:ascii="仿宋_GB2312" w:hAnsi="宋体" w:eastAsia="仿宋_GB2312"/>
          <w:sz w:val="32"/>
          <w:szCs w:val="32"/>
        </w:rPr>
      </w:pPr>
      <w:r>
        <w:rPr>
          <w:rFonts w:hint="eastAsia" w:ascii="仿宋_GB2312" w:hAnsi="宋体" w:eastAsia="仿宋_GB2312"/>
          <w:sz w:val="32"/>
          <w:szCs w:val="32"/>
        </w:rPr>
        <w:t>（八）承担全区振兴装备制造业组织协调的责任，组织拟订重大技术装备发展和自主创新规划、政策；依托国家、省和市重点工程建设，协调有关重大专项工程的实施；推进重大技术装备国产化，指导引进重大技术装备的消化创新。</w:t>
      </w:r>
    </w:p>
    <w:p>
      <w:pPr>
        <w:spacing w:line="360" w:lineRule="auto"/>
        <w:ind w:firstLine="630"/>
        <w:rPr>
          <w:rFonts w:ascii="仿宋_GB2312" w:hAnsi="宋体" w:eastAsia="仿宋_GB2312"/>
          <w:sz w:val="32"/>
          <w:szCs w:val="32"/>
        </w:rPr>
      </w:pPr>
      <w:r>
        <w:rPr>
          <w:rFonts w:hint="eastAsia" w:ascii="仿宋_GB2312" w:hAnsi="宋体" w:eastAsia="仿宋_GB2312"/>
          <w:sz w:val="32"/>
          <w:szCs w:val="32"/>
        </w:rPr>
        <w:t>（九）拟订并组织实施全区工业、信息化的能源节约和资源综合利用、清洁生产促进政策，参与拟订能源节约和资源综合利用、清洁生产促进规划，组织协调相关重大示范工程和新产品、新技术、新设备、新材料的推广应用。</w:t>
      </w:r>
    </w:p>
    <w:p>
      <w:pPr>
        <w:spacing w:line="360" w:lineRule="auto"/>
        <w:ind w:firstLine="630"/>
        <w:rPr>
          <w:rFonts w:ascii="仿宋_GB2312" w:hAnsi="宋体" w:eastAsia="仿宋_GB2312"/>
          <w:sz w:val="32"/>
          <w:szCs w:val="32"/>
        </w:rPr>
      </w:pPr>
      <w:r>
        <w:rPr>
          <w:rFonts w:hint="eastAsia" w:ascii="仿宋_GB2312" w:hAnsi="宋体" w:eastAsia="仿宋_GB2312"/>
          <w:sz w:val="32"/>
          <w:szCs w:val="32"/>
        </w:rPr>
        <w:t>（十）推进全区工业和信息化体制改革和管理创新，提高行业综合素质和核心竞争力，指导相关行业加强安全生产管理。</w:t>
      </w:r>
    </w:p>
    <w:p>
      <w:pPr>
        <w:spacing w:line="360" w:lineRule="auto"/>
        <w:ind w:firstLine="630"/>
        <w:rPr>
          <w:rFonts w:ascii="仿宋_GB2312" w:hAnsi="宋体" w:eastAsia="仿宋_GB2312"/>
          <w:sz w:val="32"/>
          <w:szCs w:val="32"/>
        </w:rPr>
      </w:pPr>
      <w:r>
        <w:rPr>
          <w:rFonts w:hint="eastAsia" w:ascii="仿宋_GB2312" w:hAnsi="宋体" w:eastAsia="仿宋_GB2312"/>
          <w:sz w:val="32"/>
          <w:szCs w:val="32"/>
        </w:rPr>
        <w:t>（十一）研究提出全区钢铁、有色金属、石化（不含炼油）、化工（不含煤制燃料和燃料乙醇）、建材等行业管理政策和建议，依法规范和整顿其经营秩序。</w:t>
      </w:r>
    </w:p>
    <w:p>
      <w:pPr>
        <w:spacing w:line="360" w:lineRule="auto"/>
        <w:ind w:firstLine="630"/>
        <w:rPr>
          <w:rFonts w:ascii="仿宋_GB2312" w:hAnsi="宋体" w:eastAsia="仿宋_GB2312"/>
          <w:sz w:val="32"/>
          <w:szCs w:val="32"/>
        </w:rPr>
      </w:pPr>
      <w:r>
        <w:rPr>
          <w:rFonts w:hint="eastAsia" w:ascii="仿宋_GB2312" w:hAnsi="宋体" w:eastAsia="仿宋_GB2312"/>
          <w:sz w:val="32"/>
          <w:szCs w:val="32"/>
        </w:rPr>
        <w:t>（十二）负责全区中小企业非公有制经济发展的宏观指导，会同有关部门拟订促进中小企业和非公有制经济发展的相关政策、措施并监督检查执行情况；负责中小企业融资服务体系建设，协调解决有关重大问题。</w:t>
      </w:r>
    </w:p>
    <w:p>
      <w:pPr>
        <w:spacing w:line="360" w:lineRule="auto"/>
        <w:ind w:firstLine="630"/>
        <w:rPr>
          <w:rFonts w:ascii="仿宋_GB2312" w:hAnsi="宋体" w:eastAsia="仿宋_GB2312"/>
          <w:sz w:val="32"/>
          <w:szCs w:val="32"/>
        </w:rPr>
      </w:pPr>
      <w:r>
        <w:rPr>
          <w:rFonts w:hint="eastAsia" w:ascii="仿宋_GB2312" w:hAnsi="宋体" w:eastAsia="仿宋_GB2312"/>
          <w:sz w:val="32"/>
          <w:szCs w:val="32"/>
        </w:rPr>
        <w:t>（十三）统筹推进全区信息化工作，组织制订相关政策并协调信息化建设中的重大问题，促进电信、广播电视和计算机三网融合，指导协调政务信息化、电子商务发展，推动跨行业、跨部门的互联、互通和重要信息资源的开发利用、共享。</w:t>
      </w:r>
    </w:p>
    <w:p>
      <w:pPr>
        <w:spacing w:line="360" w:lineRule="auto"/>
        <w:ind w:firstLine="630"/>
        <w:rPr>
          <w:rFonts w:ascii="仿宋_GB2312" w:hAnsi="宋体" w:eastAsia="仿宋_GB2312"/>
          <w:sz w:val="32"/>
          <w:szCs w:val="32"/>
        </w:rPr>
      </w:pPr>
      <w:r>
        <w:rPr>
          <w:rFonts w:hint="eastAsia" w:ascii="仿宋_GB2312" w:hAnsi="宋体" w:eastAsia="仿宋_GB2312"/>
          <w:sz w:val="32"/>
          <w:szCs w:val="32"/>
        </w:rPr>
        <w:t>（十四）承担相关信息安全管理的责任，负责协调维护全区信息安全和信息安全保障体系建设，指导监督政府部门、重点行业的重要信息系统和基础信息网络的安全保障工作，协调处理信息安全重大事件。</w:t>
      </w:r>
    </w:p>
    <w:p>
      <w:pPr>
        <w:spacing w:line="360" w:lineRule="auto"/>
        <w:ind w:firstLine="630"/>
        <w:rPr>
          <w:rFonts w:ascii="仿宋_GB2312" w:hAnsi="宋体" w:eastAsia="仿宋_GB2312"/>
          <w:sz w:val="32"/>
          <w:szCs w:val="32"/>
        </w:rPr>
      </w:pPr>
      <w:r>
        <w:rPr>
          <w:rFonts w:hint="eastAsia" w:ascii="仿宋_GB2312" w:hAnsi="宋体" w:eastAsia="仿宋_GB2312"/>
          <w:sz w:val="32"/>
          <w:szCs w:val="32"/>
        </w:rPr>
        <w:t>（十五）指导和推动中小企业、非公有制经济的区域性合作、专业化协作、对外合作、招商引资工作；负责牵头组织有关部门对全区工业、中小企业、非公有制经济发展情况的考核和提出奖惩意见。</w:t>
      </w:r>
    </w:p>
    <w:p>
      <w:pPr>
        <w:spacing w:line="360" w:lineRule="auto"/>
        <w:ind w:firstLine="630"/>
        <w:rPr>
          <w:rFonts w:hint="eastAsia" w:ascii="仿宋_GB2312" w:hAnsi="宋体" w:eastAsia="仿宋_GB2312" w:cs="宋体"/>
          <w:kern w:val="0"/>
          <w:sz w:val="32"/>
          <w:szCs w:val="32"/>
        </w:rPr>
      </w:pPr>
      <w:r>
        <w:rPr>
          <w:rFonts w:hint="eastAsia" w:ascii="仿宋_GB2312" w:hAnsi="宋体" w:eastAsia="仿宋_GB2312"/>
          <w:sz w:val="32"/>
          <w:szCs w:val="32"/>
        </w:rPr>
        <w:t>（十六）承办区政府交办的其他事项。</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spacing w:line="560" w:lineRule="exact"/>
        <w:ind w:firstLine="585"/>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信阳市浉河区工业和信息化委员会</w:t>
      </w:r>
      <w:r>
        <w:rPr>
          <w:rFonts w:hint="eastAsia" w:ascii="仿宋_GB2312" w:hAnsi="仿宋_GB2312" w:eastAsia="仿宋_GB2312" w:cs="仿宋_GB2312"/>
          <w:sz w:val="32"/>
          <w:szCs w:val="32"/>
        </w:rPr>
        <w:t>内设10个股室，（办公室、人事股、企改股、发展规划股、企业服务股、老干股、监察室、经济运行监测股、群工站、网络信息股），下设1个二级归口预算单位(区中小企业信用担保中心)</w:t>
      </w:r>
      <w:r>
        <w:rPr>
          <w:rFonts w:hint="eastAsia" w:ascii="仿宋_GB2312" w:hAnsi="仿宋_GB2312" w:eastAsia="仿宋_GB2312" w:cs="仿宋_GB2312"/>
          <w:sz w:val="32"/>
          <w:szCs w:val="32"/>
          <w:lang w:eastAsia="zh-CN"/>
        </w:rPr>
        <w:t>。</w:t>
      </w:r>
    </w:p>
    <w:p>
      <w:pPr>
        <w:spacing w:line="560" w:lineRule="exact"/>
        <w:ind w:firstLine="585"/>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纳入信阳市浉河区工业和信息化委员会</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8</w:t>
      </w:r>
      <w:r>
        <w:rPr>
          <w:rFonts w:hint="eastAsia" w:ascii="仿宋_GB2312" w:hAnsi="楷体_GB2312" w:eastAsia="仿宋_GB2312" w:cs="楷体_GB2312"/>
          <w:sz w:val="32"/>
          <w:szCs w:val="32"/>
        </w:rPr>
        <w:t>年度部门</w:t>
      </w:r>
      <w:r>
        <w:rPr>
          <w:rFonts w:hint="eastAsia" w:ascii="仿宋_GB2312" w:hAnsi="楷体_GB2312" w:eastAsia="仿宋_GB2312" w:cs="楷体_GB2312"/>
          <w:sz w:val="32"/>
          <w:szCs w:val="32"/>
          <w:lang w:eastAsia="zh-CN"/>
        </w:rPr>
        <w:t>决</w:t>
      </w:r>
      <w:r>
        <w:rPr>
          <w:rFonts w:hint="eastAsia" w:ascii="仿宋_GB2312" w:hAnsi="楷体_GB2312" w:eastAsia="仿宋_GB2312" w:cs="楷体_GB2312"/>
          <w:sz w:val="32"/>
          <w:szCs w:val="32"/>
        </w:rPr>
        <w:t>算编制范围的单位包括：</w:t>
      </w:r>
    </w:p>
    <w:p>
      <w:pPr>
        <w:pStyle w:val="7"/>
        <w:numPr>
          <w:ilvl w:val="0"/>
          <w:numId w:val="2"/>
        </w:numPr>
        <w:spacing w:line="560" w:lineRule="exact"/>
        <w:ind w:firstLineChars="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信阳市浉河区工业和信息化委员会本级</w:t>
      </w:r>
    </w:p>
    <w:p>
      <w:pPr>
        <w:pStyle w:val="7"/>
        <w:numPr>
          <w:ilvl w:val="0"/>
          <w:numId w:val="2"/>
        </w:numPr>
        <w:spacing w:line="560" w:lineRule="exact"/>
        <w:ind w:firstLineChars="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区中小企业信用担保中心</w:t>
      </w:r>
    </w:p>
    <w:p>
      <w:pPr>
        <w:spacing w:line="500" w:lineRule="exact"/>
        <w:ind w:firstLine="640" w:firstLineChars="200"/>
        <w:jc w:val="left"/>
        <w:rPr>
          <w:rFonts w:hint="eastAsia" w:ascii="仿宋_GB2312" w:hAnsi="仿宋_GB2312" w:eastAsia="仿宋_GB2312" w:cs="仿宋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  2018年度部门决算表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4279"/>
        <w:gridCol w:w="825"/>
        <w:gridCol w:w="1764"/>
        <w:gridCol w:w="4671"/>
        <w:gridCol w:w="750"/>
        <w:gridCol w:w="1699"/>
      </w:tblGrid>
      <w:tr>
        <w:tblPrEx>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收入支出决算总表</w:t>
            </w:r>
          </w:p>
        </w:tc>
      </w:tr>
      <w:tr>
        <w:tblPrEx>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部门：信阳市浉河区工业和信息化委员会</w:t>
            </w: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3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1070.69</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七、文化体育与传媒支出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八、社会保障和就业支出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27</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41.94</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九、医疗卫生与计划生育支出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28</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十、节能环保支出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29</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十一、城乡社区支出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30</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十二、农林水支出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31</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十三、交通运输支出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32</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十四、资源勘探信息等支出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1028.75</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ascii="宋体" w:hAnsi="宋体" w:cs="宋体"/>
                <w:color w:val="000000"/>
                <w:sz w:val="20"/>
                <w:szCs w:val="20"/>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1070.69</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1070.69</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用事业基金弥补收支差额</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176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w:t>
            </w:r>
          </w:p>
        </w:tc>
        <w:tc>
          <w:tcPr>
            <w:tcW w:w="1699" w:type="dxa"/>
            <w:tcBorders>
              <w:top w:val="single" w:color="000000" w:sz="4" w:space="0"/>
              <w:left w:val="nil"/>
              <w:bottom w:val="nil"/>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1764"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1070.69</w:t>
            </w:r>
          </w:p>
        </w:tc>
        <w:tc>
          <w:tcPr>
            <w:tcW w:w="4671"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w:t>
            </w:r>
          </w:p>
        </w:tc>
        <w:tc>
          <w:tcPr>
            <w:tcW w:w="1699"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1070.69</w:t>
            </w:r>
          </w:p>
        </w:tc>
      </w:tr>
      <w:tr>
        <w:tblPrEx>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注：本表反映部门本年度的总收支和年末结转结余情况。本表金额转换为万元时，因四舍五入可能存在尾差。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1027"/>
        <w:gridCol w:w="59"/>
        <w:gridCol w:w="2757"/>
        <w:gridCol w:w="67"/>
        <w:gridCol w:w="1492"/>
        <w:gridCol w:w="61"/>
        <w:gridCol w:w="1498"/>
        <w:gridCol w:w="55"/>
        <w:gridCol w:w="1363"/>
        <w:gridCol w:w="190"/>
        <w:gridCol w:w="1227"/>
        <w:gridCol w:w="326"/>
        <w:gridCol w:w="1092"/>
        <w:gridCol w:w="461"/>
        <w:gridCol w:w="956"/>
        <w:gridCol w:w="1214"/>
      </w:tblGrid>
      <w:tr>
        <w:tblPrEx>
          <w:tblCellMar>
            <w:top w:w="0" w:type="dxa"/>
            <w:left w:w="0" w:type="dxa"/>
            <w:bottom w:w="0" w:type="dxa"/>
            <w:right w:w="0" w:type="dxa"/>
          </w:tblCellMar>
        </w:tblPrEx>
        <w:trPr>
          <w:trHeight w:val="435" w:hRule="atLeast"/>
        </w:trPr>
        <w:tc>
          <w:tcPr>
            <w:tcW w:w="13845" w:type="dxa"/>
            <w:gridSpan w:val="1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5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75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6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00" w:hRule="atLeast"/>
        </w:trPr>
        <w:tc>
          <w:tcPr>
            <w:tcW w:w="3843" w:type="dxa"/>
            <w:gridSpan w:val="3"/>
            <w:tcBorders>
              <w:top w:val="nil"/>
              <w:left w:val="nil"/>
              <w:bottom w:val="nil"/>
              <w:right w:val="nil"/>
            </w:tcBorders>
            <w:shd w:val="clear" w:color="auto" w:fill="FFFFFF"/>
            <w:noWrap/>
            <w:tcMar>
              <w:top w:w="15" w:type="dxa"/>
              <w:left w:w="15" w:type="dxa"/>
              <w:right w:w="15" w:type="dxa"/>
            </w:tcMar>
            <w:vAlign w:val="center"/>
          </w:tcPr>
          <w:p>
            <w:pPr>
              <w:ind w:right="400"/>
              <w:rPr>
                <w:rFonts w:hint="eastAsia" w:ascii="宋体" w:hAnsi="宋体" w:cs="宋体"/>
                <w:color w:val="000000"/>
                <w:sz w:val="20"/>
                <w:szCs w:val="20"/>
              </w:rPr>
            </w:pPr>
            <w:r>
              <w:rPr>
                <w:rFonts w:hint="eastAsia" w:ascii="宋体" w:hAnsi="宋体" w:cs="宋体"/>
                <w:color w:val="000000"/>
                <w:kern w:val="0"/>
                <w:sz w:val="20"/>
                <w:szCs w:val="20"/>
                <w:lang w:bidi="ar"/>
              </w:rPr>
              <w:t>部门：信阳市浉河区工业和信息化委员会</w:t>
            </w:r>
          </w:p>
        </w:tc>
        <w:tc>
          <w:tcPr>
            <w:tcW w:w="6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3843" w:type="dxa"/>
            <w:gridSpan w:val="3"/>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559"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1559" w:type="dxa"/>
            <w:gridSpan w:val="2"/>
            <w:vMerge w:val="restart"/>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1418"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1417"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1418"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1417"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1214"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tblPrEx>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75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55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559"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141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17"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1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17"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214"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55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559"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141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17"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1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17"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214"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843"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214"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tblPrEx>
          <w:tblCellMar>
            <w:top w:w="0" w:type="dxa"/>
            <w:left w:w="0" w:type="dxa"/>
            <w:bottom w:w="0" w:type="dxa"/>
            <w:right w:w="0" w:type="dxa"/>
          </w:tblCellMar>
        </w:tblPrEx>
        <w:trPr>
          <w:trHeight w:val="450" w:hRule="atLeast"/>
        </w:trPr>
        <w:tc>
          <w:tcPr>
            <w:tcW w:w="3843"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1070.69</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1070.69</w:t>
            </w: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4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4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21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208</w:t>
            </w:r>
          </w:p>
        </w:tc>
        <w:tc>
          <w:tcPr>
            <w:tcW w:w="27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社会保障和就业支出</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41.94</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41.94</w:t>
            </w: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4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4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21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20805</w:t>
            </w:r>
          </w:p>
        </w:tc>
        <w:tc>
          <w:tcPr>
            <w:tcW w:w="27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行政事业单位离退休</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华文中宋" w:hAnsi="华文中宋" w:eastAsia="华文中宋" w:cs="华文中宋"/>
                <w:color w:val="000000"/>
                <w:sz w:val="20"/>
                <w:szCs w:val="20"/>
              </w:rPr>
            </w:pPr>
            <w:r>
              <w:rPr>
                <w:rFonts w:hint="eastAsia" w:ascii="华文中宋" w:hAnsi="华文中宋" w:eastAsia="华文中宋" w:cs="华文中宋"/>
                <w:color w:val="000000"/>
                <w:sz w:val="20"/>
                <w:szCs w:val="20"/>
              </w:rPr>
              <w:t>41.94</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41.94</w:t>
            </w: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4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4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21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2080501</w:t>
            </w:r>
          </w:p>
        </w:tc>
        <w:tc>
          <w:tcPr>
            <w:tcW w:w="27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 xml:space="preserve">  归口管理的行政单位离退休</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41.94</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41.94</w:t>
            </w: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4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4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21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215</w:t>
            </w:r>
          </w:p>
        </w:tc>
        <w:tc>
          <w:tcPr>
            <w:tcW w:w="27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资源勘探信息等支出</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1028.75</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1028.75</w:t>
            </w: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4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4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21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r>
      <w:tr>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21505</w:t>
            </w:r>
          </w:p>
        </w:tc>
        <w:tc>
          <w:tcPr>
            <w:tcW w:w="27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工业和信息产业监管</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1028.75</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1028.75</w:t>
            </w: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4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4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214"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2150501</w:t>
            </w:r>
          </w:p>
        </w:tc>
        <w:tc>
          <w:tcPr>
            <w:tcW w:w="2757"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 xml:space="preserve">  行政运行</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1028.75</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1028.75</w:t>
            </w:r>
          </w:p>
        </w:tc>
        <w:tc>
          <w:tcPr>
            <w:tcW w:w="141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41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41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41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214"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r>
      <w:tr>
        <w:tblPrEx>
          <w:tblCellMar>
            <w:top w:w="0" w:type="dxa"/>
            <w:left w:w="0" w:type="dxa"/>
            <w:bottom w:w="0" w:type="dxa"/>
            <w:right w:w="0" w:type="dxa"/>
          </w:tblCellMar>
        </w:tblPrEx>
        <w:trPr>
          <w:trHeight w:val="615" w:hRule="atLeast"/>
        </w:trPr>
        <w:tc>
          <w:tcPr>
            <w:tcW w:w="13845" w:type="dxa"/>
            <w:gridSpan w:val="16"/>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注：本表反映部门本年度取得的各项收入情况。本表金额转换为万元时，因四舍五入可能存在尾差。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4398" w:type="dxa"/>
        <w:tblInd w:w="0" w:type="dxa"/>
        <w:tblLayout w:type="fixed"/>
        <w:tblCellMar>
          <w:top w:w="0" w:type="dxa"/>
          <w:left w:w="0" w:type="dxa"/>
          <w:bottom w:w="0" w:type="dxa"/>
          <w:right w:w="0" w:type="dxa"/>
        </w:tblCellMar>
      </w:tblPr>
      <w:tblGrid>
        <w:gridCol w:w="1120"/>
        <w:gridCol w:w="63"/>
        <w:gridCol w:w="27"/>
        <w:gridCol w:w="3483"/>
        <w:gridCol w:w="50"/>
        <w:gridCol w:w="1651"/>
        <w:gridCol w:w="151"/>
        <w:gridCol w:w="1408"/>
        <w:gridCol w:w="393"/>
        <w:gridCol w:w="1167"/>
        <w:gridCol w:w="635"/>
        <w:gridCol w:w="924"/>
        <w:gridCol w:w="877"/>
        <w:gridCol w:w="682"/>
        <w:gridCol w:w="1357"/>
        <w:gridCol w:w="410"/>
      </w:tblGrid>
      <w:tr>
        <w:tblPrEx>
          <w:tblCellMar>
            <w:top w:w="0" w:type="dxa"/>
            <w:left w:w="0" w:type="dxa"/>
            <w:bottom w:w="0" w:type="dxa"/>
            <w:right w:w="0" w:type="dxa"/>
          </w:tblCellMar>
        </w:tblPrEx>
        <w:trPr>
          <w:gridAfter w:val="1"/>
          <w:wAfter w:w="410" w:type="dxa"/>
          <w:trHeight w:val="435" w:hRule="atLeast"/>
        </w:trPr>
        <w:tc>
          <w:tcPr>
            <w:tcW w:w="13988" w:type="dxa"/>
            <w:gridSpan w:val="15"/>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tblPrEx>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3483"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49" w:type="dxa"/>
            <w:gridSpan w:val="3"/>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00" w:hRule="atLeast"/>
        </w:trPr>
        <w:tc>
          <w:tcPr>
            <w:tcW w:w="4693" w:type="dxa"/>
            <w:gridSpan w:val="4"/>
            <w:tcBorders>
              <w:top w:val="nil"/>
              <w:left w:val="nil"/>
              <w:bottom w:val="nil"/>
              <w:right w:val="nil"/>
            </w:tcBorders>
            <w:shd w:val="clear" w:color="auto" w:fill="FFFFFF"/>
            <w:noWrap/>
            <w:tcMar>
              <w:top w:w="15" w:type="dxa"/>
              <w:left w:w="15" w:type="dxa"/>
              <w:right w:w="15" w:type="dxa"/>
            </w:tcMar>
            <w:vAlign w:val="center"/>
          </w:tcPr>
          <w:p>
            <w:pPr>
              <w:jc w:val="both"/>
              <w:rPr>
                <w:rFonts w:hint="eastAsia" w:ascii="宋体" w:hAnsi="宋体" w:cs="宋体"/>
                <w:color w:val="000000"/>
                <w:sz w:val="20"/>
                <w:szCs w:val="20"/>
              </w:rPr>
            </w:pPr>
            <w:r>
              <w:rPr>
                <w:rFonts w:hint="eastAsia" w:ascii="宋体" w:hAnsi="宋体" w:cs="宋体"/>
                <w:color w:val="000000"/>
                <w:kern w:val="0"/>
                <w:sz w:val="20"/>
                <w:szCs w:val="20"/>
                <w:lang w:bidi="ar"/>
              </w:rPr>
              <w:t>部门：信阳市浉河区工业和信息化委员会</w:t>
            </w:r>
          </w:p>
        </w:tc>
        <w:tc>
          <w:tcPr>
            <w:tcW w:w="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49" w:type="dxa"/>
            <w:gridSpan w:val="3"/>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gridAfter w:val="1"/>
          <w:wAfter w:w="410" w:type="dxa"/>
          <w:trHeight w:val="450" w:hRule="atLeast"/>
        </w:trPr>
        <w:tc>
          <w:tcPr>
            <w:tcW w:w="4693" w:type="dxa"/>
            <w:gridSpan w:val="4"/>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70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本年支出合计</w:t>
            </w:r>
          </w:p>
        </w:tc>
        <w:tc>
          <w:tcPr>
            <w:tcW w:w="1559"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560"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559"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上缴上级支出</w:t>
            </w:r>
          </w:p>
        </w:tc>
        <w:tc>
          <w:tcPr>
            <w:tcW w:w="1559"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经营支出</w:t>
            </w:r>
          </w:p>
        </w:tc>
        <w:tc>
          <w:tcPr>
            <w:tcW w:w="1357"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对附属单位补助支出</w:t>
            </w:r>
          </w:p>
        </w:tc>
      </w:tr>
      <w:tr>
        <w:tblPrEx>
          <w:tblCellMar>
            <w:top w:w="0" w:type="dxa"/>
            <w:left w:w="0" w:type="dxa"/>
            <w:bottom w:w="0" w:type="dxa"/>
            <w:right w:w="0" w:type="dxa"/>
          </w:tblCellMar>
        </w:tblPrEx>
        <w:trPr>
          <w:gridAfter w:val="1"/>
          <w:wAfter w:w="410" w:type="dxa"/>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35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70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55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55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55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357"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410" w:type="dxa"/>
          <w:trHeight w:val="450"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35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70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55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55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55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357"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410" w:type="dxa"/>
          <w:trHeight w:val="450" w:hRule="atLeast"/>
        </w:trPr>
        <w:tc>
          <w:tcPr>
            <w:tcW w:w="4693" w:type="dxa"/>
            <w:gridSpan w:val="4"/>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357"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gridAfter w:val="1"/>
          <w:wAfter w:w="410" w:type="dxa"/>
          <w:trHeight w:val="450" w:hRule="atLeast"/>
        </w:trPr>
        <w:tc>
          <w:tcPr>
            <w:tcW w:w="4693" w:type="dxa"/>
            <w:gridSpan w:val="4"/>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7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1070.69</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1070.69</w:t>
            </w:r>
          </w:p>
        </w:tc>
        <w:tc>
          <w:tcPr>
            <w:tcW w:w="15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35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r>
      <w:tr>
        <w:tblPrEx>
          <w:tblCellMar>
            <w:top w:w="0" w:type="dxa"/>
            <w:left w:w="0" w:type="dxa"/>
            <w:bottom w:w="0" w:type="dxa"/>
            <w:right w:w="0" w:type="dxa"/>
          </w:tblCellMar>
        </w:tblPrEx>
        <w:trPr>
          <w:gridAfter w:val="1"/>
          <w:wAfter w:w="410" w:type="dxa"/>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208</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社会保障和就业支出</w:t>
            </w:r>
          </w:p>
        </w:tc>
        <w:tc>
          <w:tcPr>
            <w:tcW w:w="17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41.94</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41.94</w:t>
            </w:r>
          </w:p>
        </w:tc>
        <w:tc>
          <w:tcPr>
            <w:tcW w:w="15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35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r>
      <w:tr>
        <w:tblPrEx>
          <w:tblCellMar>
            <w:top w:w="0" w:type="dxa"/>
            <w:left w:w="0" w:type="dxa"/>
            <w:bottom w:w="0" w:type="dxa"/>
            <w:right w:w="0" w:type="dxa"/>
          </w:tblCellMar>
        </w:tblPrEx>
        <w:trPr>
          <w:gridAfter w:val="1"/>
          <w:wAfter w:w="410" w:type="dxa"/>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20805</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行政事业单位离退休</w:t>
            </w:r>
          </w:p>
        </w:tc>
        <w:tc>
          <w:tcPr>
            <w:tcW w:w="17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41.94</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41.94</w:t>
            </w:r>
          </w:p>
        </w:tc>
        <w:tc>
          <w:tcPr>
            <w:tcW w:w="15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35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r>
      <w:tr>
        <w:tblPrEx>
          <w:tblCellMar>
            <w:top w:w="0" w:type="dxa"/>
            <w:left w:w="0" w:type="dxa"/>
            <w:bottom w:w="0" w:type="dxa"/>
            <w:right w:w="0" w:type="dxa"/>
          </w:tblCellMar>
        </w:tblPrEx>
        <w:trPr>
          <w:gridAfter w:val="1"/>
          <w:wAfter w:w="410" w:type="dxa"/>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2080501</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firstLine="200" w:firstLineChars="100"/>
              <w:jc w:val="left"/>
              <w:rPr>
                <w:rFonts w:hint="eastAsia" w:ascii="宋体" w:hAnsi="宋体" w:cs="宋体"/>
                <w:color w:val="000000"/>
                <w:sz w:val="20"/>
                <w:szCs w:val="20"/>
              </w:rPr>
            </w:pPr>
            <w:r>
              <w:rPr>
                <w:rFonts w:hint="eastAsia" w:ascii="宋体" w:hAnsi="宋体" w:cs="宋体"/>
                <w:color w:val="000000"/>
                <w:sz w:val="20"/>
                <w:szCs w:val="20"/>
              </w:rPr>
              <w:t>归口管理的行政单位离退休</w:t>
            </w:r>
          </w:p>
        </w:tc>
        <w:tc>
          <w:tcPr>
            <w:tcW w:w="17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41.94</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41.94</w:t>
            </w:r>
          </w:p>
        </w:tc>
        <w:tc>
          <w:tcPr>
            <w:tcW w:w="15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35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r>
      <w:tr>
        <w:tblPrEx>
          <w:tblCellMar>
            <w:top w:w="0" w:type="dxa"/>
            <w:left w:w="0" w:type="dxa"/>
            <w:bottom w:w="0" w:type="dxa"/>
            <w:right w:w="0" w:type="dxa"/>
          </w:tblCellMar>
        </w:tblPrEx>
        <w:trPr>
          <w:gridAfter w:val="1"/>
          <w:wAfter w:w="410" w:type="dxa"/>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215</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资源勘探信息等支出</w:t>
            </w:r>
          </w:p>
        </w:tc>
        <w:tc>
          <w:tcPr>
            <w:tcW w:w="17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1028.75</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1028.75</w:t>
            </w:r>
          </w:p>
        </w:tc>
        <w:tc>
          <w:tcPr>
            <w:tcW w:w="15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35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r>
      <w:tr>
        <w:tblPrEx>
          <w:tblCellMar>
            <w:top w:w="0" w:type="dxa"/>
            <w:left w:w="0" w:type="dxa"/>
            <w:bottom w:w="0" w:type="dxa"/>
            <w:right w:w="0" w:type="dxa"/>
          </w:tblCellMar>
        </w:tblPrEx>
        <w:trPr>
          <w:gridAfter w:val="1"/>
          <w:wAfter w:w="410" w:type="dxa"/>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21505</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工业和信息产业监管</w:t>
            </w:r>
          </w:p>
        </w:tc>
        <w:tc>
          <w:tcPr>
            <w:tcW w:w="17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1028.75</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1028.75</w:t>
            </w:r>
          </w:p>
        </w:tc>
        <w:tc>
          <w:tcPr>
            <w:tcW w:w="15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35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r>
      <w:tr>
        <w:tblPrEx>
          <w:tblCellMar>
            <w:top w:w="0" w:type="dxa"/>
            <w:left w:w="0" w:type="dxa"/>
            <w:bottom w:w="0" w:type="dxa"/>
            <w:right w:w="0" w:type="dxa"/>
          </w:tblCellMar>
        </w:tblPrEx>
        <w:trPr>
          <w:gridAfter w:val="1"/>
          <w:wAfter w:w="410" w:type="dxa"/>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2150501</w:t>
            </w:r>
          </w:p>
        </w:tc>
        <w:tc>
          <w:tcPr>
            <w:tcW w:w="3510"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ind w:firstLine="200" w:firstLineChars="100"/>
              <w:jc w:val="left"/>
              <w:rPr>
                <w:rFonts w:hint="eastAsia" w:ascii="宋体" w:hAnsi="宋体" w:cs="宋体"/>
                <w:color w:val="000000"/>
                <w:sz w:val="20"/>
                <w:szCs w:val="20"/>
              </w:rPr>
            </w:pPr>
            <w:r>
              <w:rPr>
                <w:rFonts w:hint="eastAsia" w:ascii="宋体" w:hAnsi="宋体" w:cs="宋体"/>
                <w:color w:val="000000"/>
                <w:sz w:val="20"/>
                <w:szCs w:val="20"/>
              </w:rPr>
              <w:t>行政运行</w:t>
            </w:r>
          </w:p>
        </w:tc>
        <w:tc>
          <w:tcPr>
            <w:tcW w:w="170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1028.75</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1028.75</w:t>
            </w:r>
          </w:p>
        </w:tc>
        <w:tc>
          <w:tcPr>
            <w:tcW w:w="156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c>
          <w:tcPr>
            <w:tcW w:w="1357"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r>
      <w:tr>
        <w:tblPrEx>
          <w:tblCellMar>
            <w:top w:w="0" w:type="dxa"/>
            <w:left w:w="0" w:type="dxa"/>
            <w:bottom w:w="0" w:type="dxa"/>
            <w:right w:w="0" w:type="dxa"/>
          </w:tblCellMar>
        </w:tblPrEx>
        <w:trPr>
          <w:gridAfter w:val="1"/>
          <w:wAfter w:w="410" w:type="dxa"/>
          <w:trHeight w:val="630" w:hRule="atLeast"/>
        </w:trPr>
        <w:tc>
          <w:tcPr>
            <w:tcW w:w="13988" w:type="dxa"/>
            <w:gridSpan w:val="15"/>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注：本表反映部门本年度各项支出情况。本表金额转换为万元时，因四舍五入可能存在尾差。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3994"/>
        <w:gridCol w:w="720"/>
        <w:gridCol w:w="1210"/>
        <w:gridCol w:w="3400"/>
        <w:gridCol w:w="597"/>
        <w:gridCol w:w="708"/>
        <w:gridCol w:w="301"/>
        <w:gridCol w:w="1042"/>
        <w:gridCol w:w="517"/>
        <w:gridCol w:w="1499"/>
      </w:tblGrid>
      <w:tr>
        <w:tblPrEx>
          <w:tblCellMar>
            <w:top w:w="0" w:type="dxa"/>
            <w:left w:w="0" w:type="dxa"/>
            <w:bottom w:w="0" w:type="dxa"/>
            <w:right w:w="0" w:type="dxa"/>
          </w:tblCellMar>
        </w:tblPrEx>
        <w:trPr>
          <w:trHeight w:val="360" w:hRule="atLeast"/>
        </w:trPr>
        <w:tc>
          <w:tcPr>
            <w:tcW w:w="13988" w:type="dxa"/>
            <w:gridSpan w:val="10"/>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财政拨款收入支出决算总表</w:t>
            </w:r>
          </w:p>
        </w:tc>
      </w:tr>
      <w:tr>
        <w:tblPrEx>
          <w:tblCellMar>
            <w:top w:w="0" w:type="dxa"/>
            <w:left w:w="0" w:type="dxa"/>
            <w:bottom w:w="0" w:type="dxa"/>
            <w:right w:w="0" w:type="dxa"/>
          </w:tblCellMar>
        </w:tblPrEx>
        <w:trPr>
          <w:trHeight w:val="199" w:hRule="atLeast"/>
        </w:trPr>
        <w:tc>
          <w:tcPr>
            <w:tcW w:w="399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2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59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08"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34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00" w:hRule="atLeast"/>
        </w:trPr>
        <w:tc>
          <w:tcPr>
            <w:tcW w:w="3994"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部门：信阳市浉河区工业和信息化委员会</w:t>
            </w:r>
          </w:p>
        </w:tc>
        <w:tc>
          <w:tcPr>
            <w:tcW w:w="72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59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08"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34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2"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8064" w:type="dxa"/>
            <w:gridSpan w:val="7"/>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trHeight w:val="630"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5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一般公共预算财政拨款</w:t>
            </w:r>
          </w:p>
        </w:tc>
        <w:tc>
          <w:tcPr>
            <w:tcW w:w="14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政府性基金预算财政拨款</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4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1070.69</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100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100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100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00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100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100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七、文化体育与传媒支出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100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八、社会保障和就业支出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29</w:t>
            </w:r>
          </w:p>
        </w:tc>
        <w:tc>
          <w:tcPr>
            <w:tcW w:w="100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41.94</w:t>
            </w:r>
          </w:p>
        </w:tc>
        <w:tc>
          <w:tcPr>
            <w:tcW w:w="155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41.94</w:t>
            </w:r>
          </w:p>
        </w:tc>
        <w:tc>
          <w:tcPr>
            <w:tcW w:w="14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九、医疗卫生与计划生育支出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30</w:t>
            </w:r>
          </w:p>
        </w:tc>
        <w:tc>
          <w:tcPr>
            <w:tcW w:w="100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十、节能环保支出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31</w:t>
            </w:r>
          </w:p>
        </w:tc>
        <w:tc>
          <w:tcPr>
            <w:tcW w:w="100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十一、城乡社区支出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32</w:t>
            </w:r>
          </w:p>
        </w:tc>
        <w:tc>
          <w:tcPr>
            <w:tcW w:w="100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十二、农林水支出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33</w:t>
            </w:r>
          </w:p>
        </w:tc>
        <w:tc>
          <w:tcPr>
            <w:tcW w:w="100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十三、交通运输支出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34</w:t>
            </w:r>
          </w:p>
        </w:tc>
        <w:tc>
          <w:tcPr>
            <w:tcW w:w="100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十四、资源勘探信息等支出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35</w:t>
            </w:r>
          </w:p>
        </w:tc>
        <w:tc>
          <w:tcPr>
            <w:tcW w:w="100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1028.75</w:t>
            </w:r>
          </w:p>
        </w:tc>
        <w:tc>
          <w:tcPr>
            <w:tcW w:w="155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1028.75</w:t>
            </w:r>
          </w:p>
        </w:tc>
        <w:tc>
          <w:tcPr>
            <w:tcW w:w="14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ascii="宋体" w:hAnsi="宋体" w:cs="宋体"/>
                <w:color w:val="000000"/>
                <w:sz w:val="20"/>
                <w:szCs w:val="20"/>
              </w:rPr>
              <w:t>……</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1009" w:type="dxa"/>
            <w:gridSpan w:val="2"/>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4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1070.69</w:t>
            </w: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w:t>
            </w:r>
          </w:p>
        </w:tc>
        <w:tc>
          <w:tcPr>
            <w:tcW w:w="1009" w:type="dxa"/>
            <w:gridSpan w:val="2"/>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1070.69</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1070.69</w:t>
            </w:r>
          </w:p>
        </w:tc>
        <w:tc>
          <w:tcPr>
            <w:tcW w:w="14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b/>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ind w:right="100"/>
              <w:jc w:val="right"/>
              <w:rPr>
                <w:rFonts w:hint="eastAsia" w:ascii="宋体" w:hAnsi="宋体" w:cs="宋体"/>
                <w:color w:val="000000"/>
                <w:sz w:val="20"/>
                <w:szCs w:val="20"/>
              </w:rPr>
            </w:pPr>
            <w:r>
              <w:rPr>
                <w:rFonts w:hint="eastAsia" w:ascii="宋体" w:hAnsi="宋体" w:cs="宋体"/>
                <w:color w:val="000000"/>
                <w:sz w:val="20"/>
                <w:szCs w:val="20"/>
              </w:rPr>
              <w:t xml:space="preserve">  </w:t>
            </w: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年末财政拨款结转和结余</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w:t>
            </w:r>
          </w:p>
        </w:tc>
        <w:tc>
          <w:tcPr>
            <w:tcW w:w="1009" w:type="dxa"/>
            <w:gridSpan w:val="2"/>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4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ind w:right="200"/>
              <w:jc w:val="right"/>
              <w:rPr>
                <w:rFonts w:hint="eastAsia" w:ascii="宋体" w:hAnsi="宋体" w:cs="宋体"/>
                <w:color w:val="000000"/>
                <w:sz w:val="20"/>
                <w:szCs w:val="20"/>
              </w:rPr>
            </w:pPr>
            <w:r>
              <w:rPr>
                <w:rFonts w:hint="eastAsia" w:ascii="宋体" w:hAnsi="宋体" w:cs="宋体"/>
                <w:color w:val="000000"/>
                <w:sz w:val="20"/>
                <w:szCs w:val="20"/>
              </w:rPr>
              <w:t xml:space="preserve"> </w:t>
            </w: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w:t>
            </w:r>
          </w:p>
        </w:tc>
        <w:tc>
          <w:tcPr>
            <w:tcW w:w="1009" w:type="dxa"/>
            <w:gridSpan w:val="2"/>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4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ind w:right="100"/>
              <w:jc w:val="right"/>
              <w:rPr>
                <w:rFonts w:hint="eastAsia" w:ascii="宋体" w:hAnsi="宋体" w:cs="宋体"/>
                <w:color w:val="000000"/>
                <w:sz w:val="20"/>
                <w:szCs w:val="20"/>
              </w:rPr>
            </w:pPr>
          </w:p>
        </w:tc>
        <w:tc>
          <w:tcPr>
            <w:tcW w:w="3400"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1009" w:type="dxa"/>
            <w:gridSpan w:val="2"/>
            <w:tcBorders>
              <w:top w:val="single" w:color="000000" w:sz="4" w:space="0"/>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499" w:type="dxa"/>
            <w:tcBorders>
              <w:top w:val="single" w:color="000000" w:sz="4" w:space="0"/>
              <w:left w:val="nil"/>
              <w:bottom w:val="nil"/>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w:t>
            </w:r>
          </w:p>
        </w:tc>
        <w:tc>
          <w:tcPr>
            <w:tcW w:w="1009" w:type="dxa"/>
            <w:gridSpan w:val="2"/>
            <w:tcBorders>
              <w:top w:val="single" w:color="000000" w:sz="4" w:space="0"/>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499" w:type="dxa"/>
            <w:tcBorders>
              <w:top w:val="single" w:color="000000" w:sz="4" w:space="0"/>
              <w:left w:val="nil"/>
              <w:bottom w:val="nil"/>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121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1070.69</w:t>
            </w:r>
          </w:p>
        </w:tc>
        <w:tc>
          <w:tcPr>
            <w:tcW w:w="3400"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w:t>
            </w:r>
          </w:p>
        </w:tc>
        <w:tc>
          <w:tcPr>
            <w:tcW w:w="1009" w:type="dxa"/>
            <w:gridSpan w:val="2"/>
            <w:tcBorders>
              <w:top w:val="single" w:color="000000" w:sz="4" w:space="0"/>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1070.69</w:t>
            </w:r>
          </w:p>
        </w:tc>
        <w:tc>
          <w:tcPr>
            <w:tcW w:w="1559"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1070.69</w:t>
            </w:r>
          </w:p>
        </w:tc>
        <w:tc>
          <w:tcPr>
            <w:tcW w:w="1499"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b/>
                <w:color w:val="000000"/>
                <w:sz w:val="20"/>
                <w:szCs w:val="20"/>
              </w:rPr>
            </w:pPr>
          </w:p>
        </w:tc>
      </w:tr>
      <w:tr>
        <w:tblPrEx>
          <w:tblCellMar>
            <w:top w:w="0" w:type="dxa"/>
            <w:left w:w="0" w:type="dxa"/>
            <w:bottom w:w="0" w:type="dxa"/>
            <w:right w:w="0" w:type="dxa"/>
          </w:tblCellMar>
        </w:tblPrEx>
        <w:trPr>
          <w:trHeight w:val="585" w:hRule="atLeast"/>
        </w:trPr>
        <w:tc>
          <w:tcPr>
            <w:tcW w:w="13988" w:type="dxa"/>
            <w:gridSpan w:val="10"/>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注：本表反映部门本年度一般公共预算财政拨款和政府性基金预算财政拨款的总收支和年末结转结余情况。本表金额转换为万元时，因四舍五入可能存在尾差。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726"/>
        <w:gridCol w:w="688"/>
        <w:gridCol w:w="3279"/>
        <w:gridCol w:w="2395"/>
        <w:gridCol w:w="865"/>
        <w:gridCol w:w="2584"/>
        <w:gridCol w:w="535"/>
        <w:gridCol w:w="2916"/>
      </w:tblGrid>
      <w:tr>
        <w:tblPrEx>
          <w:tblCellMar>
            <w:top w:w="0" w:type="dxa"/>
            <w:left w:w="0" w:type="dxa"/>
            <w:bottom w:w="0" w:type="dxa"/>
            <w:right w:w="0" w:type="dxa"/>
          </w:tblCellMar>
        </w:tblPrEx>
        <w:trPr>
          <w:trHeight w:val="600" w:hRule="atLeast"/>
        </w:trPr>
        <w:tc>
          <w:tcPr>
            <w:tcW w:w="13988" w:type="dxa"/>
            <w:gridSpan w:val="8"/>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68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3279"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39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49"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51"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00" w:hRule="atLeast"/>
        </w:trPr>
        <w:tc>
          <w:tcPr>
            <w:tcW w:w="4693" w:type="dxa"/>
            <w:gridSpan w:val="3"/>
            <w:tcBorders>
              <w:top w:val="nil"/>
              <w:left w:val="nil"/>
              <w:bottom w:val="nil"/>
              <w:right w:val="nil"/>
            </w:tcBorders>
            <w:shd w:val="clear" w:color="auto" w:fill="FFFFFF"/>
            <w:noWrap/>
            <w:tcMar>
              <w:top w:w="15" w:type="dxa"/>
              <w:left w:w="15" w:type="dxa"/>
              <w:right w:w="15" w:type="dxa"/>
            </w:tcMar>
            <w:vAlign w:val="center"/>
          </w:tcPr>
          <w:p>
            <w:pPr>
              <w:jc w:val="both"/>
              <w:rPr>
                <w:rFonts w:hint="eastAsia" w:ascii="宋体" w:hAnsi="宋体" w:cs="宋体"/>
                <w:color w:val="000000"/>
                <w:sz w:val="20"/>
                <w:szCs w:val="20"/>
              </w:rPr>
            </w:pPr>
            <w:r>
              <w:rPr>
                <w:rFonts w:hint="eastAsia" w:ascii="宋体" w:hAnsi="宋体" w:cs="宋体"/>
                <w:color w:val="000000"/>
                <w:kern w:val="0"/>
                <w:sz w:val="20"/>
                <w:szCs w:val="20"/>
                <w:lang w:bidi="ar"/>
              </w:rPr>
              <w:t>部门：信阳市浉河区工业和信息化委员会</w:t>
            </w:r>
          </w:p>
        </w:tc>
        <w:tc>
          <w:tcPr>
            <w:tcW w:w="239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49"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51"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4693"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项 </w:t>
            </w:r>
            <w:r>
              <w:rPr>
                <w:rStyle w:val="8"/>
                <w:rFonts w:hint="default"/>
                <w:sz w:val="20"/>
                <w:szCs w:val="20"/>
                <w:lang w:bidi="ar"/>
              </w:rPr>
              <w:t xml:space="preserve">   </w:t>
            </w:r>
            <w:r>
              <w:rPr>
                <w:rStyle w:val="9"/>
                <w:rFonts w:hint="default"/>
                <w:sz w:val="20"/>
                <w:szCs w:val="20"/>
                <w:lang w:bidi="ar"/>
              </w:rPr>
              <w:t>目</w:t>
            </w:r>
          </w:p>
        </w:tc>
        <w:tc>
          <w:tcPr>
            <w:tcW w:w="9295" w:type="dxa"/>
            <w:gridSpan w:val="5"/>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r>
      <w:tr>
        <w:tblPrEx>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32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3260"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3119"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2916" w:type="dxa"/>
            <w:vMerge w:val="restart"/>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r>
      <w:tr>
        <w:tblPrEx>
          <w:tblCellMar>
            <w:top w:w="0" w:type="dxa"/>
            <w:left w:w="0" w:type="dxa"/>
            <w:bottom w:w="0" w:type="dxa"/>
            <w:right w:w="0" w:type="dxa"/>
          </w:tblCellMar>
        </w:tblPrEx>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2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26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119"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916"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2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26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119"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916"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4693"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3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1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2916"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0" w:type="dxa"/>
            <w:bottom w:w="0" w:type="dxa"/>
            <w:right w:w="0" w:type="dxa"/>
          </w:tblCellMar>
        </w:tblPrEx>
        <w:trPr>
          <w:trHeight w:val="450" w:hRule="atLeast"/>
        </w:trPr>
        <w:tc>
          <w:tcPr>
            <w:tcW w:w="4693"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3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1079.69</w:t>
            </w:r>
          </w:p>
        </w:tc>
        <w:tc>
          <w:tcPr>
            <w:tcW w:w="31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1079.69</w:t>
            </w:r>
          </w:p>
        </w:tc>
        <w:tc>
          <w:tcPr>
            <w:tcW w:w="2916"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208</w:t>
            </w:r>
          </w:p>
        </w:tc>
        <w:tc>
          <w:tcPr>
            <w:tcW w:w="3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社会保障和就业支出</w:t>
            </w:r>
          </w:p>
        </w:tc>
        <w:tc>
          <w:tcPr>
            <w:tcW w:w="3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41.94</w:t>
            </w:r>
          </w:p>
        </w:tc>
        <w:tc>
          <w:tcPr>
            <w:tcW w:w="31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41.94</w:t>
            </w:r>
          </w:p>
        </w:tc>
        <w:tc>
          <w:tcPr>
            <w:tcW w:w="2916"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20805</w:t>
            </w:r>
          </w:p>
        </w:tc>
        <w:tc>
          <w:tcPr>
            <w:tcW w:w="3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行政事业单位离退休</w:t>
            </w:r>
          </w:p>
        </w:tc>
        <w:tc>
          <w:tcPr>
            <w:tcW w:w="3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41.94</w:t>
            </w:r>
          </w:p>
        </w:tc>
        <w:tc>
          <w:tcPr>
            <w:tcW w:w="31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41.94</w:t>
            </w:r>
          </w:p>
        </w:tc>
        <w:tc>
          <w:tcPr>
            <w:tcW w:w="2916"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2080501</w:t>
            </w:r>
          </w:p>
        </w:tc>
        <w:tc>
          <w:tcPr>
            <w:tcW w:w="3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200" w:firstLineChars="100"/>
              <w:rPr>
                <w:rFonts w:hint="eastAsia" w:ascii="宋体" w:hAnsi="宋体" w:cs="宋体"/>
                <w:color w:val="000000"/>
                <w:sz w:val="20"/>
                <w:szCs w:val="20"/>
              </w:rPr>
            </w:pPr>
            <w:r>
              <w:rPr>
                <w:rFonts w:hint="eastAsia" w:ascii="宋体" w:hAnsi="宋体" w:cs="宋体"/>
                <w:color w:val="000000"/>
                <w:sz w:val="20"/>
                <w:szCs w:val="20"/>
              </w:rPr>
              <w:t>归口管理的行政单位离退休</w:t>
            </w:r>
          </w:p>
        </w:tc>
        <w:tc>
          <w:tcPr>
            <w:tcW w:w="3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41.94</w:t>
            </w:r>
          </w:p>
        </w:tc>
        <w:tc>
          <w:tcPr>
            <w:tcW w:w="31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41.94</w:t>
            </w:r>
          </w:p>
        </w:tc>
        <w:tc>
          <w:tcPr>
            <w:tcW w:w="2916"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215</w:t>
            </w:r>
          </w:p>
        </w:tc>
        <w:tc>
          <w:tcPr>
            <w:tcW w:w="3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资源勘探信息等支出</w:t>
            </w:r>
          </w:p>
        </w:tc>
        <w:tc>
          <w:tcPr>
            <w:tcW w:w="3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1028.75</w:t>
            </w:r>
          </w:p>
        </w:tc>
        <w:tc>
          <w:tcPr>
            <w:tcW w:w="31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1028.75</w:t>
            </w:r>
          </w:p>
        </w:tc>
        <w:tc>
          <w:tcPr>
            <w:tcW w:w="2916"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21505</w:t>
            </w:r>
          </w:p>
        </w:tc>
        <w:tc>
          <w:tcPr>
            <w:tcW w:w="3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工业和信息产业监管</w:t>
            </w:r>
          </w:p>
        </w:tc>
        <w:tc>
          <w:tcPr>
            <w:tcW w:w="3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1028.75</w:t>
            </w:r>
          </w:p>
        </w:tc>
        <w:tc>
          <w:tcPr>
            <w:tcW w:w="31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1028.75</w:t>
            </w:r>
          </w:p>
        </w:tc>
        <w:tc>
          <w:tcPr>
            <w:tcW w:w="2916"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2150501</w:t>
            </w:r>
          </w:p>
        </w:tc>
        <w:tc>
          <w:tcPr>
            <w:tcW w:w="327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ind w:firstLine="200" w:firstLineChars="100"/>
              <w:rPr>
                <w:rFonts w:hint="eastAsia" w:ascii="宋体" w:hAnsi="宋体" w:cs="宋体"/>
                <w:color w:val="000000"/>
                <w:sz w:val="20"/>
                <w:szCs w:val="20"/>
              </w:rPr>
            </w:pPr>
            <w:r>
              <w:rPr>
                <w:rFonts w:hint="eastAsia" w:ascii="宋体" w:hAnsi="宋体" w:cs="宋体"/>
                <w:color w:val="000000"/>
                <w:sz w:val="20"/>
                <w:szCs w:val="20"/>
              </w:rPr>
              <w:t>行政运行</w:t>
            </w:r>
          </w:p>
        </w:tc>
        <w:tc>
          <w:tcPr>
            <w:tcW w:w="3260"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1028.75</w:t>
            </w:r>
          </w:p>
        </w:tc>
        <w:tc>
          <w:tcPr>
            <w:tcW w:w="3119"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1028.75</w:t>
            </w:r>
          </w:p>
        </w:tc>
        <w:tc>
          <w:tcPr>
            <w:tcW w:w="2916"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w:t>
            </w:r>
          </w:p>
        </w:tc>
      </w:tr>
      <w:tr>
        <w:tblPrEx>
          <w:tblCellMar>
            <w:top w:w="0" w:type="dxa"/>
            <w:left w:w="0" w:type="dxa"/>
            <w:bottom w:w="0" w:type="dxa"/>
            <w:right w:w="0" w:type="dxa"/>
          </w:tblCellMar>
        </w:tblPrEx>
        <w:trPr>
          <w:trHeight w:val="645" w:hRule="atLeast"/>
        </w:trPr>
        <w:tc>
          <w:tcPr>
            <w:tcW w:w="13988" w:type="dxa"/>
            <w:gridSpan w:val="8"/>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870"/>
        <w:gridCol w:w="2923"/>
        <w:gridCol w:w="938"/>
        <w:gridCol w:w="870"/>
        <w:gridCol w:w="2066"/>
        <w:gridCol w:w="938"/>
        <w:gridCol w:w="870"/>
        <w:gridCol w:w="3575"/>
        <w:gridCol w:w="938"/>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一般公共预算财政拨款基本支出决算表</w:t>
            </w:r>
          </w:p>
        </w:tc>
      </w:tr>
      <w:tr>
        <w:tblPrEx>
          <w:tblCellMar>
            <w:top w:w="0" w:type="dxa"/>
            <w:left w:w="0" w:type="dxa"/>
            <w:bottom w:w="0" w:type="dxa"/>
            <w:right w:w="0" w:type="dxa"/>
          </w:tblCellMar>
        </w:tblPrEx>
        <w:trPr>
          <w:trHeight w:val="405" w:hRule="atLeast"/>
        </w:trPr>
        <w:tc>
          <w:tcPr>
            <w:tcW w:w="3793" w:type="dxa"/>
            <w:gridSpan w:val="2"/>
            <w:tcBorders>
              <w:top w:val="nil"/>
              <w:left w:val="nil"/>
              <w:bottom w:val="nil"/>
              <w:right w:val="nil"/>
            </w:tcBorders>
            <w:shd w:val="clear" w:color="auto" w:fill="FFFFFF"/>
            <w:noWrap w:val="0"/>
            <w:tcMar>
              <w:top w:w="15" w:type="dxa"/>
              <w:left w:w="15" w:type="dxa"/>
              <w:right w:w="15" w:type="dxa"/>
            </w:tcMar>
            <w:vAlign w:val="center"/>
          </w:tcPr>
          <w:p>
            <w:pPr>
              <w:jc w:val="both"/>
              <w:rPr>
                <w:rFonts w:hint="eastAsia" w:ascii="宋体" w:hAnsi="宋体" w:cs="宋体"/>
                <w:color w:val="000000"/>
                <w:sz w:val="20"/>
                <w:szCs w:val="20"/>
              </w:rPr>
            </w:pPr>
            <w:r>
              <w:rPr>
                <w:rFonts w:hint="eastAsia" w:ascii="宋体" w:hAnsi="宋体" w:cs="宋体"/>
                <w:color w:val="000000"/>
                <w:kern w:val="0"/>
                <w:sz w:val="20"/>
                <w:szCs w:val="20"/>
                <w:lang w:bidi="ar"/>
              </w:rPr>
              <w:t>部门：信阳市浉河区工业和信息化委员会</w:t>
            </w:r>
          </w:p>
        </w:tc>
        <w:tc>
          <w:tcPr>
            <w:tcW w:w="93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206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57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00" w:hRule="atLeast"/>
        </w:trPr>
        <w:tc>
          <w:tcPr>
            <w:tcW w:w="870" w:type="dxa"/>
            <w:tcBorders>
              <w:top w:val="nil"/>
              <w:left w:val="nil"/>
              <w:bottom w:val="nil"/>
              <w:right w:val="nil"/>
            </w:tcBorders>
            <w:noWrap/>
            <w:tcMar>
              <w:top w:w="15" w:type="dxa"/>
              <w:left w:w="15" w:type="dxa"/>
              <w:right w:w="15" w:type="dxa"/>
            </w:tcMar>
            <w:vAlign w:val="center"/>
          </w:tcPr>
          <w:p>
            <w:pPr>
              <w:widowControl/>
              <w:jc w:val="left"/>
              <w:textAlignment w:val="center"/>
              <w:rPr>
                <w:rFonts w:ascii="Arial" w:hAnsi="Arial" w:cs="Arial"/>
                <w:color w:val="000000"/>
                <w:sz w:val="20"/>
                <w:szCs w:val="20"/>
              </w:rPr>
            </w:pPr>
          </w:p>
        </w:tc>
        <w:tc>
          <w:tcPr>
            <w:tcW w:w="2923"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2066"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3575"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615" w:hRule="atLeast"/>
        </w:trPr>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923"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357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970.12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54.71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3.92</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241.29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4.71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房屋建筑物购建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9.10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3.92</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0.50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30106</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基础设施建设</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30107</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8.40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0.25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大型修缮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30108</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349.70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信息网络及软件购置更新</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0.94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物资储备</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30110</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14.91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土地补偿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安置补助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213.33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5.10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地上附着物和青苗补偿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20.64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拆迁补偿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30114</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4.18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30199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121.87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其他交通工具购置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41.94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4.47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文物和陈列品购置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17.22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无形资产购置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24.15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0.46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30304</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资本金注入</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30305</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0.58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政府投资基金股权投资</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30306</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费用补贴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30307</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利息补贴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30308</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2.36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对社会保障基金补助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30310</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对社会保险基金补助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30399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8.51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补充全国社会保障基金</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0.10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14.03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赠与</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国家赔偿费用支出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对民间非营利组织和群众性自治组织补贴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人员经费合计</w:t>
            </w:r>
          </w:p>
        </w:tc>
        <w:tc>
          <w:tcPr>
            <w:tcW w:w="93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1012.06</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公用经费合计</w:t>
            </w:r>
          </w:p>
        </w:tc>
        <w:tc>
          <w:tcPr>
            <w:tcW w:w="93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58.63</w:t>
            </w:r>
          </w:p>
        </w:tc>
      </w:tr>
      <w:tr>
        <w:tblPrEx>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注：本表反映部门本年度一般公共预算财政拨款基本支出明细情况。本表金额转换为万元时，因四舍五入可能存在尾差。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00" w:hRule="atLeast"/>
        </w:trPr>
        <w:tc>
          <w:tcPr>
            <w:tcW w:w="4600" w:type="dxa"/>
            <w:gridSpan w:val="4"/>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kern w:val="0"/>
                <w:sz w:val="20"/>
                <w:szCs w:val="20"/>
                <w:lang w:bidi="ar"/>
              </w:rPr>
              <w:t>部门：信阳市浉河区工业和信息化委员会</w:t>
            </w: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c>
          <w:tcPr>
            <w:tcW w:w="1151"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1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1.10</w:t>
            </w:r>
          </w:p>
        </w:tc>
        <w:tc>
          <w:tcPr>
            <w:tcW w:w="11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1.10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0.46</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0.46</w:t>
            </w: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注：本表反映部门本年度“三公”经费支出预决算情况。其中，</w:t>
            </w:r>
            <w:r>
              <w:rPr>
                <w:rStyle w:val="10"/>
                <w:rFonts w:hint="default"/>
                <w:sz w:val="20"/>
                <w:szCs w:val="20"/>
                <w:lang w:bidi="ar"/>
              </w:rPr>
              <w:t>预算数为“三公”经费年初预算数，决算数是包括当年一般公共预算财政拨款和以前年度结转资金安排的实际支出。</w:t>
            </w:r>
            <w:r>
              <w:rPr>
                <w:rFonts w:hint="eastAsia" w:ascii="宋体" w:hAnsi="宋体" w:cs="宋体"/>
                <w:color w:val="000000"/>
                <w:kern w:val="0"/>
                <w:sz w:val="20"/>
                <w:szCs w:val="20"/>
                <w:lang w:bidi="ar"/>
              </w:rPr>
              <w:t>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612"/>
        <w:gridCol w:w="536"/>
        <w:gridCol w:w="1276"/>
        <w:gridCol w:w="1926"/>
        <w:gridCol w:w="1926"/>
        <w:gridCol w:w="1926"/>
        <w:gridCol w:w="1927"/>
        <w:gridCol w:w="1926"/>
        <w:gridCol w:w="1933"/>
      </w:tblGrid>
      <w:tr>
        <w:tblPrEx>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53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7"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00" w:hRule="atLeast"/>
        </w:trPr>
        <w:tc>
          <w:tcPr>
            <w:tcW w:w="4350" w:type="dxa"/>
            <w:gridSpan w:val="4"/>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kern w:val="0"/>
                <w:sz w:val="20"/>
                <w:szCs w:val="20"/>
                <w:lang w:bidi="ar"/>
              </w:rPr>
              <w:t>部门：信阳市浉河区工业和信息化委员会</w:t>
            </w:r>
            <w:bookmarkStart w:id="0" w:name="_GoBack"/>
            <w:bookmarkEnd w:id="0"/>
          </w:p>
        </w:tc>
        <w:tc>
          <w:tcPr>
            <w:tcW w:w="1926"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7"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926" w:type="dxa"/>
            <w:vMerge w:val="restart"/>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w:t>
            </w:r>
          </w:p>
        </w:tc>
        <w:tc>
          <w:tcPr>
            <w:tcW w:w="5779" w:type="dxa"/>
            <w:gridSpan w:val="3"/>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927"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26" w:type="dxa"/>
            <w:vMerge w:val="restart"/>
            <w:tcBorders>
              <w:top w:val="nil"/>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注：本表反映部门本年度政府性基金预算财政拨款收入、支出及结转和结余情况。</w:t>
            </w:r>
          </w:p>
        </w:tc>
      </w:tr>
    </w:tbl>
    <w:p>
      <w:pPr>
        <w:jc w:val="center"/>
        <w:rPr>
          <w:rFonts w:hint="eastAsia" w:ascii="仿宋_GB2312" w:hAnsi="仿宋_GB2312" w:eastAsia="仿宋_GB2312" w:cs="仿宋_GB2312"/>
          <w:sz w:val="32"/>
          <w:szCs w:val="32"/>
          <w:highlight w:val="yellow"/>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highlight w:val="yellow"/>
        </w:rPr>
        <w:t>说明：我部门没有政府性基金收入，也没有使用政府性基金安排的支出，故本表无数据。</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  2018年度部门决算情况说明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2018年度收、支总计均为1070.69万元。与上年度相比，收、支总计各增加451.88万元，增长73.02%。主要原因是资源勘探信息等支出的增加。</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2018年度收入合计1070.69万元，其中：财政拨款收入1070.69万元，占100%。</w:t>
      </w:r>
      <w:r>
        <w:rPr>
          <w:rFonts w:hint="eastAsia" w:ascii="黑体" w:hAnsi="黑体" w:eastAsia="黑体" w:cs="黑体"/>
          <w:sz w:val="32"/>
          <w:szCs w:val="32"/>
        </w:rPr>
        <w:t xml:space="preserve"> </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2018年度支出合计1070.69万元，其中：基本支出1070.69万元，占100%。 </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2018年度财政拨款收、支总计均为1070.69万元。与上年度相比，财政拨款收、支总计各增加451.88万元，增长73.02%。主要原因是资源勘探信息等支出的增加。</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2018年度一般公共预算财政拨款支出1070.69万元，占本年支出合计的100%。与上年度相比，一般公共预算财政拨款支出增加451.88万元，增长73.02%。主要原因是资源勘探信息等支出的增加。</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2018年度一般公共预算财政拨款支出1070.69万元，主要用于以下方面：基本支出1070.69万元，占100%。</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2018年度一般公共预算财政拨款支出年初预算为810.03万元，支出决算为1070.69万元，完成年初预算的132.2%。其中：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1．社会保障和就业支出（类）行政事业单位离退休（款）归口管理的行政单位离退休（项）。</w:t>
      </w:r>
      <w:r>
        <w:rPr>
          <w:rFonts w:hint="eastAsia" w:ascii="仿宋_GB2312" w:hAnsi="仿宋_GB2312" w:eastAsia="仿宋_GB2312" w:cs="仿宋_GB2312"/>
          <w:sz w:val="32"/>
          <w:szCs w:val="32"/>
        </w:rPr>
        <w:t>年初预算为31.84万元，支出决算为41.94万元，完成年初预算的131.72%。决算数与年初预算数存在差异的主要原因是离休费与退休费增加。</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2．资源勘探信息等支出（类）工业和信息产业监管（款）行政运行（项）。</w:t>
      </w:r>
      <w:r>
        <w:rPr>
          <w:rFonts w:hint="eastAsia" w:ascii="仿宋_GB2312" w:hAnsi="仿宋_GB2312" w:eastAsia="仿宋_GB2312" w:cs="仿宋_GB2312"/>
          <w:sz w:val="32"/>
          <w:szCs w:val="32"/>
        </w:rPr>
        <w:t>年初预算为778.19万元，支出决算为1028.75万元，完成年初预算的132.2%。决算数与年初预算数存在差异的主要原因是工资、五险一金、其他社会保障缴费等支出的增加。</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基本支出1070.69万元。其中：人员经费1012.06万元，主要包括：基本工资、绩效工资、机关事业单位基本养老保险缴费、职业年金缴费、其他社会保障缴费、其他工资福利支出、离休费、退休费、生活补助、住房公积金、物业服务补贴、其他对个人和家庭的补助支出；公用经费58.63万元，主要包括：办公费、印刷费、咨询费、水费、电费、邮电费、差旅费、维修（护）费、会议费、公务接待费、工会经费、其他交通费用、税金及附加费用、其他商品和服务支出、办公设备购置。</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2018年度“三公”经费财政拨款支出预算为1.1万元，支出决算为0.46万元，完成预算的42%。2018年度“三公”经费支出决算数与预算数存在差异的主要原因是严格按照“三公”经费只降不增的文件精神执行。</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三公”经费财政拨款支出决算中，因公出国（境）费支出决算0万元，完成预算的0%，占0%；公务用车购置及运行费支出决算0万元，完成预算的0%，占0%；公务接待费支出决算0.46万元，完成预算的42%，占100%。具体情况如下：</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年初预算为0万元，支出决算为0万元，完成年初预算的0%。决算数与年初预算数存在差异的主要原因是无。</w:t>
      </w:r>
      <w:r>
        <w:rPr>
          <w:rFonts w:hint="eastAsia" w:ascii="仿宋_GB2312" w:hAnsi="仿宋_GB2312" w:eastAsia="仿宋_GB2312" w:cs="仿宋_GB2312"/>
          <w:sz w:val="32"/>
          <w:szCs w:val="32"/>
          <w:u w:val="wave"/>
        </w:rPr>
        <w:t>全年因公出国（境）团组0个，累计0人次</w:t>
      </w:r>
      <w:r>
        <w:rPr>
          <w:rStyle w:val="6"/>
          <w:rFonts w:hint="eastAsia" w:ascii="仿宋_GB2312" w:hAnsi="仿宋_GB2312" w:eastAsia="仿宋_GB2312" w:cs="仿宋_GB2312"/>
          <w:sz w:val="32"/>
          <w:szCs w:val="32"/>
          <w:u w:val="wave"/>
        </w:rPr>
        <w:footnoteReference w:id="0"/>
      </w:r>
      <w:r>
        <w:rPr>
          <w:rFonts w:hint="eastAsia" w:ascii="仿宋_GB2312" w:hAnsi="仿宋_GB2312" w:eastAsia="仿宋_GB2312" w:cs="仿宋_GB2312"/>
          <w:sz w:val="32"/>
          <w:szCs w:val="32"/>
          <w:u w:val="wave"/>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u w:val="dotDash"/>
        </w:rPr>
        <w:t>年</w:t>
      </w:r>
      <w:r>
        <w:rPr>
          <w:rStyle w:val="6"/>
          <w:rFonts w:hint="eastAsia" w:ascii="仿宋_GB2312" w:hAnsi="仿宋_GB2312" w:eastAsia="仿宋_GB2312" w:cs="仿宋_GB2312"/>
          <w:sz w:val="32"/>
          <w:szCs w:val="32"/>
          <w:u w:val="dotDash"/>
        </w:rPr>
        <w:footnoteReference w:id="1"/>
      </w:r>
      <w:r>
        <w:rPr>
          <w:rFonts w:hint="eastAsia" w:ascii="仿宋_GB2312" w:hAnsi="仿宋_GB2312" w:eastAsia="仿宋_GB2312" w:cs="仿宋_GB2312"/>
          <w:sz w:val="32"/>
          <w:szCs w:val="32"/>
        </w:rPr>
        <w:t>初预算为0万元，支出决算为0万元，完成年初预算的0%。决算数与年初预算数存在差异的主要原因是无。</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为0万元，购置车辆0辆。</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rPr>
        <w:t>0万元。2018年期末，部门开支财政拨款的公务用车</w:t>
      </w:r>
      <w:r>
        <w:rPr>
          <w:rFonts w:hint="eastAsia" w:ascii="仿宋_GB2312" w:hAnsi="仿宋_GB2312" w:eastAsia="仿宋_GB2312" w:cs="仿宋_GB2312"/>
          <w:b/>
          <w:bCs/>
          <w:sz w:val="32"/>
          <w:szCs w:val="32"/>
        </w:rPr>
        <w:t>保有量</w:t>
      </w:r>
      <w:r>
        <w:rPr>
          <w:rFonts w:hint="eastAsia" w:ascii="仿宋_GB2312" w:hAnsi="仿宋_GB2312" w:eastAsia="仿宋_GB2312" w:cs="仿宋_GB2312"/>
          <w:sz w:val="32"/>
          <w:szCs w:val="32"/>
        </w:rPr>
        <w:t>为0辆。</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u w:val="dotDash"/>
        </w:rPr>
        <w:t>年</w:t>
      </w:r>
      <w:r>
        <w:rPr>
          <w:rStyle w:val="6"/>
          <w:rFonts w:hint="eastAsia" w:ascii="仿宋_GB2312" w:hAnsi="仿宋_GB2312" w:eastAsia="仿宋_GB2312" w:cs="仿宋_GB2312"/>
          <w:sz w:val="32"/>
          <w:szCs w:val="32"/>
          <w:u w:val="dotDash"/>
        </w:rPr>
        <w:footnoteReference w:id="2"/>
      </w:r>
      <w:r>
        <w:rPr>
          <w:rFonts w:hint="eastAsia" w:ascii="仿宋_GB2312" w:hAnsi="仿宋_GB2312" w:eastAsia="仿宋_GB2312" w:cs="仿宋_GB2312"/>
          <w:sz w:val="32"/>
          <w:szCs w:val="32"/>
        </w:rPr>
        <w:t>初预算为1.1万元，支出决算为0.46万元，完成年初预算的42%。决算数与年初预算数存在差异的主要原因是严格按照“三公”经费只降不增的文件精神执行。其中：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rPr>
        <w:t>0万元。2018年共接待国（境）外来访团组0个、来访外宾0人次（不包括陪同人员）。</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rPr>
        <w:t>0.46万元。主要用于县区之间往来业务交流、学习。2018年共接待国内来访团组2个、来宾12人次（不包括陪同人员）。</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0" w:firstLineChars="200"/>
        <w:outlineLvl w:val="1"/>
        <w:rPr>
          <w:rFonts w:hint="eastAsia" w:ascii="仿宋_GB2312" w:hAnsi="黑体" w:eastAsia="仿宋_GB2312" w:cs="黑体"/>
          <w:sz w:val="32"/>
          <w:szCs w:val="32"/>
        </w:rPr>
      </w:pPr>
      <w:r>
        <w:rPr>
          <w:rFonts w:hint="eastAsia" w:ascii="仿宋_GB2312" w:hAnsi="黑体" w:eastAsia="仿宋_GB2312" w:cs="黑体"/>
          <w:sz w:val="32"/>
          <w:szCs w:val="32"/>
        </w:rPr>
        <w:t>2018年度无绩效自评项目</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2018年度政府性基金预算财政拨款支出年初预算为0万元，支出决算为0万元，完成年初预算的0%。</w:t>
      </w:r>
      <w:r>
        <w:rPr>
          <w:rFonts w:hint="eastAsia" w:ascii="仿宋_GB2312" w:eastAsia="仿宋_GB2312"/>
          <w:sz w:val="32"/>
          <w:szCs w:val="32"/>
        </w:rPr>
        <w:t>我部门2018年度没有政府性基金收入，也没有使用政府性基金安排的支出。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2018年度机关运行经费</w:t>
      </w:r>
      <w:r>
        <w:rPr>
          <w:rFonts w:hint="eastAsia" w:ascii="仿宋_GB2312" w:hAnsi="仿宋_GB2312" w:eastAsia="仿宋_GB2312" w:cs="仿宋_GB2312"/>
          <w:sz w:val="32"/>
          <w:szCs w:val="32"/>
          <w:u w:val="dotDash"/>
        </w:rPr>
        <w:t>年</w:t>
      </w:r>
      <w:r>
        <w:rPr>
          <w:rStyle w:val="6"/>
          <w:rFonts w:hint="eastAsia" w:ascii="仿宋_GB2312" w:hAnsi="仿宋_GB2312" w:eastAsia="仿宋_GB2312" w:cs="仿宋_GB2312"/>
          <w:sz w:val="32"/>
          <w:szCs w:val="32"/>
          <w:u w:val="dotDash"/>
        </w:rPr>
        <w:footnoteReference w:id="3"/>
      </w:r>
      <w:r>
        <w:rPr>
          <w:rFonts w:hint="eastAsia" w:ascii="仿宋_GB2312" w:hAnsi="仿宋_GB2312" w:eastAsia="仿宋_GB2312" w:cs="仿宋_GB2312"/>
          <w:sz w:val="32"/>
          <w:szCs w:val="32"/>
        </w:rPr>
        <w:t>初预算为32.74万元，支出决算为54.71万元，完成年初预算的167%。决算数与年初预算数存在差异的主要原因是印刷费、维修费、其他商品和服务支出等费用增加。</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政府采购支出总额3.92万元，其中：政府采购货物支出3.92万元、政府采购工程支出0万元、政府采购服务支出0万元。授予中小企业合同金额3.92万元，占政府采购支出总额的100%，其中：授予小微企业合同金额3.92万元，占政府采购支出总额的100%。</w:t>
      </w:r>
    </w:p>
    <w:p>
      <w:pPr>
        <w:widowControl/>
        <w:spacing w:line="590" w:lineRule="exact"/>
        <w:ind w:firstLine="640" w:firstLineChars="200"/>
        <w:rPr>
          <w:rFonts w:hint="eastAsia" w:ascii="仿宋_GB2312" w:hAnsi="仿宋_GB2312" w:eastAsia="仿宋_GB2312" w:cs="仿宋_GB2312"/>
          <w:sz w:val="32"/>
          <w:szCs w:val="32"/>
        </w:rPr>
      </w:pPr>
    </w:p>
    <w:p>
      <w:pPr>
        <w:widowControl/>
        <w:spacing w:line="590" w:lineRule="exact"/>
        <w:ind w:firstLine="640" w:firstLineChars="200"/>
        <w:rPr>
          <w:rFonts w:hint="eastAsia" w:ascii="仿宋_GB2312" w:hAnsi="仿宋_GB2312" w:eastAsia="仿宋_GB2312" w:cs="仿宋_GB2312"/>
          <w:sz w:val="32"/>
          <w:szCs w:val="32"/>
        </w:r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widowControl/>
        <w:jc w:val="left"/>
        <w:rPr>
          <w:rFonts w:hint="eastAsia"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- 25 -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- 25 -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- 24 -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- 24 -</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3"/>
      </w:pPr>
      <w:r>
        <w:rPr>
          <w:rStyle w:val="6"/>
        </w:rPr>
        <w:footnoteRef/>
      </w:r>
      <w:r>
        <w:t xml:space="preserve"> </w:t>
      </w:r>
      <w:r>
        <w:rPr>
          <w:rFonts w:hint="eastAsia"/>
        </w:rPr>
        <w:t>8月12日新增。</w:t>
      </w:r>
    </w:p>
  </w:footnote>
  <w:footnote w:id="1">
    <w:p>
      <w:pPr>
        <w:pStyle w:val="3"/>
      </w:pPr>
      <w:r>
        <w:rPr>
          <w:rStyle w:val="6"/>
        </w:rPr>
        <w:footnoteRef/>
      </w:r>
      <w:r>
        <w:t xml:space="preserve"> </w:t>
      </w:r>
      <w:r>
        <w:rPr>
          <w:rFonts w:hint="eastAsia"/>
        </w:rPr>
        <w:t>8月14日新增“年”。共三处，此处为第一处。</w:t>
      </w:r>
    </w:p>
  </w:footnote>
  <w:footnote w:id="2">
    <w:p>
      <w:pPr>
        <w:pStyle w:val="3"/>
      </w:pPr>
      <w:r>
        <w:rPr>
          <w:rStyle w:val="6"/>
        </w:rPr>
        <w:footnoteRef/>
      </w:r>
      <w:r>
        <w:t xml:space="preserve"> </w:t>
      </w:r>
      <w:r>
        <w:rPr>
          <w:rFonts w:hint="eastAsia"/>
        </w:rPr>
        <w:t>8月14日新增“年”。共三处，此处为第二处。</w:t>
      </w:r>
    </w:p>
  </w:footnote>
  <w:footnote w:id="3">
    <w:p>
      <w:pPr>
        <w:pStyle w:val="3"/>
      </w:pPr>
      <w:r>
        <w:rPr>
          <w:rStyle w:val="6"/>
        </w:rPr>
        <w:footnoteRef/>
      </w:r>
      <w:r>
        <w:t xml:space="preserve"> </w:t>
      </w:r>
      <w:r>
        <w:rPr>
          <w:rFonts w:hint="eastAsia"/>
        </w:rPr>
        <w:t>8月14日新增“年”。共三处，此处为第三处。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741101DF"/>
    <w:multiLevelType w:val="multilevel"/>
    <w:tmpl w:val="741101DF"/>
    <w:lvl w:ilvl="0" w:tentative="0">
      <w:start w:val="1"/>
      <w:numFmt w:val="decimal"/>
      <w:lvlText w:val="%1、"/>
      <w:lvlJc w:val="left"/>
      <w:pPr>
        <w:ind w:left="1305" w:hanging="720"/>
      </w:pPr>
      <w:rPr>
        <w:rFonts w:hint="default"/>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18284D"/>
    <w:rsid w:val="35C91895"/>
    <w:rsid w:val="3E5C2501"/>
    <w:rsid w:val="55447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footnote text"/>
    <w:basedOn w:val="1"/>
    <w:unhideWhenUsed/>
    <w:qFormat/>
    <w:uiPriority w:val="99"/>
    <w:pPr>
      <w:snapToGrid w:val="0"/>
      <w:jc w:val="left"/>
    </w:pPr>
    <w:rPr>
      <w:sz w:val="18"/>
    </w:rPr>
  </w:style>
  <w:style w:type="character" w:styleId="6">
    <w:name w:val="footnote reference"/>
    <w:basedOn w:val="5"/>
    <w:unhideWhenUsed/>
    <w:qFormat/>
    <w:uiPriority w:val="99"/>
    <w:rPr>
      <w:vertAlign w:val="superscript"/>
    </w:rPr>
  </w:style>
  <w:style w:type="paragraph" w:styleId="7">
    <w:name w:val="List Paragraph"/>
    <w:basedOn w:val="1"/>
    <w:unhideWhenUsed/>
    <w:qFormat/>
    <w:uiPriority w:val="99"/>
    <w:pPr>
      <w:ind w:firstLine="420" w:firstLineChars="200"/>
    </w:pPr>
  </w:style>
  <w:style w:type="character" w:customStyle="1" w:styleId="8">
    <w:name w:val="font01"/>
    <w:basedOn w:val="5"/>
    <w:qFormat/>
    <w:uiPriority w:val="0"/>
    <w:rPr>
      <w:rFonts w:hint="eastAsia" w:ascii="宋体" w:hAnsi="宋体" w:eastAsia="宋体" w:cs="宋体"/>
      <w:color w:val="000000"/>
      <w:sz w:val="22"/>
      <w:szCs w:val="22"/>
      <w:u w:val="none"/>
    </w:rPr>
  </w:style>
  <w:style w:type="character" w:customStyle="1" w:styleId="9">
    <w:name w:val="font51"/>
    <w:basedOn w:val="5"/>
    <w:qFormat/>
    <w:uiPriority w:val="0"/>
    <w:rPr>
      <w:rFonts w:hint="eastAsia" w:ascii="宋体" w:hAnsi="宋体" w:eastAsia="宋体" w:cs="宋体"/>
      <w:color w:val="000000"/>
      <w:sz w:val="24"/>
      <w:szCs w:val="24"/>
      <w:u w:val="none"/>
    </w:rPr>
  </w:style>
  <w:style w:type="character" w:customStyle="1" w:styleId="10">
    <w:name w:val="font4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棒棒糖</cp:lastModifiedBy>
  <dcterms:modified xsi:type="dcterms:W3CDTF">2021-06-18T03:03:49Z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A473BFED5B9E48AA9BEDECEED38BAA24</vt:lpwstr>
  </property>
</Properties>
</file>