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隶书" w:hAnsi="隶书" w:eastAsia="隶书" w:cs="隶书"/>
          <w:sz w:val="52"/>
          <w:szCs w:val="52"/>
        </w:rPr>
      </w:pPr>
      <w:r>
        <w:rPr>
          <w:rFonts w:hint="eastAsia" w:ascii="隶书" w:hAnsi="隶书" w:eastAsia="隶书" w:cs="隶书"/>
          <w:sz w:val="52"/>
          <w:szCs w:val="52"/>
        </w:rPr>
        <w:t>中共信阳市浉河区委机构</w:t>
      </w:r>
    </w:p>
    <w:p>
      <w:pPr>
        <w:jc w:val="center"/>
        <w:rPr>
          <w:rFonts w:ascii="仿宋_GB2312" w:hAnsi="仿宋_GB2312" w:eastAsia="仿宋_GB2312" w:cs="仿宋_GB2312"/>
          <w:sz w:val="44"/>
          <w:szCs w:val="44"/>
        </w:rPr>
      </w:pPr>
      <w:r>
        <w:rPr>
          <w:rFonts w:hint="eastAsia" w:ascii="隶书" w:hAnsi="隶书" w:eastAsia="隶书" w:cs="隶书"/>
          <w:sz w:val="52"/>
          <w:szCs w:val="52"/>
        </w:rPr>
        <w:t>编制委员会办公室</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2018年度部门决算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r>
        <w:rPr>
          <w:rFonts w:hint="eastAsia" w:ascii="隶书" w:hAnsi="隶书" w:eastAsia="隶书" w:cs="隶书"/>
          <w:sz w:val="52"/>
          <w:szCs w:val="52"/>
        </w:rPr>
        <w:t xml:space="preserve"> </w:t>
      </w:r>
    </w:p>
    <w:p>
      <w:pPr>
        <w:rPr>
          <w:rFonts w:hint="eastAsia" w:ascii="仿宋" w:hAnsi="仿宋" w:eastAsia="仿宋" w:cs="隶书"/>
          <w:sz w:val="32"/>
          <w:szCs w:val="32"/>
        </w:rPr>
      </w:pPr>
      <w:r>
        <w:rPr>
          <w:rFonts w:hint="eastAsia" w:ascii="仿宋" w:hAnsi="仿宋" w:eastAsia="仿宋" w:cs="隶书"/>
          <w:sz w:val="32"/>
          <w:szCs w:val="32"/>
        </w:rPr>
        <w:t>公开单位联系人：叶忠平          联系方式：15939799919</w:t>
      </w:r>
    </w:p>
    <w:p>
      <w:pPr>
        <w:pStyle w:val="2"/>
        <w:rPr>
          <w:rFonts w:hint="eastAsia" w:ascii="仿宋" w:hAnsi="仿宋" w:eastAsia="仿宋" w:cs="隶书"/>
          <w:sz w:val="32"/>
          <w:szCs w:val="32"/>
        </w:rPr>
      </w:pPr>
    </w:p>
    <w:p>
      <w:pPr>
        <w:pStyle w:val="2"/>
        <w:rPr>
          <w:rFonts w:hint="eastAsia" w:ascii="仿宋" w:hAnsi="仿宋" w:eastAsia="仿宋" w:cs="隶书"/>
          <w:sz w:val="32"/>
          <w:szCs w:val="32"/>
        </w:rPr>
      </w:pPr>
    </w:p>
    <w:p>
      <w:pPr>
        <w:pStyle w:val="2"/>
        <w:rPr>
          <w:rFonts w:hint="default" w:ascii="仿宋" w:hAnsi="仿宋" w:eastAsia="仿宋" w:cs="隶书"/>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 xml:space="preserve">                      二〇一九年九月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中共信阳市浉河区委机构编制委员会办公室概况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部门决算单位构成及机构设置</w:t>
      </w:r>
    </w:p>
    <w:p>
      <w:pPr>
        <w:ind w:left="1920" w:hanging="1920" w:hangingChars="600"/>
        <w:jc w:val="left"/>
        <w:rPr>
          <w:rFonts w:ascii="黑体" w:hAnsi="黑体" w:eastAsia="黑体" w:cs="黑体"/>
          <w:sz w:val="32"/>
          <w:szCs w:val="32"/>
        </w:rPr>
      </w:pPr>
      <w:r>
        <w:rPr>
          <w:rFonts w:hint="eastAsia" w:ascii="黑体" w:hAnsi="黑体" w:eastAsia="黑体" w:cs="黑体"/>
          <w:sz w:val="32"/>
          <w:szCs w:val="32"/>
        </w:rPr>
        <w:t>第二部分　　中共信阳市浉河区委机构编制委员会办公室2018年度部门决算情况说明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pStyle w:val="2"/>
        <w:rPr>
          <w:rFonts w:hint="eastAsia" w:ascii="黑体" w:hAnsi="黑体" w:eastAsia="黑体" w:cs="黑体"/>
          <w:sz w:val="32"/>
          <w:szCs w:val="32"/>
        </w:rPr>
      </w:pPr>
    </w:p>
    <w:p>
      <w:pPr>
        <w:numPr>
          <w:ilvl w:val="0"/>
          <w:numId w:val="0"/>
        </w:numPr>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  2018年部门决算表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pStyle w:val="2"/>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right"/>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中共信阳市浉河区委机构编制委员会办公室概况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一）负责全区事业单位管理体制改革、机构改革和事业单位机构编制管理工作；研究拟订全区事业单位管理分类改革方案，经批准后组织实施；指导全区事业单位分类改革工作；落实全区事业单位人员编制总量控制办法、标准和结构比例。</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（二）负责拟订全区机构编制管理规定、办法；负责统一管理全区各级党政机关，人大、政协机关，法院、检察院机关，工商联机关、人民团体机关及各事业单位的机构编制工作。</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（三）负责协调区委各部门、区政府各部门的职责配置及调整，协调区委、区政府各部门之间的职责分工。 </w:t>
      </w:r>
    </w:p>
    <w:p>
      <w:pPr>
        <w:pStyle w:val="11"/>
        <w:snapToGrid w:val="0"/>
        <w:spacing w:line="600" w:lineRule="exact"/>
        <w:ind w:firstLine="0" w:firstLineChars="0"/>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    （四）负责审核区委、区政府各部门的主要职责、内设机构、人员编制和领导职数；审核各乡、镇、办事处内设机构和下属事业单位的设置与调整。</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（五）负责审核区人大、政协机关，法院、检察院机关，工商联机关、人民团体机关的机构设置、人员编制和领导职数。</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（六）负责审核区直事业单位机构设置、机构规格、编制类型、编制数额、人员结构比例、领导职数、经费管理形式。</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七）负责审批区直副科级以上机构的内设机构挂牌、撤销、合并；审批区直股级事业单位的挂牌、撤销、合并；审批全区股级机构的设置；审核区直科级领导职数调整，审批区直股级领导职数的调整等机构编制日常性、事务性、程序性管理工作。</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（八）负责全区机构编制统计工作；负责全区机关事业单位进人编制审核工作；负责全区机关事业单位进人的管理，防止机关事业单位人员盲目膨胀。</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（九）负责拟订机构编制管理与财政预算管理、组织人事管理配合制约机制的措施；全面推行机构编制实名制管理等制度，推进机构编制管理创新。</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xml:space="preserve">    </w:t>
      </w:r>
      <w:r>
        <w:rPr>
          <w:rFonts w:hint="eastAsia" w:ascii="仿宋_GB2312" w:hAnsi="仿宋_GB2312" w:eastAsia="仿宋_GB2312" w:cs="仿宋_GB2312"/>
          <w:spacing w:val="-4"/>
          <w:sz w:val="32"/>
        </w:rPr>
        <w:t>（十）依据《事业单位登记管理暂行条例》，负责全区各类事业单位的登记管理工作。</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（十一）参与全区行政审批制度改革工作。</w:t>
      </w:r>
    </w:p>
    <w:p>
      <w:pPr>
        <w:pStyle w:val="11"/>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（十二）监督检查全区各级行政管理体制改革、机构改革和机构编制政策、法规、规定的执行情况，报告区编委并上报区委、区政府，依法查处违反机构编制纪律行为。</w:t>
      </w:r>
    </w:p>
    <w:p>
      <w:pPr>
        <w:pStyle w:val="11"/>
        <w:snapToGrid w:val="0"/>
        <w:spacing w:line="600" w:lineRule="exact"/>
        <w:ind w:left="420" w:leftChars="200" w:firstLine="320" w:firstLineChars="100"/>
        <w:textAlignment w:val="baseline"/>
        <w:rPr>
          <w:rFonts w:ascii="楷体_GB2312" w:hAnsi="楷体_GB2312" w:eastAsia="楷体_GB2312" w:cs="楷体_GB2312"/>
          <w:sz w:val="32"/>
          <w:szCs w:val="32"/>
        </w:rPr>
      </w:pPr>
      <w:r>
        <w:rPr>
          <w:rFonts w:hint="eastAsia" w:ascii="仿宋_GB2312" w:hAnsi="仿宋_GB2312" w:eastAsia="仿宋_GB2312" w:cs="仿宋_GB2312"/>
          <w:sz w:val="32"/>
        </w:rPr>
        <w:t>（十三）承办区委、区政府和区编委交办的其他事项。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（一）纳入中共信阳市浉河区委机构编制委员会办公室2018年度部门决算编制范围的单位包括：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中共信阳市浉河区委机构编制委员会办公室机关</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w:t>
      </w:r>
      <w:r>
        <w:rPr>
          <w:rFonts w:ascii="仿宋_GB2312" w:hAnsi="仿宋_GB2312" w:eastAsia="仿宋_GB2312" w:cs="仿宋_GB2312"/>
          <w:sz w:val="32"/>
          <w:szCs w:val="32"/>
        </w:rPr>
        <w:t>电子政务</w:t>
      </w:r>
      <w:r>
        <w:rPr>
          <w:rFonts w:hint="eastAsia" w:ascii="仿宋_GB2312" w:hAnsi="仿宋_GB2312" w:eastAsia="仿宋_GB2312" w:cs="仿宋_GB2312"/>
          <w:sz w:val="32"/>
          <w:szCs w:val="32"/>
        </w:rPr>
        <w:t>中心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 浉河区事业单位登记</w:t>
      </w:r>
      <w:r>
        <w:rPr>
          <w:rFonts w:ascii="仿宋_GB2312" w:hAnsi="仿宋_GB2312" w:eastAsia="仿宋_GB2312" w:cs="仿宋_GB2312"/>
          <w:sz w:val="32"/>
          <w:szCs w:val="32"/>
        </w:rPr>
        <w:t>管理中</w:t>
      </w:r>
    </w:p>
    <w:p>
      <w:pPr>
        <w:ind w:firstLine="640" w:firstLineChars="200"/>
        <w:jc w:val="left"/>
        <w:rPr>
          <w:rFonts w:ascii="宋体" w:hAnsi="宋体" w:cs="宋体"/>
          <w:kern w:val="0"/>
          <w:sz w:val="32"/>
          <w:szCs w:val="32"/>
        </w:rPr>
      </w:pPr>
      <w:r>
        <w:rPr>
          <w:rFonts w:hint="eastAsia" w:ascii="仿宋_GB2312" w:hAnsi="仿宋_GB2312" w:eastAsia="仿宋_GB2312" w:cs="仿宋_GB2312"/>
          <w:sz w:val="32"/>
          <w:szCs w:val="32"/>
        </w:rPr>
        <w:t>（二）</w:t>
      </w:r>
      <w:r>
        <w:rPr>
          <w:rFonts w:hint="eastAsia" w:ascii="宋体" w:hAnsi="宋体" w:cs="宋体"/>
          <w:kern w:val="0"/>
          <w:sz w:val="32"/>
          <w:szCs w:val="32"/>
        </w:rPr>
        <w:t>机构设置</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中共信阳市浉河区委机构编制委员会办公室（</w:t>
      </w:r>
      <w:r>
        <w:rPr>
          <w:rFonts w:hint="eastAsia" w:ascii="仿宋_GB2312" w:hAnsi="Times New Roman" w:eastAsia="仿宋_GB2312"/>
          <w:sz w:val="32"/>
        </w:rPr>
        <w:t>区</w:t>
      </w:r>
      <w:r>
        <w:rPr>
          <w:rFonts w:hint="eastAsia" w:ascii="仿宋_GB2312" w:hAnsi="仿宋_GB2312" w:eastAsia="仿宋_GB2312"/>
          <w:sz w:val="32"/>
        </w:rPr>
        <w:t>事业单位登记管理局</w:t>
      </w:r>
      <w:r>
        <w:rPr>
          <w:rFonts w:hint="eastAsia" w:ascii="仿宋_GB2312" w:hAnsi="宋体" w:eastAsia="仿宋_GB2312"/>
          <w:sz w:val="32"/>
        </w:rPr>
        <w:t>）设4个内设机构，</w:t>
      </w:r>
      <w:r>
        <w:rPr>
          <w:rFonts w:ascii="仿宋_GB2312" w:hAnsi="宋体" w:eastAsia="仿宋_GB2312"/>
          <w:sz w:val="32"/>
        </w:rPr>
        <w:t>即</w:t>
      </w:r>
      <w:r>
        <w:rPr>
          <w:rFonts w:hint="eastAsia" w:ascii="仿宋_GB2312" w:hAnsi="宋体" w:eastAsia="仿宋_GB2312"/>
          <w:sz w:val="32"/>
        </w:rPr>
        <w:t>综合股、机构编制管理股、机构编制监督检查股、行政管理体制改革股。下属</w:t>
      </w:r>
      <w:r>
        <w:rPr>
          <w:rFonts w:ascii="仿宋_GB2312" w:hAnsi="宋体" w:eastAsia="仿宋_GB2312"/>
          <w:sz w:val="32"/>
        </w:rPr>
        <w:t>事业单位两个，</w:t>
      </w:r>
      <w:r>
        <w:rPr>
          <w:rFonts w:hint="eastAsia" w:ascii="仿宋_GB2312" w:hAnsi="宋体" w:eastAsia="仿宋_GB2312"/>
          <w:sz w:val="32"/>
        </w:rPr>
        <w:t>即</w:t>
      </w:r>
      <w:r>
        <w:rPr>
          <w:rFonts w:ascii="仿宋_GB2312" w:hAnsi="宋体" w:eastAsia="仿宋_GB2312"/>
          <w:sz w:val="32"/>
        </w:rPr>
        <w:t>电子政务中心、事业单位登记管理中心。</w:t>
      </w:r>
    </w:p>
    <w:p>
      <w:pPr>
        <w:pStyle w:val="11"/>
        <w:numPr>
          <w:ilvl w:val="0"/>
          <w:numId w:val="5"/>
        </w:numPr>
        <w:snapToGrid w:val="0"/>
        <w:spacing w:line="600" w:lineRule="exact"/>
        <w:ind w:firstLineChars="0"/>
        <w:rPr>
          <w:rFonts w:ascii="楷体_GB2312" w:hAnsi="楷体_GB2312" w:eastAsia="楷体_GB2312"/>
          <w:b/>
          <w:sz w:val="32"/>
        </w:rPr>
      </w:pPr>
      <w:r>
        <w:rPr>
          <w:rFonts w:hint="eastAsia" w:ascii="楷体_GB2312" w:hAnsi="楷体_GB2312" w:eastAsia="楷体_GB2312"/>
          <w:b/>
          <w:sz w:val="32"/>
        </w:rPr>
        <w:t>综合股</w:t>
      </w:r>
    </w:p>
    <w:p>
      <w:pPr>
        <w:spacing w:line="600" w:lineRule="exact"/>
        <w:ind w:firstLine="640" w:firstLineChars="200"/>
        <w:rPr>
          <w:rFonts w:ascii="仿宋_GB2312" w:hAnsi="宋体" w:eastAsia="仿宋_GB2312"/>
          <w:sz w:val="32"/>
        </w:rPr>
      </w:pPr>
      <w:r>
        <w:rPr>
          <w:rFonts w:hint="eastAsia" w:ascii="仿宋_GB2312" w:hAnsi="黑体" w:eastAsia="仿宋_GB2312"/>
          <w:sz w:val="32"/>
        </w:rPr>
        <w:t>协助编办领导处理机关日常政务；</w:t>
      </w:r>
      <w:r>
        <w:rPr>
          <w:rFonts w:hint="eastAsia" w:ascii="仿宋_GB2312" w:hAnsi="Times New Roman" w:eastAsia="仿宋_GB2312"/>
          <w:sz w:val="32"/>
        </w:rPr>
        <w:t>负责综合性文稿的起草和机关会务工作；负责文件收发传递、机要保密、信息宣传、文稿校核、档案管理、财务管理、车辆管理、后勤保障、安全保卫、计划生育、精神文明建设、机关考勤和各项规章制度的督促落实工作；负责机关党务、人事、老干部管理与服务及群团工作；负责信访稳定工作；</w:t>
      </w:r>
      <w:r>
        <w:rPr>
          <w:rFonts w:hint="eastAsia" w:ascii="仿宋_GB2312" w:hAnsi="Arial" w:eastAsia="仿宋_GB2312"/>
          <w:sz w:val="32"/>
        </w:rPr>
        <w:t>负责人大代表、政协委员提案（议案）办理的综合协调工作</w:t>
      </w:r>
      <w:r>
        <w:rPr>
          <w:rFonts w:hint="eastAsia" w:ascii="仿宋_GB2312" w:hAnsi="仿宋_GB2312" w:eastAsia="仿宋_GB2312"/>
          <w:sz w:val="32"/>
        </w:rPr>
        <w:t>；</w:t>
      </w:r>
      <w:r>
        <w:rPr>
          <w:rFonts w:hint="eastAsia" w:ascii="仿宋_GB2312" w:hAnsi="Times New Roman" w:eastAsia="仿宋_GB2312"/>
          <w:sz w:val="32"/>
        </w:rPr>
        <w:t>围绕重点工作开展专题调研，了解各方面的有关意见和建议，掌握相关改革动态；承担有关规范性文件的合法性审核和有关征求意见的回复工作；组织协调机构编制标准化工作；参与行政管理体制改革的相关工作</w:t>
      </w:r>
      <w:r>
        <w:rPr>
          <w:rFonts w:hint="eastAsia" w:ascii="Times New Roman" w:hAnsi="Times New Roman" w:eastAsia="宋体"/>
        </w:rPr>
        <w:t>；</w:t>
      </w:r>
      <w:r>
        <w:rPr>
          <w:rFonts w:hint="eastAsia" w:ascii="仿宋_GB2312" w:hAnsi="Times New Roman" w:eastAsia="仿宋_GB2312"/>
          <w:sz w:val="32"/>
        </w:rPr>
        <w:t>指导、配合区机构编制电子政务中心履行好机关及直属单位的电子</w:t>
      </w:r>
      <w:r>
        <w:rPr>
          <w:rFonts w:hint="eastAsia" w:ascii="仿宋_GB2312" w:hAnsi="宋体" w:eastAsia="仿宋_GB2312"/>
          <w:sz w:val="32"/>
        </w:rPr>
        <w:t>政务方面的职责，配合做好本单位门户网站的建设、运行管理和内容保障工作。</w:t>
      </w:r>
    </w:p>
    <w:p>
      <w:pPr>
        <w:spacing w:line="600" w:lineRule="exact"/>
        <w:ind w:firstLine="643"/>
        <w:rPr>
          <w:rFonts w:ascii="楷体_GB2312" w:hAnsi="仿宋_GB2312" w:eastAsia="楷体_GB2312"/>
          <w:sz w:val="32"/>
        </w:rPr>
      </w:pPr>
      <w:r>
        <w:rPr>
          <w:rFonts w:hint="eastAsia" w:ascii="楷体_GB2312" w:hAnsi="仿宋_GB2312" w:eastAsia="楷体_GB2312"/>
          <w:b/>
          <w:sz w:val="32"/>
        </w:rPr>
        <w:t xml:space="preserve">（二）机构编制管理股  </w:t>
      </w:r>
      <w:r>
        <w:rPr>
          <w:rFonts w:hint="eastAsia" w:ascii="楷体_GB2312" w:hAnsi="仿宋_GB2312" w:eastAsia="楷体_GB2312"/>
          <w:sz w:val="32"/>
        </w:rPr>
        <w:t xml:space="preserve">    </w:t>
      </w:r>
    </w:p>
    <w:p>
      <w:pPr>
        <w:snapToGrid w:val="0"/>
        <w:spacing w:line="600" w:lineRule="exact"/>
        <w:ind w:firstLine="640"/>
        <w:rPr>
          <w:rFonts w:ascii="仿宋_GB2312" w:hAnsi="仿宋_GB2312" w:eastAsia="仿宋_GB2312"/>
          <w:sz w:val="32"/>
        </w:rPr>
      </w:pPr>
      <w:r>
        <w:rPr>
          <w:rFonts w:hint="eastAsia" w:ascii="仿宋_GB2312" w:hAnsi="Courier New" w:eastAsia="仿宋_GB2312"/>
          <w:sz w:val="32"/>
        </w:rPr>
        <w:t>参与全区行政管理体制、政府机构改革方案和</w:t>
      </w:r>
      <w:r>
        <w:rPr>
          <w:rFonts w:hint="eastAsia" w:ascii="仿宋_GB2312" w:hAnsi="仿宋_GB2312" w:eastAsia="仿宋_GB2312"/>
          <w:sz w:val="32"/>
        </w:rPr>
        <w:t>事业单位机构改革总体方案的</w:t>
      </w:r>
      <w:r>
        <w:rPr>
          <w:rFonts w:hint="eastAsia" w:ascii="仿宋_GB2312" w:hAnsi="Courier New" w:eastAsia="仿宋_GB2312"/>
          <w:sz w:val="32"/>
        </w:rPr>
        <w:t>研究、起草工作；负责研究拟订全区机关事业单位机构改革方案并组织实施；审核全区党政群机关“三定”规定并跟踪了解落实情况；</w:t>
      </w:r>
      <w:r>
        <w:rPr>
          <w:rFonts w:hint="eastAsia" w:ascii="仿宋_GB2312" w:hAnsi="仿宋_GB2312" w:eastAsia="仿宋_GB2312"/>
          <w:sz w:val="32"/>
        </w:rPr>
        <w:t>负责</w:t>
      </w:r>
      <w:r>
        <w:rPr>
          <w:rFonts w:hint="eastAsia" w:ascii="仿宋_GB2312" w:hAnsi="Courier New" w:eastAsia="仿宋_GB2312"/>
          <w:sz w:val="32"/>
        </w:rPr>
        <w:t>全区机关事业单位机构编制管理工作，</w:t>
      </w:r>
      <w:r>
        <w:rPr>
          <w:rFonts w:hint="eastAsia" w:ascii="仿宋_GB2312" w:hAnsi="仿宋_GB2312" w:eastAsia="仿宋_GB2312"/>
          <w:sz w:val="32"/>
        </w:rPr>
        <w:t>落实机关事业单位机构编制管理办法；对全区党政群机关的职责权限、机构级别、内设机构、编制数额、领导职数等的调整，以及对副科级以上区直机关事业单位内设机构的挂牌、撤销、合并等进行调查论证并提出初步意见，经批准后抓好落实；负责对全区事业单位机构设置、机构规格、编制类型、编制数额、人员结构比例、领导职数、经费管理形式等的核定、调整，研究拟订全区事业单位分类改革方案，经批准后抓好落实；负责落实全区事业单位人员编制总量控制计划、机构编制标准和人员结构比例；负责做好全区机关事业单位新进人员进入之前的编制审核和进入之后的“入编”手续办理工作，对减编人员及时消编；认真落实好《机关事业单位进人入编表》制度；负责全区机关事业单位《机构编制管理台帐》和“实名制”数据库更新、维护及日常管理工作。</w:t>
      </w:r>
    </w:p>
    <w:p>
      <w:pPr>
        <w:snapToGrid w:val="0"/>
        <w:spacing w:line="600" w:lineRule="exact"/>
        <w:ind w:firstLine="589"/>
        <w:rPr>
          <w:rFonts w:ascii="楷体_GB2312" w:hAnsi="仿宋_GB2312" w:eastAsia="楷体_GB2312"/>
          <w:sz w:val="32"/>
        </w:rPr>
      </w:pPr>
      <w:r>
        <w:rPr>
          <w:rFonts w:hint="eastAsia" w:ascii="楷体_GB2312" w:hAnsi="仿宋_GB2312" w:eastAsia="楷体_GB2312"/>
          <w:b/>
          <w:sz w:val="32"/>
        </w:rPr>
        <w:t>(三)机构编制监督检查股</w:t>
      </w:r>
      <w:r>
        <w:rPr>
          <w:rFonts w:hint="eastAsia" w:ascii="楷体_GB2312" w:hAnsi="仿宋_GB2312" w:eastAsia="楷体_GB2312"/>
          <w:sz w:val="32"/>
        </w:rPr>
        <w:t xml:space="preserve">      </w:t>
      </w:r>
    </w:p>
    <w:p>
      <w:pPr>
        <w:spacing w:line="600" w:lineRule="exact"/>
        <w:ind w:firstLine="640"/>
        <w:rPr>
          <w:rFonts w:ascii="仿宋_GB2312" w:hAnsi="Times New Roman" w:eastAsia="仿宋_GB2312"/>
          <w:sz w:val="32"/>
        </w:rPr>
      </w:pPr>
      <w:r>
        <w:rPr>
          <w:rFonts w:hint="eastAsia" w:ascii="仿宋_GB2312" w:hAnsi="仿宋_GB2312" w:eastAsia="仿宋_GB2312"/>
          <w:sz w:val="32"/>
        </w:rPr>
        <w:t>负责监督检查全区各级各部门贯彻执行机构编制法律法规和政策规定的情况；负责</w:t>
      </w:r>
      <w:r>
        <w:rPr>
          <w:rFonts w:hint="eastAsia" w:ascii="仿宋_GB2312" w:hAnsi="宋体" w:eastAsia="仿宋_GB2312"/>
          <w:sz w:val="32"/>
        </w:rPr>
        <w:t>监督检查全区各级编制总额、机构设置和单位“三定”规定的执行情况；负责监督检查事业单位机构编制事项的执行情况；负责</w:t>
      </w:r>
      <w:r>
        <w:rPr>
          <w:rFonts w:hint="eastAsia" w:ascii="仿宋_GB2312" w:hAnsi="仿宋_GB2312" w:eastAsia="仿宋_GB2312"/>
          <w:sz w:val="32"/>
        </w:rPr>
        <w:t>监督检查《机关事业单位进人入编表》制度的执行情况及《机构编制管理台帐》和“实名制”数据库更新、维护及日常管理情况；</w:t>
      </w:r>
      <w:r>
        <w:rPr>
          <w:rFonts w:hint="eastAsia" w:ascii="仿宋_GB2312" w:hAnsi="宋体" w:eastAsia="仿宋_GB2312"/>
          <w:sz w:val="32"/>
        </w:rPr>
        <w:t>负责受理违反机构编制法律法规、政策规定、纪律的检举和投诉，负责“12310”举报受理工作，对违反机构编制法律法规、政策规定和纪律问题进行调查核实并提出处理意见；拟订机构编制执行情况评估的具体办法并组织实施；负责开展机构编制违规违纪行为预防教育；负责机构编制监督检查工作与纪检监察等部门间的协调配合。</w:t>
      </w:r>
    </w:p>
    <w:p>
      <w:pPr>
        <w:spacing w:line="600" w:lineRule="exact"/>
        <w:ind w:firstLine="643"/>
        <w:rPr>
          <w:rFonts w:ascii="楷体_GB2312" w:hAnsi="楷体_GB2312" w:eastAsia="楷体_GB2312"/>
          <w:b/>
          <w:sz w:val="32"/>
        </w:rPr>
      </w:pPr>
      <w:r>
        <w:rPr>
          <w:rFonts w:hint="eastAsia" w:ascii="楷体_GB2312" w:hAnsi="楷体_GB2312" w:eastAsia="楷体_GB2312"/>
          <w:b/>
          <w:sz w:val="32"/>
        </w:rPr>
        <w:t>（四）行政管理体制改革股</w:t>
      </w:r>
    </w:p>
    <w:p>
      <w:pPr>
        <w:ind w:firstLine="640"/>
        <w:rPr>
          <w:rFonts w:ascii="Times New Roman" w:hAnsi="Times New Roman" w:eastAsia="仿宋_GB2312"/>
          <w:sz w:val="32"/>
        </w:rPr>
      </w:pPr>
      <w:r>
        <w:rPr>
          <w:rFonts w:hint="eastAsia" w:ascii="仿宋_GB2312" w:hAnsi="Times New Roman" w:eastAsia="仿宋_GB2312"/>
          <w:sz w:val="32"/>
        </w:rPr>
        <w:t>负责指导、协调全区行政审批制度改革工作；组织拟订行政审批制度改革总体规划和相关制度；协调落实国务院、省、市、区政府取消和下放的行政审批项目等事项；组织开展行政审批项目清理优化工作,负责区级行政审批事项承接、取消、下放、调整工作；组织开展行政审批标准化建设及行政审批监督检查工作；组织开展行政审批效能评估工作；参与研究全区行政管理体制改革工作；参与机构改革方案拟定及组织实施方面的有关工作,承办区编办交办的其他工作。</w:t>
      </w:r>
    </w:p>
    <w:p>
      <w:pPr>
        <w:spacing w:line="600" w:lineRule="exact"/>
        <w:ind w:firstLine="640"/>
        <w:rPr>
          <w:rFonts w:ascii="仿宋_GB2312" w:hAnsi="仿宋_GB2312" w:eastAsia="仿宋_GB2312"/>
          <w:sz w:val="32"/>
        </w:rPr>
      </w:pPr>
      <w:r>
        <w:rPr>
          <w:rFonts w:hint="eastAsia" w:ascii="黑体" w:hAnsi="黑体" w:eastAsia="黑体"/>
          <w:sz w:val="32"/>
        </w:rPr>
        <w:t>（五）下属事业单位</w:t>
      </w:r>
    </w:p>
    <w:p>
      <w:pPr>
        <w:spacing w:line="600" w:lineRule="exact"/>
        <w:ind w:firstLine="640"/>
        <w:rPr>
          <w:rFonts w:ascii="仿宋" w:hAnsi="仿宋" w:eastAsia="仿宋" w:cs="仿宋"/>
          <w:sz w:val="32"/>
        </w:rPr>
      </w:pPr>
      <w:r>
        <w:rPr>
          <w:rFonts w:hint="eastAsia" w:ascii="仿宋_GB2312" w:hAnsi="仿宋_GB2312" w:eastAsia="仿宋_GB2312"/>
          <w:sz w:val="32"/>
        </w:rPr>
        <w:t>1．</w:t>
      </w:r>
      <w:r>
        <w:rPr>
          <w:rFonts w:hint="eastAsia" w:ascii="仿宋" w:hAnsi="仿宋" w:eastAsia="仿宋" w:cs="仿宋"/>
          <w:sz w:val="32"/>
        </w:rPr>
        <w:t>浉河区事业单位登记管理中心，</w:t>
      </w:r>
      <w:r>
        <w:rPr>
          <w:rFonts w:hint="eastAsia" w:ascii="仿宋_GB2312" w:hAnsi="仿宋_GB2312" w:eastAsia="仿宋_GB2312"/>
          <w:spacing w:val="-4"/>
          <w:sz w:val="32"/>
        </w:rPr>
        <w:t>依据《事业单位登记管理暂行条例》，负责全区各类事业单位的登记管理工作。</w:t>
      </w:r>
    </w:p>
    <w:p>
      <w:pPr>
        <w:spacing w:line="600" w:lineRule="exact"/>
        <w:ind w:firstLine="640"/>
        <w:rPr>
          <w:rFonts w:ascii="仿宋_GB2312" w:hAnsi="仿宋_GB2312" w:eastAsia="仿宋_GB2312"/>
          <w:sz w:val="32"/>
        </w:rPr>
      </w:pPr>
      <w:r>
        <w:rPr>
          <w:rFonts w:hint="eastAsia" w:ascii="仿宋" w:hAnsi="仿宋" w:eastAsia="仿宋" w:cs="仿宋"/>
          <w:sz w:val="32"/>
        </w:rPr>
        <w:t>2.信阳市浉河区机构编制电子政务中心，承担中央编办、省编办和市编办委托的全区政务和公益专用中文域名的注册和管理，具体承办全区机构编制实名制动态管理及机构</w:t>
      </w:r>
      <w:r>
        <w:rPr>
          <w:rFonts w:hint="eastAsia" w:ascii="仿宋_GB2312" w:hAnsi="仿宋_GB2312" w:eastAsia="仿宋_GB2312"/>
          <w:sz w:val="32"/>
        </w:rPr>
        <w:t>编制统计、全区行政事业单位统发工资中的编制审核工作，负责机关门户网站建设、政务信息公开、电子政务和信息化建设等日常工作。</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val="en-US" w:eastAsia="zh-CN"/>
        </w:rPr>
        <w:t>二</w:t>
      </w:r>
      <w:r>
        <w:rPr>
          <w:rFonts w:hint="eastAsia" w:ascii="隶书" w:hAnsi="隶书" w:eastAsia="隶书" w:cs="隶书"/>
          <w:sz w:val="48"/>
          <w:szCs w:val="48"/>
        </w:rPr>
        <w:t>部分</w:t>
      </w:r>
    </w:p>
    <w:p>
      <w:pPr>
        <w:jc w:val="center"/>
        <w:rPr>
          <w:rFonts w:ascii="隶书" w:hAnsi="隶书" w:eastAsia="隶书" w:cs="隶书"/>
          <w:sz w:val="48"/>
          <w:szCs w:val="48"/>
        </w:rPr>
      </w:pPr>
      <w:r>
        <w:rPr>
          <w:rFonts w:hint="eastAsia" w:ascii="隶书" w:hAnsi="隶书" w:eastAsia="隶书" w:cs="隶书"/>
          <w:sz w:val="48"/>
          <w:szCs w:val="48"/>
        </w:rPr>
        <w:t>中共信阳市浉河区委机构编制</w:t>
      </w:r>
    </w:p>
    <w:p>
      <w:pPr>
        <w:jc w:val="center"/>
        <w:rPr>
          <w:rFonts w:ascii="隶书" w:hAnsi="隶书" w:eastAsia="隶书" w:cs="隶书"/>
          <w:sz w:val="48"/>
          <w:szCs w:val="48"/>
        </w:rPr>
      </w:pPr>
      <w:r>
        <w:rPr>
          <w:rFonts w:hint="eastAsia" w:ascii="隶书" w:hAnsi="隶书" w:eastAsia="隶书" w:cs="隶书"/>
          <w:sz w:val="48"/>
          <w:szCs w:val="48"/>
        </w:rPr>
        <w:t>委员会办公室</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2018年度部门决算情况说明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widowControl/>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2018年度收入、支出总计均为201.98万元，与2017年相比，收、支总计均增加38.28万元，增长20.9%。增加原因是因机关事业单位养老保险改革中人结算，补缴养老保险和职业年金，另外单位办公用房搬迁及改造。</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2018年度</w:t>
      </w:r>
      <w:r>
        <w:rPr>
          <w:rFonts w:hint="eastAsia" w:ascii="仿宋_GB2312" w:hAnsi="Times New Roman" w:eastAsia="仿宋_GB2312"/>
          <w:sz w:val="32"/>
          <w:szCs w:val="32"/>
        </w:rPr>
        <w:t>收入合计201.98万元，其中：财政拨款收入201.98万元，占1</w:t>
      </w:r>
      <w:r>
        <w:rPr>
          <w:rFonts w:ascii="仿宋_GB2312" w:hAnsi="Times New Roman" w:eastAsia="仿宋_GB2312"/>
          <w:sz w:val="32"/>
          <w:szCs w:val="32"/>
        </w:rPr>
        <w:t>00%</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2018年度支出合计198.04万元，其中：基本支出198.04万元，占1</w:t>
      </w:r>
      <w:r>
        <w:rPr>
          <w:rFonts w:ascii="仿宋_GB2312" w:hAnsi="宋体" w:eastAsia="仿宋_GB2312" w:cs="Courier New"/>
          <w:sz w:val="32"/>
          <w:szCs w:val="32"/>
        </w:rPr>
        <w:t>00%</w:t>
      </w:r>
      <w:r>
        <w:rPr>
          <w:rFonts w:hint="eastAsia" w:ascii="仿宋_GB2312" w:hAnsi="宋体" w:eastAsia="仿宋_GB2312" w:cs="Courier New"/>
          <w:sz w:val="32"/>
          <w:szCs w:val="32"/>
        </w:rPr>
        <w:t>；项目支出0万元，占0%；经营支出0万元，占0%。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widowControl/>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2018年财政拨款收支总计均为201.98万元，与2017年相比，收、支总计均增加38.28万元，增长20.9%。增加原因是因机关事业单位养老保险改革中人结算，补缴养老保险和职业年金，另外单位办公用房搬迁及改造。</w:t>
      </w:r>
      <w:bookmarkStart w:id="0" w:name="_GoBack"/>
      <w:bookmarkEnd w:id="0"/>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2018年一般公共预算财政拨款支出198.04万元，占支出合计的1</w:t>
      </w:r>
      <w:r>
        <w:rPr>
          <w:rFonts w:ascii="仿宋_GB2312" w:hAnsi="宋体" w:eastAsia="仿宋_GB2312" w:cs="Courier New"/>
          <w:sz w:val="32"/>
          <w:szCs w:val="32"/>
        </w:rPr>
        <w:t>00</w:t>
      </w:r>
      <w:r>
        <w:rPr>
          <w:rFonts w:hint="eastAsia" w:ascii="仿宋_GB2312" w:hAnsi="宋体" w:eastAsia="仿宋_GB2312" w:cs="Courier New"/>
          <w:sz w:val="32"/>
          <w:szCs w:val="32"/>
        </w:rPr>
        <w:t>%。与2017年相比，一般公共预算财政拨款支出增加34.3万元，增长20.9%。</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2018年度一般公共预算财政拨款支出198.04万元，主要用于以下方面：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支出154.88万元，占78.21%；</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支出35.16万元，占17.75%；</w:t>
      </w:r>
      <w:r>
        <w:rPr>
          <w:rFonts w:hint="eastAsia" w:ascii="仿宋_GB2312" w:hAnsi="宋体" w:eastAsia="仿宋_GB2312" w:cs="Courier New"/>
          <w:b/>
          <w:bCs/>
          <w:sz w:val="32"/>
          <w:szCs w:val="32"/>
        </w:rPr>
        <w:t>住房保障（类）</w:t>
      </w:r>
      <w:r>
        <w:rPr>
          <w:rFonts w:hint="eastAsia" w:ascii="仿宋_GB2312" w:hAnsi="宋体" w:eastAsia="仿宋_GB2312" w:cs="Courier New"/>
          <w:sz w:val="32"/>
          <w:szCs w:val="32"/>
        </w:rPr>
        <w:t>支出8.00万元，占4.04%；</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2018年度一般公共预算财政拨款支出年初预算为1</w:t>
      </w:r>
      <w:r>
        <w:rPr>
          <w:rFonts w:ascii="仿宋_GB2312" w:hAnsi="宋体" w:eastAsia="仿宋_GB2312" w:cs="Courier New"/>
          <w:sz w:val="32"/>
          <w:szCs w:val="32"/>
        </w:rPr>
        <w:t>66.7</w:t>
      </w:r>
      <w:r>
        <w:rPr>
          <w:rFonts w:hint="eastAsia" w:ascii="仿宋_GB2312" w:hAnsi="宋体" w:eastAsia="仿宋_GB2312" w:cs="Courier New"/>
          <w:sz w:val="32"/>
          <w:szCs w:val="32"/>
        </w:rPr>
        <w:t>万元，支出决算为198.04万元，完成年初预算的118.7%。</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一般公共服务（类）人力资源事务（款）行政运行（项）。</w:t>
      </w:r>
      <w:r>
        <w:rPr>
          <w:rFonts w:hint="eastAsia" w:ascii="仿宋_GB2312" w:hAnsi="宋体" w:eastAsia="仿宋_GB2312" w:cs="Courier New"/>
          <w:sz w:val="32"/>
          <w:szCs w:val="32"/>
        </w:rPr>
        <w:t>年初预算为101.28万元，支出决算为132.62万元，完成年初预算的131%。决算数大于预算数的主要原因是人员</w:t>
      </w:r>
      <w:r>
        <w:rPr>
          <w:rFonts w:ascii="仿宋_GB2312" w:hAnsi="宋体" w:eastAsia="仿宋_GB2312" w:cs="Courier New"/>
          <w:sz w:val="32"/>
          <w:szCs w:val="32"/>
        </w:rPr>
        <w:t>工资调整</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一般公共服务（类）人力资源事务（款）事业运行（项）。</w:t>
      </w:r>
      <w:r>
        <w:rPr>
          <w:rFonts w:hint="eastAsia" w:ascii="仿宋_GB2312" w:hAnsi="宋体" w:eastAsia="仿宋_GB2312" w:cs="Courier New"/>
          <w:sz w:val="32"/>
          <w:szCs w:val="32"/>
        </w:rPr>
        <w:t>年初预算为3.3万元，支出决算为3.3万元，完成年初预算的10</w:t>
      </w:r>
      <w:r>
        <w:rPr>
          <w:rFonts w:ascii="仿宋_GB2312" w:hAnsi="宋体" w:eastAsia="仿宋_GB2312" w:cs="Courier New"/>
          <w:sz w:val="32"/>
          <w:szCs w:val="32"/>
        </w:rPr>
        <w:t>0%</w:t>
      </w:r>
      <w:r>
        <w:rPr>
          <w:rFonts w:hint="eastAsia" w:ascii="仿宋_GB2312" w:hAnsi="宋体" w:eastAsia="仿宋_GB2312" w:cs="Courier New"/>
          <w:sz w:val="32"/>
          <w:szCs w:val="32"/>
        </w:rPr>
        <w:t>，</w:t>
      </w:r>
      <w:r>
        <w:rPr>
          <w:rFonts w:hint="eastAsia" w:ascii="仿宋_GB2312" w:eastAsia="仿宋_GB2312"/>
          <w:sz w:val="32"/>
          <w:szCs w:val="32"/>
        </w:rPr>
        <w:t>决算数与年初预算数不存在差异。</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一般公共服务（类）人力资源事务（款）其他人力资源事务支出（项）。</w:t>
      </w:r>
      <w:r>
        <w:rPr>
          <w:rFonts w:hint="eastAsia" w:ascii="仿宋_GB2312" w:hAnsi="宋体" w:eastAsia="仿宋_GB2312" w:cs="Courier New"/>
          <w:sz w:val="32"/>
          <w:szCs w:val="32"/>
        </w:rPr>
        <w:t>年初预算为18.96万元，支出决算为18.96万元，完成年初预算的10</w:t>
      </w:r>
      <w:r>
        <w:rPr>
          <w:rFonts w:ascii="仿宋_GB2312" w:hAnsi="宋体" w:eastAsia="仿宋_GB2312" w:cs="Courier New"/>
          <w:sz w:val="32"/>
          <w:szCs w:val="32"/>
        </w:rPr>
        <w:t>0%</w:t>
      </w:r>
      <w:r>
        <w:rPr>
          <w:rFonts w:hint="eastAsia" w:ascii="仿宋_GB2312" w:hAnsi="宋体" w:eastAsia="仿宋_GB2312" w:cs="Courier New"/>
          <w:sz w:val="32"/>
          <w:szCs w:val="32"/>
        </w:rPr>
        <w:t>，</w:t>
      </w:r>
      <w:r>
        <w:rPr>
          <w:rFonts w:hint="eastAsia" w:ascii="仿宋_GB2312" w:eastAsia="仿宋_GB2312"/>
          <w:sz w:val="32"/>
          <w:szCs w:val="32"/>
        </w:rPr>
        <w:t>决算数与年初预算数不存在差异。</w:t>
      </w:r>
    </w:p>
    <w:p>
      <w:pPr>
        <w:numPr>
          <w:ilvl w:val="0"/>
          <w:numId w:val="8"/>
        </w:numPr>
        <w:adjustRightInd w:val="0"/>
        <w:snapToGrid w:val="0"/>
        <w:spacing w:line="360" w:lineRule="auto"/>
        <w:ind w:firstLine="640" w:firstLineChars="200"/>
        <w:rPr>
          <w:rFonts w:ascii="仿宋_GB2312" w:hAnsi="宋体" w:eastAsia="仿宋_GB2312" w:cs="Courier New"/>
          <w:sz w:val="32"/>
          <w:szCs w:val="32"/>
        </w:rPr>
      </w:pPr>
      <w:r>
        <w:rPr>
          <w:rFonts w:hint="eastAsia" w:ascii="仿宋" w:hAnsi="仿宋" w:eastAsia="仿宋" w:cs="仿宋"/>
          <w:sz w:val="32"/>
          <w:szCs w:val="32"/>
          <w:shd w:val="clear" w:color="auto" w:fill="FFFFFF"/>
        </w:rPr>
        <w:t>社会保障和就业支出</w:t>
      </w:r>
      <w:r>
        <w:rPr>
          <w:rFonts w:hint="eastAsia" w:ascii="仿宋_GB2312" w:eastAsia="仿宋_GB2312"/>
          <w:b/>
          <w:bCs/>
          <w:sz w:val="32"/>
          <w:szCs w:val="32"/>
        </w:rPr>
        <w:t>（类）行政事业单位离退休（款）机关事业单位基本养老保险缴费支出（项）。</w:t>
      </w:r>
      <w:r>
        <w:rPr>
          <w:rFonts w:hint="eastAsia" w:ascii="仿宋_GB2312" w:eastAsia="仿宋_GB2312"/>
          <w:sz w:val="32"/>
          <w:szCs w:val="32"/>
        </w:rPr>
        <w:t>年初预算为27.04万元，支出决算为27.04万元，完成年初预算的100%，决算数与年初预算数不存在差异。</w:t>
      </w:r>
    </w:p>
    <w:p>
      <w:pPr>
        <w:numPr>
          <w:ilvl w:val="0"/>
          <w:numId w:val="8"/>
        </w:numPr>
        <w:adjustRightInd w:val="0"/>
        <w:snapToGrid w:val="0"/>
        <w:spacing w:line="360" w:lineRule="auto"/>
        <w:ind w:firstLine="640" w:firstLineChars="200"/>
        <w:rPr>
          <w:rFonts w:ascii="仿宋_GB2312" w:hAnsi="宋体" w:eastAsia="仿宋_GB2312" w:cs="Courier New"/>
          <w:sz w:val="32"/>
          <w:szCs w:val="32"/>
        </w:rPr>
      </w:pPr>
      <w:r>
        <w:rPr>
          <w:rFonts w:hint="eastAsia" w:ascii="仿宋" w:hAnsi="仿宋" w:eastAsia="仿宋" w:cs="仿宋"/>
          <w:sz w:val="32"/>
          <w:szCs w:val="32"/>
          <w:shd w:val="clear" w:color="auto" w:fill="FFFFFF"/>
        </w:rPr>
        <w:t>社会保障和就业支出</w:t>
      </w:r>
      <w:r>
        <w:rPr>
          <w:rFonts w:hint="eastAsia" w:ascii="仿宋_GB2312" w:eastAsia="仿宋_GB2312"/>
          <w:b/>
          <w:bCs/>
          <w:sz w:val="32"/>
          <w:szCs w:val="32"/>
        </w:rPr>
        <w:t>（类）行政事业单位离退休（款）机关事业单位基职业年金缴费支出（项）。</w:t>
      </w:r>
      <w:r>
        <w:rPr>
          <w:rFonts w:hint="eastAsia" w:ascii="仿宋_GB2312" w:eastAsia="仿宋_GB2312"/>
          <w:sz w:val="32"/>
          <w:szCs w:val="32"/>
        </w:rPr>
        <w:t>年初预算为3.01万元，支出决算为3.01万元，完成年初预算的100%，决算数与年初预算数不存在差异。</w:t>
      </w:r>
    </w:p>
    <w:p>
      <w:pPr>
        <w:numPr>
          <w:ilvl w:val="0"/>
          <w:numId w:val="8"/>
        </w:numPr>
        <w:adjustRightInd w:val="0"/>
        <w:snapToGrid w:val="0"/>
        <w:spacing w:line="360" w:lineRule="auto"/>
        <w:ind w:firstLine="640" w:firstLineChars="200"/>
        <w:rPr>
          <w:rFonts w:ascii="仿宋_GB2312" w:hAnsi="宋体" w:eastAsia="仿宋_GB2312" w:cs="Courier New"/>
          <w:sz w:val="32"/>
          <w:szCs w:val="32"/>
        </w:rPr>
      </w:pPr>
      <w:r>
        <w:rPr>
          <w:rFonts w:hint="eastAsia" w:ascii="仿宋" w:hAnsi="仿宋" w:eastAsia="仿宋" w:cs="仿宋"/>
          <w:sz w:val="32"/>
          <w:szCs w:val="32"/>
          <w:shd w:val="clear" w:color="auto" w:fill="FFFFFF"/>
        </w:rPr>
        <w:t>社会保障和就业支出</w:t>
      </w:r>
      <w:r>
        <w:rPr>
          <w:rFonts w:hint="eastAsia" w:ascii="仿宋_GB2312" w:eastAsia="仿宋_GB2312"/>
          <w:b/>
          <w:bCs/>
          <w:sz w:val="32"/>
          <w:szCs w:val="32"/>
        </w:rPr>
        <w:t>（类）行政事业单位离退休（款）其他行政事业单位离退休支出（项）。</w:t>
      </w:r>
      <w:r>
        <w:rPr>
          <w:rFonts w:hint="eastAsia" w:ascii="仿宋_GB2312" w:eastAsia="仿宋_GB2312"/>
          <w:sz w:val="32"/>
          <w:szCs w:val="32"/>
        </w:rPr>
        <w:t>年初预算为5.11万元，支出决算为5.11万元，完成年初预算的100%，决算数与年初预算数不存在差异。</w:t>
      </w:r>
    </w:p>
    <w:p>
      <w:pPr>
        <w:numPr>
          <w:ilvl w:val="0"/>
          <w:numId w:val="8"/>
        </w:numPr>
        <w:adjustRightInd w:val="0"/>
        <w:snapToGrid w:val="0"/>
        <w:spacing w:line="360" w:lineRule="auto"/>
        <w:ind w:firstLine="640" w:firstLineChars="200"/>
        <w:rPr>
          <w:rFonts w:ascii="仿宋_GB2312" w:hAnsi="宋体" w:eastAsia="仿宋_GB2312" w:cs="Courier New"/>
          <w:sz w:val="32"/>
          <w:szCs w:val="32"/>
        </w:rPr>
      </w:pPr>
      <w:r>
        <w:rPr>
          <w:rFonts w:hint="eastAsia" w:ascii="仿宋" w:hAnsi="仿宋" w:eastAsia="仿宋" w:cs="仿宋"/>
          <w:sz w:val="32"/>
          <w:szCs w:val="32"/>
          <w:shd w:val="clear" w:color="auto" w:fill="FFFFFF"/>
        </w:rPr>
        <w:t>住房保障支出</w:t>
      </w:r>
      <w:r>
        <w:rPr>
          <w:rFonts w:hint="eastAsia" w:ascii="仿宋_GB2312" w:eastAsia="仿宋_GB2312"/>
          <w:b/>
          <w:bCs/>
          <w:sz w:val="32"/>
          <w:szCs w:val="32"/>
        </w:rPr>
        <w:t>（类）住房改革支出（款)住房公积金（项）。</w:t>
      </w:r>
      <w:r>
        <w:rPr>
          <w:rFonts w:hint="eastAsia" w:ascii="仿宋_GB2312" w:eastAsia="仿宋_GB2312"/>
          <w:sz w:val="32"/>
          <w:szCs w:val="32"/>
        </w:rPr>
        <w:t>年初预算为8万元，支出决算为8万元，完成年初预算的100%。决算数与年初预算数不存在差异。</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2018年一般公共预算财政拨款基本支出198.04</w:t>
      </w:r>
      <w:r>
        <w:rPr>
          <w:rFonts w:ascii="仿宋_GB2312" w:hAnsi="宋体" w:eastAsia="仿宋_GB2312" w:cs="Courier New"/>
          <w:sz w:val="32"/>
          <w:szCs w:val="32"/>
        </w:rPr>
        <w:t>万元。</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其中：</w:t>
      </w:r>
      <w:r>
        <w:rPr>
          <w:rFonts w:hint="eastAsia" w:ascii="仿宋_GB2312" w:hAnsi="Times New Roman" w:eastAsia="仿宋_GB2312" w:cs="仿宋_GB2312"/>
          <w:b/>
          <w:bCs w:val="0"/>
          <w:spacing w:val="-1"/>
          <w:kern w:val="0"/>
          <w:sz w:val="32"/>
          <w:szCs w:val="32"/>
        </w:rPr>
        <w:t>人员经费</w:t>
      </w:r>
      <w:r>
        <w:rPr>
          <w:rFonts w:hint="eastAsia" w:ascii="仿宋_GB2312" w:hAnsi="Times New Roman" w:eastAsia="仿宋_GB2312" w:cs="仿宋_GB2312"/>
          <w:bCs/>
          <w:spacing w:val="-1"/>
          <w:kern w:val="0"/>
          <w:sz w:val="32"/>
          <w:szCs w:val="32"/>
        </w:rPr>
        <w:t>155.09万元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42.95元</w:t>
      </w:r>
      <w:r>
        <w:rPr>
          <w:rFonts w:hint="eastAsia" w:ascii="仿宋_GB2312" w:hAnsi="宋体" w:eastAsia="仿宋_GB2312" w:cs="Courier New"/>
          <w:sz w:val="32"/>
          <w:szCs w:val="32"/>
        </w:rPr>
        <w:t>，主要包括：办公费、印刷费等。</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2018年度“三公”经费财政拨款支出预算为7.1万元，支出决算为2.25万元，完成预算的31.7%，其中：因公出国（境）费支出决算为0万元，完成预算的0%；公务用车购置及运行费支出决算为0万元，完成预算的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%；公务接待费支出决算为2.25万元，完成预算的31.7%。2018年度“三公”经费支出决算数小于预算数的主要原因是</w:t>
      </w:r>
      <w:r>
        <w:rPr>
          <w:rFonts w:ascii="仿宋_GB2312" w:hAnsi="宋体" w:eastAsia="仿宋_GB2312" w:cs="Courier New"/>
          <w:sz w:val="32"/>
          <w:szCs w:val="32"/>
        </w:rPr>
        <w:t>公务用车减少。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2018年度“三公”经费财政拨款支出决算数比2017年减少0.29万元，下降11</w:t>
      </w:r>
      <w:r>
        <w:rPr>
          <w:rFonts w:ascii="仿宋_GB2312" w:hAnsi="宋体" w:eastAsia="仿宋_GB2312" w:cs="Courier New"/>
          <w:sz w:val="32"/>
          <w:szCs w:val="32"/>
        </w:rPr>
        <w:t>%。</w:t>
      </w:r>
      <w:r>
        <w:rPr>
          <w:rFonts w:hint="eastAsia" w:ascii="仿宋_GB2312" w:hAnsi="宋体" w:eastAsia="仿宋_GB2312" w:cs="Courier New"/>
          <w:sz w:val="32"/>
          <w:szCs w:val="32"/>
        </w:rPr>
        <w:t>其中：因公出国（境）费支出决算增加0万元，增长0%；公务用车购置及运行费支出决算增加0万元，增长0%；公务接待费支出决算减少0.29万元，下降11%。公务接待费支出减少的主要原因是2</w:t>
      </w:r>
      <w:r>
        <w:rPr>
          <w:rFonts w:ascii="仿宋_GB2312" w:hAnsi="宋体" w:eastAsia="仿宋_GB2312" w:cs="Courier New"/>
          <w:sz w:val="32"/>
          <w:szCs w:val="32"/>
        </w:rPr>
        <w:t>01</w:t>
      </w:r>
      <w:r>
        <w:rPr>
          <w:rFonts w:hint="eastAsia" w:ascii="仿宋_GB2312" w:hAnsi="宋体" w:eastAsia="仿宋_GB2312" w:cs="Courier New"/>
          <w:sz w:val="32"/>
          <w:szCs w:val="32"/>
        </w:rPr>
        <w:t>8</w:t>
      </w:r>
      <w:r>
        <w:rPr>
          <w:rFonts w:ascii="仿宋_GB2312" w:hAnsi="宋体" w:eastAsia="仿宋_GB2312" w:cs="Courier New"/>
          <w:sz w:val="32"/>
          <w:szCs w:val="32"/>
        </w:rPr>
        <w:t>年接待任务减少。</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2018年度“三公”经费财政拨款支出决算中，因公出国（境）费支出决算0万元，完成预算</w:t>
      </w:r>
      <w:r>
        <w:rPr>
          <w:rFonts w:ascii="仿宋_GB2312" w:hAnsi="宋体" w:eastAsia="仿宋_GB2312" w:cs="Courier New"/>
          <w:sz w:val="32"/>
          <w:szCs w:val="32"/>
        </w:rPr>
        <w:t>的</w:t>
      </w:r>
      <w:r>
        <w:rPr>
          <w:rFonts w:hint="eastAsia" w:ascii="仿宋_GB2312" w:hAnsi="宋体" w:eastAsia="仿宋_GB2312" w:cs="Courier New"/>
          <w:sz w:val="32"/>
          <w:szCs w:val="32"/>
        </w:rPr>
        <w:t>0</w:t>
      </w:r>
      <w:r>
        <w:rPr>
          <w:rFonts w:ascii="仿宋_GB2312" w:hAnsi="宋体" w:eastAsia="仿宋_GB2312" w:cs="Courier New"/>
          <w:sz w:val="32"/>
          <w:szCs w:val="32"/>
        </w:rPr>
        <w:t>%，</w:t>
      </w:r>
      <w:r>
        <w:rPr>
          <w:rFonts w:hint="eastAsia" w:ascii="仿宋_GB2312" w:hAnsi="宋体" w:eastAsia="仿宋_GB2312" w:cs="Courier New"/>
          <w:sz w:val="32"/>
          <w:szCs w:val="32"/>
        </w:rPr>
        <w:t>占0%；公务用车购置及运行费支出决算0万元，完成预算</w:t>
      </w:r>
      <w:r>
        <w:rPr>
          <w:rFonts w:ascii="仿宋_GB2312" w:hAnsi="宋体" w:eastAsia="仿宋_GB2312" w:cs="Courier New"/>
          <w:sz w:val="32"/>
          <w:szCs w:val="32"/>
        </w:rPr>
        <w:t>的</w:t>
      </w:r>
      <w:r>
        <w:rPr>
          <w:rFonts w:hint="eastAsia" w:ascii="仿宋_GB2312" w:hAnsi="宋体" w:eastAsia="仿宋_GB2312" w:cs="Courier New"/>
          <w:sz w:val="32"/>
          <w:szCs w:val="32"/>
        </w:rPr>
        <w:t>0</w:t>
      </w:r>
      <w:r>
        <w:rPr>
          <w:rFonts w:ascii="仿宋_GB2312" w:hAnsi="宋体" w:eastAsia="仿宋_GB2312" w:cs="Courier New"/>
          <w:sz w:val="32"/>
          <w:szCs w:val="32"/>
        </w:rPr>
        <w:t>%，</w:t>
      </w:r>
      <w:r>
        <w:rPr>
          <w:rFonts w:hint="eastAsia" w:ascii="仿宋_GB2312" w:hAnsi="宋体" w:eastAsia="仿宋_GB2312" w:cs="Courier New"/>
          <w:sz w:val="32"/>
          <w:szCs w:val="32"/>
        </w:rPr>
        <w:t>占0%；公务接待费支出决算2.25万元，完成预算</w:t>
      </w:r>
      <w:r>
        <w:rPr>
          <w:rFonts w:ascii="仿宋_GB2312" w:hAnsi="宋体" w:eastAsia="仿宋_GB2312" w:cs="Courier New"/>
          <w:sz w:val="32"/>
          <w:szCs w:val="32"/>
        </w:rPr>
        <w:t>的31.7%，</w:t>
      </w:r>
      <w:r>
        <w:rPr>
          <w:rFonts w:hint="eastAsia" w:ascii="仿宋_GB2312" w:hAnsi="宋体" w:eastAsia="仿宋_GB2312" w:cs="Courier New"/>
          <w:sz w:val="32"/>
          <w:szCs w:val="32"/>
        </w:rPr>
        <w:t>占</w:t>
      </w:r>
      <w:r>
        <w:rPr>
          <w:rFonts w:ascii="仿宋_GB2312" w:hAnsi="宋体" w:eastAsia="仿宋_GB2312" w:cs="Courier New"/>
          <w:sz w:val="32"/>
          <w:szCs w:val="32"/>
        </w:rPr>
        <w:t>10</w:t>
      </w:r>
      <w:r>
        <w:rPr>
          <w:rFonts w:hint="eastAsia" w:ascii="仿宋_GB2312" w:hAnsi="宋体" w:eastAsia="仿宋_GB2312" w:cs="Courier New"/>
          <w:sz w:val="32"/>
          <w:szCs w:val="32"/>
        </w:rPr>
        <w:t>0%。具体情况如下：</w:t>
      </w:r>
    </w:p>
    <w:p>
      <w:pPr>
        <w:widowControl/>
        <w:spacing w:line="590" w:lineRule="exact"/>
        <w:ind w:firstLine="643" w:firstLineChars="200"/>
        <w:rPr>
          <w:rFonts w:hint="eastAsia" w:ascii="仿宋_GB2312" w:hAnsi="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年初预算为0万元，支出决算为0万元。全年因公出国（境）团组0个，累计0人次。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年初预算为0万元，支出决算为0万元。其中：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0万元。2018年期末，部门开支财政拨款的公务用车保有量为0辆。</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ascii="仿宋_GB2312" w:hAnsi="宋体" w:eastAsia="仿宋_GB2312" w:cs="Courier New"/>
          <w:b/>
          <w:bCs/>
          <w:sz w:val="32"/>
          <w:szCs w:val="32"/>
        </w:rPr>
        <w:t>3.</w:t>
      </w:r>
      <w:r>
        <w:rPr>
          <w:rFonts w:hint="eastAsia"/>
        </w:rPr>
        <w:t xml:space="preserve"> </w:t>
      </w:r>
      <w:r>
        <w:rPr>
          <w:rFonts w:hint="eastAsia" w:ascii="仿宋_GB2312" w:hAnsi="宋体" w:eastAsia="仿宋_GB2312" w:cs="Courier New"/>
          <w:b/>
          <w:bCs/>
          <w:sz w:val="32"/>
          <w:szCs w:val="32"/>
        </w:rPr>
        <w:t>公务接待费</w:t>
      </w:r>
      <w:r>
        <w:rPr>
          <w:rFonts w:hint="eastAsia" w:ascii="仿宋_GB2312" w:hAnsi="宋体" w:eastAsia="仿宋_GB2312" w:cs="Courier New"/>
          <w:bCs/>
          <w:sz w:val="32"/>
          <w:szCs w:val="32"/>
        </w:rPr>
        <w:t>年初预算为</w:t>
      </w:r>
      <w:r>
        <w:rPr>
          <w:rFonts w:ascii="仿宋_GB2312" w:hAnsi="宋体" w:eastAsia="仿宋_GB2312" w:cs="Courier New"/>
          <w:bCs/>
          <w:sz w:val="32"/>
          <w:szCs w:val="32"/>
        </w:rPr>
        <w:t>7.1</w:t>
      </w:r>
      <w:r>
        <w:rPr>
          <w:rFonts w:hint="eastAsia" w:ascii="仿宋_GB2312" w:hAnsi="宋体" w:eastAsia="仿宋_GB2312" w:cs="Courier New"/>
          <w:bCs/>
          <w:sz w:val="32"/>
          <w:szCs w:val="32"/>
        </w:rPr>
        <w:t>万元，支出决算为</w:t>
      </w:r>
      <w:r>
        <w:rPr>
          <w:rFonts w:ascii="仿宋_GB2312" w:hAnsi="宋体" w:eastAsia="仿宋_GB2312" w:cs="Courier New"/>
          <w:bCs/>
          <w:sz w:val="32"/>
          <w:szCs w:val="32"/>
        </w:rPr>
        <w:t>2.25</w:t>
      </w:r>
      <w:r>
        <w:rPr>
          <w:rFonts w:hint="eastAsia" w:ascii="仿宋_GB2312" w:hAnsi="宋体" w:eastAsia="仿宋_GB2312" w:cs="Courier New"/>
          <w:bCs/>
          <w:sz w:val="32"/>
          <w:szCs w:val="32"/>
        </w:rPr>
        <w:t>万元，完成年初预算的</w:t>
      </w:r>
      <w:r>
        <w:rPr>
          <w:rFonts w:ascii="仿宋_GB2312" w:hAnsi="宋体" w:eastAsia="仿宋_GB2312" w:cs="Courier New"/>
          <w:bCs/>
          <w:sz w:val="32"/>
          <w:szCs w:val="32"/>
        </w:rPr>
        <w:t>31.7</w:t>
      </w:r>
      <w:r>
        <w:rPr>
          <w:rFonts w:hint="eastAsia" w:ascii="仿宋_GB2312" w:hAnsi="宋体" w:eastAsia="仿宋_GB2312" w:cs="Courier New"/>
          <w:bCs/>
          <w:sz w:val="32"/>
          <w:szCs w:val="32"/>
        </w:rPr>
        <w:t>%</w:t>
      </w:r>
      <w:r>
        <w:rPr>
          <w:rFonts w:hint="eastAsia" w:ascii="仿宋_GB2312" w:hAnsi="宋体" w:eastAsia="仿宋_GB2312" w:cs="Courier New"/>
          <w:b/>
          <w:bCs/>
          <w:sz w:val="32"/>
          <w:szCs w:val="32"/>
        </w:rPr>
        <w:t>。</w:t>
      </w:r>
      <w:r>
        <w:rPr>
          <w:rFonts w:hint="eastAsia" w:ascii="仿宋_GB2312" w:hAnsi="宋体" w:eastAsia="仿宋_GB2312" w:cs="Courier New"/>
          <w:bCs/>
          <w:sz w:val="32"/>
          <w:szCs w:val="32"/>
        </w:rPr>
        <w:t>其中：</w:t>
      </w:r>
      <w:r>
        <w:rPr>
          <w:rFonts w:ascii="仿宋_GB2312" w:hAnsi="宋体" w:eastAsia="仿宋_GB2312" w:cs="Courier New"/>
          <w:b/>
          <w:bCs/>
          <w:sz w:val="32"/>
          <w:szCs w:val="32"/>
        </w:rPr>
        <w:t xml:space="preserve"> </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支出为0万元。浉河区机构编制委员会办公室2018年度共接待国（境）外来访团组0个、来访外宾0人次（不包括陪同人员）。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支出为2.25万元。主要用于</w:t>
      </w:r>
      <w:r>
        <w:rPr>
          <w:rFonts w:ascii="仿宋_GB2312" w:hAnsi="宋体" w:eastAsia="仿宋_GB2312" w:cs="Courier New"/>
          <w:sz w:val="32"/>
          <w:szCs w:val="32"/>
        </w:rPr>
        <w:t>一般公务接待</w:t>
      </w:r>
      <w:r>
        <w:rPr>
          <w:rFonts w:hint="eastAsia" w:ascii="仿宋_GB2312" w:hAnsi="宋体" w:eastAsia="仿宋_GB2312" w:cs="Courier New"/>
          <w:sz w:val="32"/>
          <w:szCs w:val="32"/>
        </w:rPr>
        <w:t>。2018年度共接待国内来访团组5</w:t>
      </w:r>
      <w:r>
        <w:rPr>
          <w:rFonts w:ascii="仿宋_GB2312" w:hAnsi="宋体" w:eastAsia="仿宋_GB2312" w:cs="Courier New"/>
          <w:sz w:val="32"/>
          <w:szCs w:val="32"/>
        </w:rPr>
        <w:t>0</w:t>
      </w:r>
      <w:r>
        <w:rPr>
          <w:rFonts w:hint="eastAsia" w:ascii="仿宋_GB2312" w:hAnsi="宋体" w:eastAsia="仿宋_GB2312" w:cs="Courier New"/>
          <w:sz w:val="32"/>
          <w:szCs w:val="32"/>
        </w:rPr>
        <w:t>个、</w:t>
      </w:r>
      <w:r>
        <w:rPr>
          <w:rFonts w:ascii="仿宋_GB2312" w:hAnsi="宋体" w:eastAsia="仿宋_GB2312" w:cs="Courier New"/>
          <w:sz w:val="32"/>
          <w:szCs w:val="32"/>
        </w:rPr>
        <w:t>接待</w:t>
      </w:r>
      <w:r>
        <w:rPr>
          <w:rFonts w:hint="eastAsia" w:ascii="仿宋_GB2312" w:hAnsi="宋体" w:eastAsia="仿宋_GB2312" w:cs="Courier New"/>
          <w:sz w:val="32"/>
          <w:szCs w:val="32"/>
        </w:rPr>
        <w:t>4</w:t>
      </w:r>
      <w:r>
        <w:rPr>
          <w:rFonts w:ascii="仿宋_GB2312" w:hAnsi="宋体" w:eastAsia="仿宋_GB2312" w:cs="Courier New"/>
          <w:sz w:val="32"/>
          <w:szCs w:val="32"/>
        </w:rPr>
        <w:t>00人次。</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left="420" w:leftChars="20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ascii="仿宋_GB2312" w:hAnsi="宋体" w:eastAsia="仿宋_GB2312" w:cs="Courier New"/>
          <w:sz w:val="32"/>
          <w:szCs w:val="32"/>
        </w:rPr>
        <w:t>浉河区机构编制委员会办公室</w:t>
      </w:r>
      <w:r>
        <w:rPr>
          <w:rFonts w:hint="eastAsia" w:ascii="仿宋_GB2312" w:hAnsi="宋体" w:eastAsia="仿宋_GB2312" w:cs="Courier New"/>
          <w:sz w:val="32"/>
          <w:szCs w:val="32"/>
        </w:rPr>
        <w:t>对2018年度一般公共预算项目支出全面开展绩效自评。其中，一级项目0个，二级项目0个，共涉及预算资金0万元。</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2018年度政府性基金预算财政拨款支出年初预算为0万元，支出决算为0万元。</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2018年度机关运行经费支出42.9万元，比2017年减少23万元，下降34.9</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pStyle w:val="5"/>
        <w:spacing w:before="0" w:beforeAutospacing="0"/>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color w:val="auto"/>
          <w:sz w:val="32"/>
          <w:szCs w:val="32"/>
        </w:rPr>
        <w:t>一般公共服务（类）财政事务（款）行政运行（项）（请根据单位实际情况，参照《2017年政府收支分类科目》和对口中央部门决算公开信息填写）：</w:t>
      </w:r>
      <w:r>
        <w:rPr>
          <w:rFonts w:hint="eastAsia" w:ascii="仿宋_GB2312" w:hAnsi="宋体" w:eastAsia="仿宋_GB2312" w:cs="Courier New"/>
          <w:sz w:val="32"/>
          <w:szCs w:val="32"/>
        </w:rPr>
        <w:t>是指ＸＸ厅（局）用于保障机构正常运行、开展日常工作的基本支出。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10">
    <w:nsid w:val="5A1E79B4"/>
    <w:multiLevelType w:val="multilevel"/>
    <w:tmpl w:val="5A1E79B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F12"/>
    <w:rsid w:val="0007540B"/>
    <w:rsid w:val="000B6038"/>
    <w:rsid w:val="000E3099"/>
    <w:rsid w:val="00172A27"/>
    <w:rsid w:val="001B48A4"/>
    <w:rsid w:val="002C3AFE"/>
    <w:rsid w:val="002E2BF2"/>
    <w:rsid w:val="00317991"/>
    <w:rsid w:val="003C00BA"/>
    <w:rsid w:val="003D146A"/>
    <w:rsid w:val="00575532"/>
    <w:rsid w:val="006017A8"/>
    <w:rsid w:val="00630D31"/>
    <w:rsid w:val="006C559A"/>
    <w:rsid w:val="00783862"/>
    <w:rsid w:val="00973967"/>
    <w:rsid w:val="009843AC"/>
    <w:rsid w:val="009A1E52"/>
    <w:rsid w:val="00B54309"/>
    <w:rsid w:val="00B84FB0"/>
    <w:rsid w:val="00B9073E"/>
    <w:rsid w:val="00B91A90"/>
    <w:rsid w:val="00C355BB"/>
    <w:rsid w:val="00C861E1"/>
    <w:rsid w:val="00E30F57"/>
    <w:rsid w:val="00E55452"/>
    <w:rsid w:val="00E66A06"/>
    <w:rsid w:val="00EC57A9"/>
    <w:rsid w:val="00EE0BEE"/>
    <w:rsid w:val="00EE693F"/>
    <w:rsid w:val="00F93487"/>
    <w:rsid w:val="01064770"/>
    <w:rsid w:val="04453648"/>
    <w:rsid w:val="0459505C"/>
    <w:rsid w:val="08A56FFF"/>
    <w:rsid w:val="09BB2134"/>
    <w:rsid w:val="0A254527"/>
    <w:rsid w:val="119E7EBC"/>
    <w:rsid w:val="13DA4090"/>
    <w:rsid w:val="147D590A"/>
    <w:rsid w:val="15492582"/>
    <w:rsid w:val="1BB26345"/>
    <w:rsid w:val="1E7D3B34"/>
    <w:rsid w:val="1E8E1F69"/>
    <w:rsid w:val="205474B1"/>
    <w:rsid w:val="209C4FF0"/>
    <w:rsid w:val="221C0B81"/>
    <w:rsid w:val="238D74FC"/>
    <w:rsid w:val="24123BC3"/>
    <w:rsid w:val="25124354"/>
    <w:rsid w:val="258F34D6"/>
    <w:rsid w:val="26CF12EF"/>
    <w:rsid w:val="29BD6A9F"/>
    <w:rsid w:val="2BA4769A"/>
    <w:rsid w:val="2CD06EF4"/>
    <w:rsid w:val="31495C86"/>
    <w:rsid w:val="323E2903"/>
    <w:rsid w:val="32EF40CE"/>
    <w:rsid w:val="360B4AA3"/>
    <w:rsid w:val="360C3202"/>
    <w:rsid w:val="372974AC"/>
    <w:rsid w:val="38741483"/>
    <w:rsid w:val="391E68F7"/>
    <w:rsid w:val="3B684EC4"/>
    <w:rsid w:val="3CE47224"/>
    <w:rsid w:val="42271DDB"/>
    <w:rsid w:val="427D5650"/>
    <w:rsid w:val="44396708"/>
    <w:rsid w:val="44C800C6"/>
    <w:rsid w:val="48036E61"/>
    <w:rsid w:val="487475E7"/>
    <w:rsid w:val="48B52937"/>
    <w:rsid w:val="48EE3EF3"/>
    <w:rsid w:val="495173BC"/>
    <w:rsid w:val="4C1E2F28"/>
    <w:rsid w:val="4D1C2AF9"/>
    <w:rsid w:val="51AD42DE"/>
    <w:rsid w:val="53E9756D"/>
    <w:rsid w:val="5651051D"/>
    <w:rsid w:val="57BB5F84"/>
    <w:rsid w:val="57E961A8"/>
    <w:rsid w:val="581E77CF"/>
    <w:rsid w:val="58B06254"/>
    <w:rsid w:val="59E3092F"/>
    <w:rsid w:val="5AF25131"/>
    <w:rsid w:val="5E3A0608"/>
    <w:rsid w:val="5F3A0145"/>
    <w:rsid w:val="600176AC"/>
    <w:rsid w:val="627358F6"/>
    <w:rsid w:val="6431638A"/>
    <w:rsid w:val="664A46E0"/>
    <w:rsid w:val="674E08EC"/>
    <w:rsid w:val="68B64CFD"/>
    <w:rsid w:val="6A2415C4"/>
    <w:rsid w:val="6AE34005"/>
    <w:rsid w:val="6C2F3976"/>
    <w:rsid w:val="6F7A66F9"/>
    <w:rsid w:val="71F20C39"/>
    <w:rsid w:val="737A5BE5"/>
    <w:rsid w:val="73F1196C"/>
    <w:rsid w:val="75531EF6"/>
    <w:rsid w:val="75D0003D"/>
    <w:rsid w:val="779E3F57"/>
    <w:rsid w:val="793E32B1"/>
    <w:rsid w:val="79960645"/>
    <w:rsid w:val="7CCC3CAC"/>
    <w:rsid w:val="7D0D382E"/>
    <w:rsid w:val="7ED76097"/>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font31"/>
    <w:basedOn w:val="7"/>
    <w:qFormat/>
    <w:uiPriority w:val="0"/>
    <w:rPr>
      <w:rFonts w:ascii="Arial" w:hAnsi="Arial" w:cs="Arial"/>
      <w:color w:val="000000"/>
      <w:sz w:val="16"/>
      <w:szCs w:val="16"/>
      <w:u w:val="none"/>
    </w:rPr>
  </w:style>
  <w:style w:type="character" w:customStyle="1" w:styleId="9">
    <w:name w:val="font01"/>
    <w:basedOn w:val="7"/>
    <w:qFormat/>
    <w:uiPriority w:val="0"/>
    <w:rPr>
      <w:rFonts w:hint="default" w:ascii="Arial" w:hAnsi="Arial" w:cs="Arial"/>
      <w:color w:val="000000"/>
      <w:sz w:val="16"/>
      <w:szCs w:val="16"/>
      <w:u w:val="none"/>
    </w:rPr>
  </w:style>
  <w:style w:type="character" w:customStyle="1" w:styleId="10">
    <w:name w:val="font41"/>
    <w:basedOn w:val="7"/>
    <w:qFormat/>
    <w:uiPriority w:val="0"/>
    <w:rPr>
      <w:rFonts w:hint="eastAsia" w:ascii="宋体" w:hAnsi="宋体" w:eastAsia="宋体" w:cs="宋体"/>
      <w:color w:val="000000"/>
      <w:sz w:val="16"/>
      <w:szCs w:val="16"/>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1041</Words>
  <Characters>5937</Characters>
  <Lines>49</Lines>
  <Paragraphs>13</Paragraphs>
  <TotalTime>0</TotalTime>
  <ScaleCrop>false</ScaleCrop>
  <LinksUpToDate>false</LinksUpToDate>
  <CharactersWithSpaces>6965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2018-09-28T08:20:00Z</dcterms:created>
  <dc:creator>wsj</dc:creator>
  <cp:lastModifiedBy>棒棒糖</cp:lastModifiedBy>
  <cp:lastPrinted>2017-07-25T02:47:00Z</cp:lastPrinted>
  <dcterms:modified xsi:type="dcterms:W3CDTF">2021-06-19T08:49:17Z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45E15332BE234EC2A970BB77FE43199B</vt:lpwstr>
  </property>
</Properties>
</file>