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2018年度</w:t>
      </w: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信阳市浉河区总工会</w:t>
      </w: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pPr>
      <w:r>
        <w:rPr>
          <w:rFonts w:hint="eastAsia" w:ascii="黑体" w:hAnsi="黑体" w:eastAsia="黑体" w:cs="黑体"/>
          <w:sz w:val="32"/>
          <w:szCs w:val="32"/>
        </w:rPr>
        <w:t>二〇一九年</w:t>
      </w:r>
      <w:r>
        <w:rPr>
          <w:rFonts w:hint="eastAsia" w:ascii="黑体" w:hAnsi="黑体" w:eastAsia="黑体" w:cs="黑体"/>
          <w:color w:val="auto"/>
          <w:sz w:val="32"/>
          <w:szCs w:val="32"/>
          <w:highlight w:val="none"/>
          <w:lang w:eastAsia="zh-CN"/>
        </w:rPr>
        <w:t>九</w:t>
      </w:r>
      <w:r>
        <w:rPr>
          <w:rFonts w:hint="eastAsia" w:ascii="黑体" w:hAnsi="黑体" w:eastAsia="黑体" w:cs="黑体"/>
          <w:sz w:val="32"/>
          <w:szCs w:val="32"/>
        </w:rPr>
        <w:t>月</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hint="eastAsia" w:ascii="黑体" w:hAnsi="黑体" w:eastAsia="黑体" w:cs="黑体"/>
          <w:sz w:val="32"/>
          <w:szCs w:val="32"/>
          <w:lang w:val="en-US" w:eastAsia="zh-CN"/>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信阳市浉河区总工会</w:t>
      </w:r>
      <w:r>
        <w:rPr>
          <w:rFonts w:hint="eastAsia" w:ascii="黑体" w:hAnsi="黑体" w:eastAsia="黑体" w:cs="黑体"/>
          <w:sz w:val="32"/>
          <w:szCs w:val="32"/>
        </w:rPr>
        <w:t>概</w:t>
      </w:r>
      <w:r>
        <w:rPr>
          <w:rFonts w:hint="eastAsia" w:ascii="黑体" w:hAnsi="黑体" w:eastAsia="黑体" w:cs="黑体"/>
          <w:sz w:val="32"/>
          <w:szCs w:val="32"/>
          <w:lang w:val="en-US" w:eastAsia="zh-CN"/>
        </w:rPr>
        <w:t>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部分　　2018年度部门决算情况说明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lang w:val="en-US" w:eastAsia="zh-CN"/>
        </w:rPr>
      </w:pPr>
      <w:r>
        <w:rPr>
          <w:rFonts w:hint="eastAsia" w:ascii="宋体" w:hAnsi="宋体" w:cs="宋体"/>
          <w:sz w:val="32"/>
          <w:szCs w:val="32"/>
        </w:rPr>
        <w:t>九、政府性基金预算财政拨款支出决算情况说</w:t>
      </w:r>
      <w:r>
        <w:rPr>
          <w:rFonts w:hint="eastAsia" w:ascii="宋体" w:hAnsi="宋体" w:cs="宋体"/>
          <w:sz w:val="32"/>
          <w:szCs w:val="32"/>
          <w:lang w:val="en-US" w:eastAsia="zh-CN"/>
        </w:rPr>
        <w:t>明</w:t>
      </w:r>
    </w:p>
    <w:p>
      <w:pPr>
        <w:ind w:firstLine="640" w:firstLineChars="200"/>
        <w:jc w:val="left"/>
        <w:rPr>
          <w:rFonts w:hint="eastAsia" w:ascii="宋体" w:hAnsi="宋体" w:cs="宋体"/>
          <w:sz w:val="32"/>
          <w:szCs w:val="32"/>
          <w:lang w:val="en-US" w:eastAsia="zh-CN"/>
        </w:rPr>
      </w:pPr>
      <w:r>
        <w:rPr>
          <w:rFonts w:hint="eastAsia" w:ascii="宋体" w:hAnsi="宋体" w:cs="宋体"/>
          <w:sz w:val="32"/>
          <w:szCs w:val="32"/>
        </w:rPr>
        <w:t>十、机关运行经费支出情况说</w:t>
      </w:r>
      <w:r>
        <w:rPr>
          <w:rFonts w:hint="eastAsia" w:ascii="宋体" w:hAnsi="宋体" w:cs="宋体"/>
          <w:sz w:val="32"/>
          <w:szCs w:val="32"/>
          <w:lang w:val="en-US" w:eastAsia="zh-CN"/>
        </w:rPr>
        <w:t>明</w:t>
      </w:r>
    </w:p>
    <w:p>
      <w:pPr>
        <w:ind w:firstLine="640" w:firstLineChars="200"/>
        <w:jc w:val="left"/>
        <w:rPr>
          <w:rFonts w:hint="eastAsia" w:ascii="宋体" w:hAnsi="宋体" w:cs="宋体"/>
          <w:sz w:val="32"/>
          <w:szCs w:val="32"/>
          <w:lang w:val="en-US" w:eastAsia="zh-CN"/>
        </w:rPr>
      </w:pPr>
      <w:r>
        <w:rPr>
          <w:rFonts w:hint="eastAsia" w:ascii="宋体" w:hAnsi="宋体" w:cs="宋体"/>
          <w:sz w:val="32"/>
          <w:szCs w:val="32"/>
        </w:rPr>
        <w:t>十一、政府采购支出情况说</w:t>
      </w:r>
      <w:r>
        <w:rPr>
          <w:rFonts w:hint="eastAsia" w:ascii="宋体" w:hAnsi="宋体" w:cs="宋体"/>
          <w:sz w:val="32"/>
          <w:szCs w:val="32"/>
          <w:lang w:val="en-US" w:eastAsia="zh-CN"/>
        </w:rPr>
        <w:t>明</w:t>
      </w:r>
    </w:p>
    <w:p>
      <w:pPr>
        <w:ind w:firstLine="640" w:firstLineChars="200"/>
        <w:jc w:val="left"/>
        <w:rPr>
          <w:rFonts w:hint="eastAsia" w:ascii="宋体" w:hAnsi="宋体" w:cs="宋体"/>
          <w:sz w:val="32"/>
          <w:szCs w:val="32"/>
          <w:lang w:val="en-US" w:eastAsia="zh-CN"/>
        </w:rPr>
      </w:pPr>
      <w:r>
        <w:rPr>
          <w:rFonts w:hint="eastAsia" w:ascii="宋体" w:hAnsi="宋体" w:cs="宋体"/>
          <w:sz w:val="32"/>
          <w:szCs w:val="32"/>
        </w:rPr>
        <w:t>十二、国有资产占用情况说</w:t>
      </w:r>
      <w:r>
        <w:rPr>
          <w:rFonts w:hint="eastAsia" w:ascii="宋体" w:hAnsi="宋体" w:cs="宋体"/>
          <w:sz w:val="32"/>
          <w:szCs w:val="32"/>
          <w:lang w:val="en-US" w:eastAsia="zh-CN"/>
        </w:rPr>
        <w:t>明</w:t>
      </w:r>
    </w:p>
    <w:p>
      <w:pPr>
        <w:jc w:val="left"/>
        <w:rPr>
          <w:rFonts w:hint="eastAsia" w:ascii="宋体" w:hAnsi="宋体" w:cs="宋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部分　　名词解释</w:t>
      </w:r>
    </w:p>
    <w:p>
      <w:pPr>
        <w:jc w:val="left"/>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部分　　2018年度部门决算</w:t>
      </w:r>
      <w:r>
        <w:rPr>
          <w:rFonts w:hint="eastAsia" w:ascii="黑体" w:hAnsi="黑体" w:eastAsia="黑体" w:cs="黑体"/>
          <w:sz w:val="32"/>
          <w:szCs w:val="32"/>
          <w:lang w:val="en-US" w:eastAsia="zh-CN"/>
        </w:rPr>
        <w:t>表（Excel表格形式）</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ind w:firstLine="640" w:firstLineChars="200"/>
        <w:jc w:val="left"/>
        <w:rPr>
          <w:rFonts w:hint="eastAsia" w:ascii="宋体" w:hAnsi="宋体" w:cs="宋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val="en-US" w:eastAsia="zh-CN"/>
        </w:rPr>
        <w:t>信阳市浉河区总工会</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footerReference r:id="rId3" w:type="default"/>
          <w:pgSz w:w="11906" w:h="16838"/>
          <w:pgMar w:top="1440" w:right="1800" w:bottom="1440" w:left="1800" w:header="720" w:footer="720" w:gutter="0"/>
          <w:pgNumType w:fmt="numberInDash"/>
          <w:cols w:space="720" w:num="1"/>
          <w:docGrid w:type="lines" w:linePitch="312" w:charSpace="0"/>
        </w:sectPr>
      </w:pPr>
    </w:p>
    <w:p>
      <w:pPr>
        <w:numPr>
          <w:ilvl w:val="0"/>
          <w:numId w:val="2"/>
        </w:numPr>
        <w:spacing w:line="360" w:lineRule="auto"/>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部门职责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1.以党的基本理论、基本路线、基本纲领为指导，按照全国总工会、省总工会、市总工会和区委确立的工会工作指导方针和任务，围绕大局，结合我区实际，指导全去工会工作。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2.贯彻执行全国总工会和省、市、区总工会代表大会的决议，依照法律和章程，组织和指导全区各级工会履行“维护、建设、参与、教育”等社会职能，开展工会各项工作，领导区总工会直属单位的工作。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代表和维护职工的合法权益。对有关职工权益的重大问题进行调研，向区委、区人民政府和上级工会反映职工群众的情况、愿望和要求，并提出意见和建议，参与涉及职工切身利益的有关措施和制度的制定，对侵犯职工合法权益的重大事件进行调查并提出处理意见，参与职工重大伤亡事故的调查处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据工会理论、政策，研究制定工会的组织制度和民主管理制度，监督检查《中国工会章程》贯彻执行情况；研究指导工会组织自身改革和建设，负责指导、帮助未建立工会组织的单位和改制企业建立工会组织，指导基层工会组织职工参与企事业和机关的民主管理、民主监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5.协助区委做好各级工会领导班子和工会干部管理工作。制定工会干部管理制度和培训规划，并组织监督落实。</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6.动员和组织全区职工积极参加改革和建设。受区人民政府委托做好区以上劳模的推荐、评选和管理工作，负责各级劳模、全国“五一”劳动奖章、奖状获得者的推荐、管理工作。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7.依照工会法规，负责收缴、管理、使用工会经费和工会资产管理工作；组织县工会经审会对本级工会、所属单位、基层工会收、管、用的审查监督工作。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8.承办完成区委、区政府交办的其他工作。</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信阳市浉河区总工会</w:t>
      </w:r>
      <w:r>
        <w:rPr>
          <w:rFonts w:hint="eastAsia" w:ascii="仿宋_GB2312" w:hAnsi="仿宋_GB2312" w:eastAsia="仿宋_GB2312" w:cs="仿宋_GB2312"/>
          <w:sz w:val="32"/>
          <w:szCs w:val="32"/>
        </w:rPr>
        <w:t>本级内设办公室、经审办、女工部、财务部、组宣部、生活保障部、民管部;下属事业单位3个，其中公益一类事业单位1个:信阳市浉河区困难职工帮扶中心;公益二类事业单位2个：信阳市职工学校、信阳市工人文化宫。</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核定编制数9名，其中行政编制8人，工勤人员1人 ，实有人数16人，行政编制13人，工勤编制3人。事业编制7人（财政拨付）。区工会部门预算实有人员23名，其中在职人员23名，退休人员1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w:t>
      </w:r>
    </w:p>
    <w:p>
      <w:pPr>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信阳市浉河区总工会</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年度部门决算编制范围的单位包括本级决算和所属单位决算在内的汇总决算。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widowControl/>
        <w:jc w:val="center"/>
        <w:outlineLvl w:val="0"/>
        <w:rPr>
          <w:rFonts w:hint="eastAsia" w:ascii="黑体" w:hAnsi="黑体" w:eastAsia="黑体" w:cs="黑体"/>
          <w:sz w:val="48"/>
          <w:szCs w:val="48"/>
        </w:rPr>
      </w:pPr>
      <w:r>
        <w:rPr>
          <w:rFonts w:hint="eastAsia" w:ascii="黑体" w:hAnsi="黑体" w:eastAsia="黑体" w:cs="黑体"/>
          <w:sz w:val="48"/>
          <w:szCs w:val="48"/>
        </w:rPr>
        <w:t>第二部分</w:t>
      </w:r>
    </w:p>
    <w:p>
      <w:pPr>
        <w:widowControl/>
        <w:jc w:val="center"/>
        <w:outlineLvl w:val="0"/>
        <w:rPr>
          <w:rFonts w:hint="eastAsia" w:ascii="黑体" w:hAnsi="黑体" w:eastAsia="黑体" w:cs="黑体"/>
          <w:sz w:val="48"/>
          <w:szCs w:val="48"/>
          <w:lang w:eastAsia="zh-CN"/>
        </w:rPr>
      </w:pPr>
      <w:r>
        <w:rPr>
          <w:rFonts w:hint="eastAsia" w:ascii="黑体" w:hAnsi="黑体" w:eastAsia="黑体" w:cs="黑体"/>
          <w:sz w:val="48"/>
          <w:szCs w:val="48"/>
          <w:lang w:eastAsia="zh-CN"/>
        </w:rPr>
        <w:t>信阳市浉河区总工会</w:t>
      </w:r>
    </w:p>
    <w:p>
      <w:pPr>
        <w:widowControl/>
        <w:jc w:val="center"/>
        <w:outlineLvl w:val="0"/>
        <w:rPr>
          <w:rFonts w:hint="eastAsia" w:ascii="黑体" w:hAnsi="黑体" w:eastAsia="黑体" w:cs="黑体"/>
          <w:sz w:val="48"/>
          <w:szCs w:val="48"/>
        </w:rPr>
        <w:sectPr>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48"/>
          <w:szCs w:val="48"/>
        </w:rPr>
        <w:t>201</w:t>
      </w:r>
      <w:r>
        <w:rPr>
          <w:rFonts w:hint="eastAsia" w:ascii="黑体" w:hAnsi="黑体" w:eastAsia="黑体" w:cs="黑体"/>
          <w:sz w:val="48"/>
          <w:szCs w:val="48"/>
          <w:lang w:val="en-US" w:eastAsia="zh-CN"/>
        </w:rPr>
        <w:t>8</w:t>
      </w:r>
      <w:r>
        <w:rPr>
          <w:rFonts w:hint="eastAsia" w:ascii="黑体" w:hAnsi="黑体" w:eastAsia="黑体" w:cs="黑体"/>
          <w:sz w:val="48"/>
          <w:szCs w:val="48"/>
        </w:rPr>
        <w:t>年度部门决算情况说明</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2018年度收、支总计均为</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万元。与上年度相比，收、支总计各减少</w:t>
      </w:r>
      <w:r>
        <w:rPr>
          <w:rFonts w:hint="eastAsia" w:ascii="仿宋_GB2312" w:hAnsi="仿宋_GB2312" w:eastAsia="仿宋_GB2312" w:cs="仿宋_GB2312"/>
          <w:sz w:val="32"/>
          <w:szCs w:val="32"/>
          <w:lang w:val="en-US" w:eastAsia="zh-CN"/>
        </w:rPr>
        <w:t>41.68</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11.12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人员退休，工资支出减少。</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仿宋_GB2312" w:cs="黑体"/>
          <w:sz w:val="32"/>
          <w:szCs w:val="32"/>
          <w:lang w:eastAsia="zh-CN"/>
        </w:rPr>
      </w:pPr>
      <w:r>
        <w:rPr>
          <w:rFonts w:hint="eastAsia" w:ascii="仿宋_GB2312" w:hAnsi="仿宋_GB2312" w:eastAsia="仿宋_GB2312" w:cs="仿宋_GB2312"/>
          <w:sz w:val="32"/>
          <w:szCs w:val="32"/>
        </w:rPr>
        <w:t>2018年度收入合计</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2018年度支出合计</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2018年度财政拨款收、支总计均为</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万元。与上年度相比，财政拨款收、支总计各减少</w:t>
      </w:r>
      <w:r>
        <w:rPr>
          <w:rFonts w:hint="eastAsia" w:ascii="仿宋_GB2312" w:hAnsi="仿宋_GB2312" w:eastAsia="仿宋_GB2312" w:cs="仿宋_GB2312"/>
          <w:sz w:val="32"/>
          <w:szCs w:val="32"/>
          <w:lang w:val="en-US" w:eastAsia="zh-CN"/>
        </w:rPr>
        <w:t>41.68</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11.12</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val="en-US" w:eastAsia="zh-CN"/>
        </w:rPr>
        <w:t>是人员退休，工资支出减少。</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2018年度一般公共预算财政拨款支出</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%。与上年度相比，一般公共预算财政拨款支出减少</w:t>
      </w:r>
      <w:r>
        <w:rPr>
          <w:rFonts w:hint="eastAsia" w:ascii="仿宋_GB2312" w:hAnsi="仿宋_GB2312" w:eastAsia="仿宋_GB2312" w:cs="仿宋_GB2312"/>
          <w:sz w:val="32"/>
          <w:szCs w:val="32"/>
          <w:lang w:val="en-US" w:eastAsia="zh-CN"/>
        </w:rPr>
        <w:t>41.68</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11.12</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人员退休，工资支出减少。</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万元，主要用于以下方面：一般公共服务（类）支出243.93万元，占73.29%；社会保障和就业（类）支出37.76</w:t>
      </w:r>
      <w:r>
        <w:rPr>
          <w:rFonts w:hint="eastAsia" w:ascii="仿宋_GB2312" w:hAnsi="仿宋_GB2312" w:eastAsia="仿宋_GB2312" w:cs="仿宋_GB2312"/>
          <w:sz w:val="32"/>
          <w:szCs w:val="32"/>
          <w:lang w:val="en-US" w:eastAsia="zh-CN"/>
        </w:rPr>
        <w:t>万元，占11.35%；</w:t>
      </w:r>
      <w:r>
        <w:rPr>
          <w:rFonts w:hint="eastAsia" w:ascii="仿宋_GB2312" w:hAnsi="仿宋_GB2312" w:eastAsia="仿宋_GB2312" w:cs="仿宋_GB2312"/>
          <w:sz w:val="32"/>
          <w:szCs w:val="32"/>
        </w:rPr>
        <w:t>医疗卫生与计划生育（类）支出15.03</w:t>
      </w:r>
      <w:r>
        <w:rPr>
          <w:rFonts w:hint="eastAsia" w:ascii="仿宋_GB2312" w:hAnsi="仿宋_GB2312" w:eastAsia="仿宋_GB2312" w:cs="仿宋_GB2312"/>
          <w:sz w:val="32"/>
          <w:szCs w:val="32"/>
          <w:lang w:val="en-US" w:eastAsia="zh-CN"/>
        </w:rPr>
        <w:t>万元，占4.52%；住房保障</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支出16.1万元，占4.84%；其他</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支出20</w:t>
      </w:r>
      <w:r>
        <w:rPr>
          <w:rFonts w:hint="eastAsia" w:ascii="仿宋_GB2312" w:hAnsi="仿宋_GB2312" w:eastAsia="仿宋_GB2312" w:cs="仿宋_GB2312"/>
          <w:sz w:val="32"/>
          <w:szCs w:val="32"/>
        </w:rPr>
        <w:t>万元，占6.01%。</w:t>
      </w:r>
      <w:bookmarkStart w:id="0" w:name="_GoBack"/>
      <w:bookmarkEnd w:id="0"/>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2018年度一般公共预算财政拨款支出年初预算为</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p>
    <w:p>
      <w:pPr>
        <w:widowControl/>
        <w:numPr>
          <w:ilvl w:val="0"/>
          <w:numId w:val="3"/>
        </w:numPr>
        <w:spacing w:line="590" w:lineRule="exact"/>
        <w:ind w:left="-13" w:leftChars="0" w:firstLine="64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一般公共服务支出（类）群众团体事务（款）行政运行（项）。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193.93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193.93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p>
    <w:p>
      <w:pPr>
        <w:widowControl/>
        <w:numPr>
          <w:ilvl w:val="0"/>
          <w:numId w:val="3"/>
        </w:numPr>
        <w:spacing w:line="590" w:lineRule="exact"/>
        <w:ind w:left="-13" w:leftChars="0" w:firstLine="64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一般公共服务支出（类）群众团体事务（款）一般行政管理事务（项）。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p>
    <w:p>
      <w:pPr>
        <w:widowControl/>
        <w:numPr>
          <w:ilvl w:val="0"/>
          <w:numId w:val="3"/>
        </w:numPr>
        <w:spacing w:line="590" w:lineRule="exact"/>
        <w:ind w:left="-13" w:leftChars="0" w:firstLine="64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社会保障和就业支出（类）行政事业单位离退休（款）归口管理的行政单位离退休（项）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10.86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10.86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p>
    <w:p>
      <w:pPr>
        <w:widowControl/>
        <w:numPr>
          <w:ilvl w:val="0"/>
          <w:numId w:val="3"/>
        </w:numPr>
        <w:spacing w:line="590" w:lineRule="exact"/>
        <w:ind w:left="-13" w:leftChars="0" w:firstLine="64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社会保障和就业支出（类）行政事业单位离退休（款） 对机关事业单位基本养老保险基金的补助（项）。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26.9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26.9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p>
    <w:p>
      <w:pPr>
        <w:widowControl/>
        <w:numPr>
          <w:ilvl w:val="0"/>
          <w:numId w:val="3"/>
        </w:numPr>
        <w:spacing w:line="590" w:lineRule="exact"/>
        <w:ind w:left="-13" w:leftChars="0" w:firstLine="64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医疗卫生与计划生育支出（类）行政事业单位医疗（款）   行政单位医疗（项）。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15.03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15.03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p>
    <w:p>
      <w:pPr>
        <w:widowControl/>
        <w:numPr>
          <w:ilvl w:val="0"/>
          <w:numId w:val="3"/>
        </w:numPr>
        <w:spacing w:line="590" w:lineRule="exact"/>
        <w:ind w:left="-13" w:leftChars="0" w:firstLine="64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16.1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16.1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p>
    <w:p>
      <w:pPr>
        <w:widowControl/>
        <w:numPr>
          <w:ilvl w:val="0"/>
          <w:numId w:val="0"/>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bCs/>
          <w:sz w:val="32"/>
          <w:szCs w:val="32"/>
          <w:lang w:val="en-US" w:eastAsia="zh-CN"/>
        </w:rPr>
        <w:t>其他支出（项）其他支出（项）其他支出(项）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2018年度一般公共预算财政拨款基本支出</w:t>
      </w:r>
      <w:r>
        <w:rPr>
          <w:rFonts w:hint="eastAsia" w:ascii="仿宋_GB2312" w:hAnsi="仿宋_GB2312" w:eastAsia="仿宋_GB2312" w:cs="仿宋_GB2312"/>
          <w:sz w:val="32"/>
          <w:szCs w:val="32"/>
          <w:lang w:val="en-US" w:eastAsia="zh-CN"/>
        </w:rPr>
        <w:t>332.82</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259.82</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2018年度“三公”经费财政拨款支出预算为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，与上年保持持平。</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差异。</w:t>
      </w:r>
      <w:r>
        <w:rPr>
          <w:rFonts w:hint="eastAsia" w:ascii="仿宋_GB2312" w:hAnsi="仿宋_GB2312" w:eastAsia="仿宋_GB2312" w:cs="仿宋_GB2312"/>
          <w:sz w:val="32"/>
          <w:szCs w:val="32"/>
          <w:u w:val="wave"/>
        </w:rPr>
        <w:t>全年因公出国（境）团组0个，累计0人次。</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w:t>
      </w:r>
      <w:r>
        <w:rPr>
          <w:rFonts w:hint="eastAsia" w:ascii="仿宋_GB2312" w:hAnsi="仿宋_GB2312" w:eastAsia="仿宋_GB2312" w:cs="仿宋_GB2312"/>
          <w:b/>
          <w:bCs/>
          <w:sz w:val="32"/>
          <w:szCs w:val="32"/>
          <w:lang w:val="en-US" w:eastAsia="zh-CN"/>
        </w:rPr>
        <w:t>出为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万元。2018年期末，部门开支财政拨款的公务用车保有量为</w:t>
      </w:r>
      <w:r>
        <w:rPr>
          <w:rFonts w:hint="eastAsia" w:ascii="仿宋_GB2312" w:hAnsi="仿宋_GB2312" w:eastAsia="仿宋_GB2312" w:cs="仿宋_GB2312"/>
          <w:sz w:val="32"/>
          <w:szCs w:val="32"/>
          <w:lang w:val="en-US" w:eastAsia="zh-CN"/>
        </w:rPr>
        <w:t>0辆。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与上年保持持平。</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万元。2018年共接待国（境）外来访团组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次（不包括陪同人员）。</w:t>
      </w: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万元。2018年共接待国内来访团组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kern w:val="0"/>
          <w:sz w:val="32"/>
          <w:szCs w:val="32"/>
          <w:lang w:val="en-US" w:eastAsia="zh-CN"/>
        </w:rPr>
        <w:t>未</w:t>
      </w:r>
      <w:r>
        <w:rPr>
          <w:rFonts w:hint="eastAsia" w:ascii="仿宋_GB2312" w:hAnsi="仿宋_GB2312" w:eastAsia="仿宋_GB2312" w:cs="仿宋_GB2312"/>
          <w:kern w:val="0"/>
          <w:sz w:val="32"/>
          <w:szCs w:val="32"/>
        </w:rPr>
        <w:t>对一般公共预算项目支出开展绩效自评。</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无项目</w:t>
      </w:r>
      <w:r>
        <w:rPr>
          <w:rFonts w:hint="eastAsia" w:ascii="仿宋_GB2312" w:hAnsi="仿宋_GB2312" w:eastAsia="仿宋_GB2312" w:cs="仿宋_GB2312"/>
          <w:kern w:val="0"/>
          <w:sz w:val="32"/>
          <w:szCs w:val="32"/>
        </w:rPr>
        <w:t>绩效。</w:t>
      </w:r>
    </w:p>
    <w:p>
      <w:pPr>
        <w:widowControl/>
        <w:spacing w:line="590" w:lineRule="exact"/>
        <w:ind w:firstLine="643" w:firstLineChars="200"/>
        <w:outlineLvl w:val="2"/>
        <w:rPr>
          <w:rFonts w:hint="eastAsia" w:ascii="楷体_GB2312" w:hAnsi="楷体_GB2312" w:cs="楷体_GB2312" w:eastAsiaTheme="minorEastAsia"/>
          <w:b/>
          <w:bCs/>
          <w:sz w:val="32"/>
          <w:szCs w:val="32"/>
          <w:lang w:eastAsia="zh-CN"/>
        </w:rPr>
      </w:pPr>
      <w:r>
        <w:rPr>
          <w:rFonts w:hint="eastAsia" w:ascii="楷体_GB2312" w:hAnsi="楷体_GB2312" w:eastAsia="楷体_GB2312" w:cs="楷体_GB2312"/>
          <w:b/>
          <w:bCs/>
          <w:sz w:val="32"/>
          <w:szCs w:val="32"/>
        </w:rPr>
        <w:t>（三）重点绩效评价结果。</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无重点</w:t>
      </w:r>
      <w:r>
        <w:rPr>
          <w:rFonts w:hint="eastAsia" w:ascii="仿宋_GB2312" w:hAnsi="仿宋_GB2312" w:eastAsia="仿宋_GB2312" w:cs="仿宋_GB2312"/>
          <w:kern w:val="0"/>
          <w:sz w:val="32"/>
          <w:szCs w:val="32"/>
        </w:rPr>
        <w:t>绩效。</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2018年度机关运行经费支出决算为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主要是办公费支出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r>
        <w:rPr>
          <w:rFonts w:hint="eastAsia" w:ascii="仿宋_GB2312" w:hAnsi="仿宋_GB2312" w:eastAsia="仿宋_GB2312" w:cs="仿宋_GB2312"/>
          <w:sz w:val="32"/>
          <w:szCs w:val="32"/>
        </w:rPr>
        <w:t>2018年期末，我部门共有车辆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numPr>
          <w:ilvl w:val="0"/>
          <w:numId w:val="4"/>
        </w:numPr>
        <w:jc w:val="center"/>
        <w:rPr>
          <w:rFonts w:hint="eastAsia" w:ascii="黑体" w:hAnsi="黑体" w:eastAsia="黑体" w:cs="黑体"/>
          <w:sz w:val="48"/>
          <w:szCs w:val="48"/>
        </w:rPr>
      </w:pPr>
      <w:r>
        <w:rPr>
          <w:rFonts w:hint="eastAsia" w:ascii="黑体" w:hAnsi="黑体" w:eastAsia="黑体" w:cs="黑体"/>
          <w:sz w:val="48"/>
          <w:szCs w:val="48"/>
        </w:rPr>
        <w:t xml:space="preserve"> 名词解释</w:t>
      </w: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val="0"/>
        <w:numPr>
          <w:ilvl w:val="0"/>
          <w:numId w:val="0"/>
        </w:numPr>
        <w:jc w:val="center"/>
        <w:rPr>
          <w:rFonts w:hint="eastAsia" w:ascii="黑体" w:hAnsi="黑体" w:eastAsia="黑体" w:cs="黑体"/>
          <w:sz w:val="48"/>
          <w:szCs w:val="48"/>
        </w:rPr>
      </w:pPr>
    </w:p>
    <w:p>
      <w:pPr>
        <w:widowControl/>
        <w:spacing w:line="59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一、财政拨款收入：单位从同级政府财政部门取得的财政预算资</w:t>
      </w:r>
      <w:r>
        <w:rPr>
          <w:rFonts w:hint="eastAsia" w:ascii="仿宋_GB2312" w:hAnsi="仿宋_GB2312" w:eastAsia="仿宋_GB2312" w:cs="仿宋_GB2312"/>
          <w:sz w:val="32"/>
          <w:szCs w:val="32"/>
          <w:lang w:val="en-US" w:eastAsia="zh-CN"/>
        </w:rPr>
        <w:t>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r>
        <w:rPr>
          <w:rFonts w:hint="eastAsia" w:ascii="仿宋_GB2312" w:hAnsi="仿宋_GB2312" w:eastAsia="仿宋_GB2312" w:cs="仿宋_GB2312"/>
          <w:sz w:val="32"/>
          <w:szCs w:val="32"/>
          <w:lang w:eastAsia="zh-CN"/>
        </w:rPr>
        <w:t>。</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numPr>
          <w:ilvl w:val="0"/>
          <w:numId w:val="4"/>
        </w:numPr>
        <w:kinsoku w:val="0"/>
        <w:overflowPunct w:val="0"/>
        <w:autoSpaceDE w:val="0"/>
        <w:autoSpaceDN w:val="0"/>
        <w:adjustRightInd w:val="0"/>
        <w:snapToGrid w:val="0"/>
        <w:spacing w:line="360" w:lineRule="auto"/>
        <w:ind w:left="0" w:leftChars="0" w:firstLine="0" w:firstLineChars="0"/>
        <w:jc w:val="center"/>
        <w:rPr>
          <w:rFonts w:hint="eastAsia" w:ascii="黑体" w:hAnsi="黑体" w:eastAsia="黑体" w:cs="黑体"/>
          <w:sz w:val="48"/>
          <w:szCs w:val="48"/>
        </w:rPr>
      </w:pPr>
      <w:r>
        <w:rPr>
          <w:rFonts w:hint="eastAsia" w:ascii="黑体" w:hAnsi="黑体" w:eastAsia="黑体" w:cs="黑体"/>
          <w:sz w:val="48"/>
          <w:szCs w:val="48"/>
          <w:lang w:eastAsia="zh-CN"/>
        </w:rPr>
        <w:t>（</w:t>
      </w:r>
      <w:r>
        <w:rPr>
          <w:rFonts w:hint="eastAsia" w:ascii="黑体" w:hAnsi="黑体" w:eastAsia="黑体" w:cs="黑体"/>
          <w:sz w:val="48"/>
          <w:szCs w:val="48"/>
          <w:lang w:val="en-US" w:eastAsia="zh-CN"/>
        </w:rPr>
        <w:t>Excel表格</w:t>
      </w:r>
      <w:r>
        <w:rPr>
          <w:rFonts w:hint="eastAsia" w:ascii="黑体" w:hAnsi="黑体" w:eastAsia="黑体" w:cs="黑体"/>
          <w:sz w:val="48"/>
          <w:szCs w:val="48"/>
          <w:lang w:eastAsia="zh-CN"/>
        </w:rPr>
        <w:t>）</w:t>
      </w:r>
    </w:p>
    <w:p>
      <w:pPr>
        <w:numPr>
          <w:ilvl w:val="0"/>
          <w:numId w:val="0"/>
        </w:numPr>
        <w:kinsoku w:val="0"/>
        <w:overflowPunct w:val="0"/>
        <w:autoSpaceDE w:val="0"/>
        <w:autoSpaceDN w:val="0"/>
        <w:adjustRightInd w:val="0"/>
        <w:snapToGrid w:val="0"/>
        <w:spacing w:line="360" w:lineRule="auto"/>
        <w:ind w:leftChars="0"/>
        <w:jc w:val="center"/>
        <w:rPr>
          <w:rFonts w:ascii="仿宋_GB2312" w:hAnsi="宋体" w:eastAsia="仿宋_GB2312" w:cs="Courier New"/>
          <w:sz w:val="32"/>
          <w:szCs w:val="32"/>
        </w:rPr>
      </w:pPr>
      <w:r>
        <w:rPr>
          <w:rFonts w:hint="eastAsia" w:ascii="黑体" w:hAnsi="黑体" w:eastAsia="黑体" w:cs="黑体"/>
          <w:sz w:val="48"/>
          <w:szCs w:val="48"/>
          <w:lang w:val="en-US" w:eastAsia="zh-CN"/>
        </w:rPr>
        <w:t>信阳市浉河区总工会</w:t>
      </w:r>
      <w:r>
        <w:rPr>
          <w:rFonts w:hint="eastAsia" w:ascii="黑体" w:hAnsi="黑体" w:eastAsia="黑体" w:cs="黑体"/>
          <w:sz w:val="48"/>
          <w:szCs w:val="48"/>
        </w:rPr>
        <w:t>2018年度部门决算表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3D57E"/>
    <w:multiLevelType w:val="singleLevel"/>
    <w:tmpl w:val="0A83D57E"/>
    <w:lvl w:ilvl="0" w:tentative="0">
      <w:start w:val="1"/>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64A85CEC"/>
    <w:multiLevelType w:val="singleLevel"/>
    <w:tmpl w:val="64A85CEC"/>
    <w:lvl w:ilvl="0" w:tentative="0">
      <w:start w:val="3"/>
      <w:numFmt w:val="chineseCounting"/>
      <w:suff w:val="space"/>
      <w:lvlText w:val="第%1部分"/>
      <w:lvlJc w:val="left"/>
      <w:rPr>
        <w:rFonts w:hint="eastAsia"/>
      </w:rPr>
    </w:lvl>
  </w:abstractNum>
  <w:abstractNum w:abstractNumId="3">
    <w:nsid w:val="6C6C1B68"/>
    <w:multiLevelType w:val="singleLevel"/>
    <w:tmpl w:val="6C6C1B68"/>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1F45D6"/>
    <w:rsid w:val="00476718"/>
    <w:rsid w:val="00630D31"/>
    <w:rsid w:val="006E0FC4"/>
    <w:rsid w:val="007F51D0"/>
    <w:rsid w:val="008B16EE"/>
    <w:rsid w:val="00B54309"/>
    <w:rsid w:val="00B84FB0"/>
    <w:rsid w:val="00CD40A8"/>
    <w:rsid w:val="00E15EEF"/>
    <w:rsid w:val="00EB52EB"/>
    <w:rsid w:val="00EE532A"/>
    <w:rsid w:val="01064770"/>
    <w:rsid w:val="043664CD"/>
    <w:rsid w:val="04453648"/>
    <w:rsid w:val="04985751"/>
    <w:rsid w:val="061516EF"/>
    <w:rsid w:val="09BB2134"/>
    <w:rsid w:val="0B165EF3"/>
    <w:rsid w:val="11751280"/>
    <w:rsid w:val="12CB671C"/>
    <w:rsid w:val="13DA4090"/>
    <w:rsid w:val="14661166"/>
    <w:rsid w:val="151814A3"/>
    <w:rsid w:val="15492582"/>
    <w:rsid w:val="17C60B25"/>
    <w:rsid w:val="1BB26345"/>
    <w:rsid w:val="1D375E40"/>
    <w:rsid w:val="1E271120"/>
    <w:rsid w:val="1E7D3B34"/>
    <w:rsid w:val="1F1F0F93"/>
    <w:rsid w:val="1F342C7F"/>
    <w:rsid w:val="1FCC7192"/>
    <w:rsid w:val="209C4FF0"/>
    <w:rsid w:val="2168132A"/>
    <w:rsid w:val="22080EE6"/>
    <w:rsid w:val="22576149"/>
    <w:rsid w:val="237E7CE7"/>
    <w:rsid w:val="23AF6732"/>
    <w:rsid w:val="245F7D5B"/>
    <w:rsid w:val="258F34D6"/>
    <w:rsid w:val="27A16F7C"/>
    <w:rsid w:val="29E531C1"/>
    <w:rsid w:val="2A1E4AB9"/>
    <w:rsid w:val="2BA4769A"/>
    <w:rsid w:val="2BAE72DE"/>
    <w:rsid w:val="2CD06EF4"/>
    <w:rsid w:val="2FF950D9"/>
    <w:rsid w:val="30485E97"/>
    <w:rsid w:val="31D609F0"/>
    <w:rsid w:val="32EF40CE"/>
    <w:rsid w:val="34464ED0"/>
    <w:rsid w:val="35B66CB8"/>
    <w:rsid w:val="372974AC"/>
    <w:rsid w:val="372A1AA4"/>
    <w:rsid w:val="374B0DD2"/>
    <w:rsid w:val="3AA022BE"/>
    <w:rsid w:val="3C856BB6"/>
    <w:rsid w:val="3CE47224"/>
    <w:rsid w:val="3E5F33BD"/>
    <w:rsid w:val="3F287BFC"/>
    <w:rsid w:val="3F860825"/>
    <w:rsid w:val="41A56C57"/>
    <w:rsid w:val="42271DDB"/>
    <w:rsid w:val="42845E93"/>
    <w:rsid w:val="44213729"/>
    <w:rsid w:val="44875A4B"/>
    <w:rsid w:val="452C588E"/>
    <w:rsid w:val="47CA283B"/>
    <w:rsid w:val="48036E61"/>
    <w:rsid w:val="48B52937"/>
    <w:rsid w:val="48EE3EF3"/>
    <w:rsid w:val="4A95625C"/>
    <w:rsid w:val="4ABC562B"/>
    <w:rsid w:val="4BE51A21"/>
    <w:rsid w:val="4C1E2F28"/>
    <w:rsid w:val="4CD744BE"/>
    <w:rsid w:val="4CE812E8"/>
    <w:rsid w:val="4EA70F61"/>
    <w:rsid w:val="4F2153AE"/>
    <w:rsid w:val="50E07A46"/>
    <w:rsid w:val="5161255A"/>
    <w:rsid w:val="51AD42DE"/>
    <w:rsid w:val="53E9756D"/>
    <w:rsid w:val="5651051D"/>
    <w:rsid w:val="57BB5F84"/>
    <w:rsid w:val="57E961A8"/>
    <w:rsid w:val="581E77CF"/>
    <w:rsid w:val="58B06254"/>
    <w:rsid w:val="598E2C68"/>
    <w:rsid w:val="59E3092F"/>
    <w:rsid w:val="59EA474B"/>
    <w:rsid w:val="5ADC2402"/>
    <w:rsid w:val="5AF25131"/>
    <w:rsid w:val="5B39011D"/>
    <w:rsid w:val="5BD40800"/>
    <w:rsid w:val="5D394358"/>
    <w:rsid w:val="5D9F4273"/>
    <w:rsid w:val="5F3A0145"/>
    <w:rsid w:val="600176AC"/>
    <w:rsid w:val="60ED29E7"/>
    <w:rsid w:val="612457AD"/>
    <w:rsid w:val="627358F6"/>
    <w:rsid w:val="634818EC"/>
    <w:rsid w:val="642A14D1"/>
    <w:rsid w:val="6431638A"/>
    <w:rsid w:val="664A46E0"/>
    <w:rsid w:val="674E08EC"/>
    <w:rsid w:val="683F246E"/>
    <w:rsid w:val="69601E96"/>
    <w:rsid w:val="6A2415C4"/>
    <w:rsid w:val="6A302C97"/>
    <w:rsid w:val="6B1A4A24"/>
    <w:rsid w:val="6C202690"/>
    <w:rsid w:val="6C2F3976"/>
    <w:rsid w:val="6DEF1F4E"/>
    <w:rsid w:val="6EA970D1"/>
    <w:rsid w:val="704F44A3"/>
    <w:rsid w:val="712C77E4"/>
    <w:rsid w:val="737A5BE5"/>
    <w:rsid w:val="73F1196C"/>
    <w:rsid w:val="75530B27"/>
    <w:rsid w:val="75531EF6"/>
    <w:rsid w:val="75B80BB5"/>
    <w:rsid w:val="75D0003D"/>
    <w:rsid w:val="7645175D"/>
    <w:rsid w:val="779E3F57"/>
    <w:rsid w:val="794368A0"/>
    <w:rsid w:val="79960645"/>
    <w:rsid w:val="7CB67838"/>
    <w:rsid w:val="7D0D382E"/>
    <w:rsid w:val="7F39282F"/>
    <w:rsid w:val="7F826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unhideWhenUsed/>
    <w:qFormat/>
    <w:uiPriority w:val="99"/>
    <w:pPr>
      <w:snapToGrid w:val="0"/>
      <w:jc w:val="left"/>
    </w:pPr>
    <w:rPr>
      <w:sz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 w:type="character" w:styleId="9">
    <w:name w:val="page number"/>
    <w:basedOn w:val="8"/>
    <w:qFormat/>
    <w:uiPriority w:val="0"/>
  </w:style>
  <w:style w:type="character" w:styleId="10">
    <w:name w:val="footnote reference"/>
    <w:basedOn w:val="8"/>
    <w:unhideWhenUsed/>
    <w:qFormat/>
    <w:uiPriority w:val="99"/>
    <w:rPr>
      <w:vertAlign w:val="superscript"/>
    </w:rPr>
  </w:style>
  <w:style w:type="character" w:customStyle="1" w:styleId="11">
    <w:name w:val="font31"/>
    <w:basedOn w:val="8"/>
    <w:qFormat/>
    <w:uiPriority w:val="0"/>
    <w:rPr>
      <w:rFonts w:ascii="Arial" w:hAnsi="Arial" w:cs="Arial"/>
      <w:color w:val="000000"/>
      <w:sz w:val="16"/>
      <w:szCs w:val="16"/>
      <w:u w:val="none"/>
    </w:rPr>
  </w:style>
  <w:style w:type="character" w:customStyle="1" w:styleId="12">
    <w:name w:val="font01"/>
    <w:basedOn w:val="8"/>
    <w:qFormat/>
    <w:uiPriority w:val="0"/>
    <w:rPr>
      <w:rFonts w:hint="default" w:ascii="Arial" w:hAnsi="Arial" w:cs="Arial"/>
      <w:color w:val="000000"/>
      <w:sz w:val="16"/>
      <w:szCs w:val="16"/>
      <w:u w:val="none"/>
    </w:rPr>
  </w:style>
  <w:style w:type="character" w:customStyle="1" w:styleId="13">
    <w:name w:val="font41"/>
    <w:basedOn w:val="8"/>
    <w:qFormat/>
    <w:uiPriority w:val="0"/>
    <w:rPr>
      <w:rFonts w:hint="eastAsia" w:ascii="宋体" w:hAnsi="宋体" w:eastAsia="宋体" w:cs="宋体"/>
      <w:color w:val="000000"/>
      <w:sz w:val="16"/>
      <w:szCs w:val="16"/>
      <w:u w:val="none"/>
    </w:rPr>
  </w:style>
  <w:style w:type="paragraph" w:customStyle="1" w:styleId="14">
    <w:name w:val="_Style 7"/>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570</Words>
  <Characters>3251</Characters>
  <Lines>27</Lines>
  <Paragraphs>7</Paragraphs>
  <TotalTime>2</TotalTime>
  <ScaleCrop>false</ScaleCrop>
  <LinksUpToDate>false</LinksUpToDate>
  <CharactersWithSpaces>3814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2021-06-18T07:28:41Z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CEBE39B9C3FF472ABA807EAD525285D3</vt:lpwstr>
  </property>
</Properties>
</file>