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52"/>
          <w:szCs w:val="52"/>
        </w:rPr>
      </w:pP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b/>
          <w:bCs/>
          <w:sz w:val="72"/>
          <w:szCs w:val="72"/>
        </w:rPr>
      </w:pPr>
    </w:p>
    <w:p>
      <w:pPr>
        <w:tabs>
          <w:tab w:val="left" w:pos="630"/>
        </w:tabs>
        <w:jc w:val="center"/>
        <w:rPr>
          <w:rFonts w:hint="eastAsia" w:ascii="黑体" w:hAnsi="黑体" w:eastAsia="黑体" w:cs="黑体"/>
          <w:b/>
          <w:bCs/>
          <w:sz w:val="72"/>
          <w:szCs w:val="72"/>
          <w:lang w:eastAsia="zh-CN"/>
        </w:rPr>
      </w:pPr>
      <w:r>
        <w:rPr>
          <w:rFonts w:hint="eastAsia" w:ascii="黑体" w:hAnsi="黑体" w:eastAsia="黑体" w:cs="黑体"/>
          <w:b/>
          <w:bCs/>
          <w:sz w:val="72"/>
          <w:szCs w:val="72"/>
          <w:lang w:eastAsia="zh-CN"/>
        </w:rPr>
        <w:t>信阳市浉河区粮食和物资储备中心</w:t>
      </w:r>
    </w:p>
    <w:p>
      <w:pPr>
        <w:tabs>
          <w:tab w:val="left" w:pos="630"/>
        </w:tabs>
        <w:spacing w:line="960" w:lineRule="exact"/>
        <w:jc w:val="center"/>
        <w:rPr>
          <w:rFonts w:ascii="黑体" w:hAnsi="黑体" w:eastAsia="黑体" w:cs="黑体"/>
          <w:b/>
          <w:bCs/>
          <w:sz w:val="72"/>
          <w:szCs w:val="72"/>
        </w:rPr>
      </w:pPr>
    </w:p>
    <w:p>
      <w:pPr>
        <w:tabs>
          <w:tab w:val="left" w:pos="630"/>
        </w:tabs>
        <w:jc w:val="center"/>
        <w:rPr>
          <w:rFonts w:ascii="黑体" w:hAnsi="黑体" w:eastAsia="黑体" w:cs="黑体"/>
          <w:b/>
          <w:bCs/>
          <w:sz w:val="72"/>
          <w:szCs w:val="72"/>
        </w:rPr>
      </w:pPr>
      <w:r>
        <w:rPr>
          <w:rFonts w:ascii="黑体" w:hAnsi="黑体" w:eastAsia="黑体" w:cs="黑体"/>
          <w:b/>
          <w:bCs/>
          <w:sz w:val="72"/>
          <w:szCs w:val="72"/>
        </w:rPr>
        <w:t>2018</w:t>
      </w:r>
      <w:r>
        <w:rPr>
          <w:rFonts w:hint="eastAsia" w:ascii="黑体" w:hAnsi="黑体" w:eastAsia="黑体" w:cs="黑体"/>
          <w:b/>
          <w:bCs/>
          <w:sz w:val="72"/>
          <w:szCs w:val="72"/>
        </w:rPr>
        <w:t>年度部门决算</w:t>
      </w: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b/>
          <w:bCs/>
          <w:sz w:val="72"/>
          <w:szCs w:val="72"/>
        </w:rPr>
      </w:pPr>
    </w:p>
    <w:p>
      <w:pPr>
        <w:tabs>
          <w:tab w:val="left" w:pos="630"/>
        </w:tabs>
        <w:jc w:val="center"/>
        <w:rPr>
          <w:rFonts w:ascii="黑体" w:hAnsi="黑体" w:eastAsia="黑体" w:cs="黑体"/>
          <w:sz w:val="30"/>
          <w:szCs w:val="30"/>
        </w:rPr>
      </w:pPr>
    </w:p>
    <w:p>
      <w:pPr>
        <w:tabs>
          <w:tab w:val="left" w:pos="630"/>
        </w:tabs>
        <w:jc w:val="center"/>
        <w:rPr>
          <w:rFonts w:ascii="黑体" w:hAnsi="黑体" w:eastAsia="黑体" w:cs="黑体"/>
          <w:sz w:val="30"/>
          <w:szCs w:val="30"/>
        </w:rPr>
      </w:pPr>
    </w:p>
    <w:p>
      <w:pPr>
        <w:tabs>
          <w:tab w:val="left" w:pos="630"/>
        </w:tabs>
        <w:jc w:val="center"/>
        <w:rPr>
          <w:rFonts w:ascii="黑体" w:hAnsi="黑体" w:eastAsia="黑体" w:cs="黑体"/>
          <w:sz w:val="30"/>
          <w:szCs w:val="30"/>
        </w:rPr>
      </w:pPr>
      <w:r>
        <w:rPr>
          <w:rFonts w:hint="eastAsia" w:ascii="黑体" w:hAnsi="黑体" w:eastAsia="黑体" w:cs="黑体"/>
          <w:sz w:val="30"/>
          <w:szCs w:val="30"/>
        </w:rPr>
        <w:t>公开单位联系人：董少玲</w:t>
      </w:r>
    </w:p>
    <w:p>
      <w:pPr>
        <w:tabs>
          <w:tab w:val="left" w:pos="630"/>
        </w:tabs>
        <w:ind w:firstLine="2700" w:firstLineChars="900"/>
        <w:rPr>
          <w:rFonts w:ascii="黑体" w:hAnsi="黑体" w:eastAsia="黑体" w:cs="黑体"/>
          <w:sz w:val="30"/>
          <w:szCs w:val="30"/>
        </w:rPr>
      </w:pPr>
      <w:r>
        <w:rPr>
          <w:rFonts w:hint="eastAsia" w:ascii="黑体" w:hAnsi="黑体" w:eastAsia="黑体" w:cs="黑体"/>
          <w:sz w:val="30"/>
          <w:szCs w:val="30"/>
        </w:rPr>
        <w:t>联系电话：</w:t>
      </w:r>
      <w:r>
        <w:rPr>
          <w:rFonts w:ascii="黑体" w:hAnsi="黑体" w:eastAsia="黑体" w:cs="黑体"/>
          <w:sz w:val="30"/>
          <w:szCs w:val="30"/>
        </w:rPr>
        <w:t>6225661</w:t>
      </w:r>
    </w:p>
    <w:p>
      <w:pPr>
        <w:tabs>
          <w:tab w:val="left" w:pos="630"/>
        </w:tabs>
        <w:ind w:firstLine="2700" w:firstLineChars="900"/>
        <w:rPr>
          <w:rFonts w:ascii="黑体" w:hAnsi="黑体" w:eastAsia="黑体" w:cs="黑体"/>
          <w:sz w:val="30"/>
          <w:szCs w:val="30"/>
        </w:rPr>
      </w:pPr>
    </w:p>
    <w:p>
      <w:pPr>
        <w:tabs>
          <w:tab w:val="left" w:pos="630"/>
        </w:tabs>
        <w:ind w:firstLine="2700" w:firstLineChars="900"/>
        <w:rPr>
          <w:rFonts w:ascii="黑体" w:hAnsi="黑体" w:eastAsia="黑体" w:cs="黑体"/>
          <w:sz w:val="30"/>
          <w:szCs w:val="30"/>
        </w:rPr>
      </w:pPr>
    </w:p>
    <w:p>
      <w:pPr>
        <w:tabs>
          <w:tab w:val="left" w:pos="630"/>
        </w:tabs>
        <w:ind w:firstLine="2700" w:firstLineChars="900"/>
        <w:rPr>
          <w:rFonts w:ascii="黑体" w:hAnsi="黑体" w:eastAsia="黑体" w:cs="黑体"/>
          <w:sz w:val="30"/>
          <w:szCs w:val="30"/>
        </w:rPr>
      </w:pPr>
    </w:p>
    <w:p>
      <w:pPr>
        <w:tabs>
          <w:tab w:val="left" w:pos="630"/>
        </w:tabs>
        <w:ind w:firstLine="2700" w:firstLineChars="900"/>
        <w:rPr>
          <w:rFonts w:ascii="黑体" w:hAnsi="黑体" w:eastAsia="黑体" w:cs="黑体"/>
          <w:sz w:val="30"/>
          <w:szCs w:val="30"/>
        </w:rPr>
      </w:pPr>
    </w:p>
    <w:p>
      <w:pPr>
        <w:tabs>
          <w:tab w:val="left" w:pos="630"/>
        </w:tabs>
        <w:jc w:val="center"/>
        <w:rPr>
          <w:rFonts w:ascii="黑体" w:hAnsi="黑体" w:eastAsia="黑体" w:cs="黑体"/>
          <w:b/>
          <w:bCs/>
          <w:sz w:val="32"/>
          <w:szCs w:val="32"/>
        </w:rPr>
      </w:pPr>
      <w:r>
        <w:rPr>
          <w:rFonts w:hint="eastAsia" w:ascii="黑体" w:hAnsi="黑体" w:eastAsia="黑体" w:cs="黑体"/>
          <w:b/>
          <w:bCs/>
          <w:sz w:val="32"/>
          <w:szCs w:val="32"/>
        </w:rPr>
        <w:t>二〇一九年九月</w:t>
      </w:r>
    </w:p>
    <w:p>
      <w:pPr>
        <w:tabs>
          <w:tab w:val="left" w:pos="630"/>
        </w:tabs>
        <w:jc w:val="center"/>
        <w:rPr>
          <w:rFonts w:ascii="黑体" w:hAnsi="黑体" w:eastAsia="黑体" w:cs="黑体"/>
          <w:b/>
          <w:bCs/>
          <w:sz w:val="72"/>
          <w:szCs w:val="72"/>
        </w:rPr>
      </w:pPr>
    </w:p>
    <w:p>
      <w:pPr>
        <w:jc w:val="both"/>
        <w:rPr>
          <w:rFonts w:ascii="黑体" w:hAnsi="黑体" w:eastAsia="黑体" w:cs="黑体"/>
          <w:b/>
          <w:bCs/>
          <w:sz w:val="72"/>
          <w:szCs w:val="72"/>
        </w:rPr>
      </w:pPr>
    </w:p>
    <w:p>
      <w:pPr>
        <w:jc w:val="center"/>
        <w:rPr>
          <w:rFonts w:ascii="黑体" w:hAnsi="黑体" w:eastAsia="黑体" w:cs="黑体"/>
          <w:sz w:val="32"/>
          <w:szCs w:val="32"/>
        </w:rPr>
      </w:pPr>
    </w:p>
    <w:p>
      <w:pPr>
        <w:tabs>
          <w:tab w:val="left" w:pos="840"/>
          <w:tab w:val="left" w:pos="3863"/>
          <w:tab w:val="center" w:pos="4692"/>
        </w:tabs>
        <w:jc w:val="center"/>
        <w:rPr>
          <w:rFonts w:ascii="黑体" w:hAnsi="黑体" w:eastAsia="黑体" w:cs="黑体"/>
          <w:sz w:val="48"/>
          <w:szCs w:val="48"/>
        </w:rPr>
      </w:pPr>
      <w:r>
        <w:rPr>
          <w:rFonts w:hint="eastAsia" w:ascii="黑体" w:hAnsi="黑体" w:eastAsia="黑体" w:cs="黑体"/>
          <w:sz w:val="48"/>
          <w:szCs w:val="48"/>
        </w:rPr>
        <w:t>目　　录</w:t>
      </w:r>
    </w:p>
    <w:p>
      <w:pPr>
        <w:tabs>
          <w:tab w:val="left" w:pos="2213"/>
          <w:tab w:val="center" w:pos="4692"/>
        </w:tabs>
        <w:jc w:val="left"/>
        <w:rPr>
          <w:rFonts w:ascii="黑体" w:hAnsi="黑体" w:eastAsia="黑体" w:cs="黑体"/>
          <w:sz w:val="32"/>
          <w:szCs w:val="32"/>
        </w:rPr>
      </w:pPr>
    </w:p>
    <w:p>
      <w:pPr>
        <w:tabs>
          <w:tab w:val="left" w:pos="2213"/>
          <w:tab w:val="center" w:pos="4692"/>
        </w:tabs>
        <w:spacing w:line="700" w:lineRule="exact"/>
        <w:jc w:val="left"/>
        <w:rPr>
          <w:rFonts w:ascii="宋体" w:cs="宋体"/>
          <w:b/>
          <w:bCs/>
          <w:sz w:val="32"/>
          <w:szCs w:val="32"/>
        </w:rPr>
      </w:pPr>
      <w:r>
        <w:rPr>
          <w:rFonts w:hint="eastAsia" w:ascii="宋体" w:hAnsi="宋体" w:cs="宋体"/>
          <w:b/>
          <w:bCs/>
          <w:sz w:val="32"/>
          <w:szCs w:val="32"/>
        </w:rPr>
        <w:t>第一部分　　信阳市浉河区粮食和物资储备中心概况</w:t>
      </w:r>
    </w:p>
    <w:p>
      <w:pPr>
        <w:numPr>
          <w:ilvl w:val="0"/>
          <w:numId w:val="1"/>
        </w:numPr>
        <w:tabs>
          <w:tab w:val="left" w:pos="7388"/>
        </w:tabs>
        <w:spacing w:line="700" w:lineRule="exact"/>
        <w:jc w:val="left"/>
        <w:rPr>
          <w:rFonts w:ascii="宋体" w:cs="宋体"/>
          <w:sz w:val="32"/>
          <w:szCs w:val="32"/>
        </w:rPr>
      </w:pPr>
      <w:r>
        <w:rPr>
          <w:rFonts w:hint="eastAsia" w:ascii="宋体" w:hAnsi="宋体" w:cs="宋体"/>
          <w:sz w:val="32"/>
          <w:szCs w:val="32"/>
        </w:rPr>
        <w:t>部门职责</w:t>
      </w:r>
      <w:r>
        <w:rPr>
          <w:rFonts w:ascii="宋体" w:cs="宋体"/>
          <w:sz w:val="32"/>
          <w:szCs w:val="32"/>
        </w:rPr>
        <w:tab/>
      </w:r>
    </w:p>
    <w:p>
      <w:pPr>
        <w:numPr>
          <w:ilvl w:val="0"/>
          <w:numId w:val="1"/>
        </w:numPr>
        <w:spacing w:line="700" w:lineRule="exact"/>
        <w:jc w:val="left"/>
        <w:rPr>
          <w:rFonts w:ascii="宋体" w:cs="宋体"/>
          <w:sz w:val="32"/>
          <w:szCs w:val="32"/>
        </w:rPr>
      </w:pPr>
      <w:r>
        <w:rPr>
          <w:rFonts w:hint="eastAsia" w:ascii="宋体" w:hAnsi="宋体" w:cs="宋体"/>
          <w:sz w:val="32"/>
          <w:szCs w:val="32"/>
        </w:rPr>
        <w:t>机构设置</w:t>
      </w:r>
    </w:p>
    <w:p>
      <w:pPr>
        <w:spacing w:line="700" w:lineRule="exact"/>
        <w:jc w:val="left"/>
        <w:rPr>
          <w:rFonts w:ascii="宋体" w:cs="宋体"/>
          <w:sz w:val="32"/>
          <w:szCs w:val="32"/>
        </w:rPr>
      </w:pPr>
      <w:r>
        <w:rPr>
          <w:rFonts w:hint="eastAsia" w:ascii="宋体" w:hAnsi="宋体" w:cs="宋体"/>
          <w:b/>
          <w:bCs/>
          <w:sz w:val="32"/>
          <w:szCs w:val="32"/>
        </w:rPr>
        <w:t>第二部分　　</w:t>
      </w:r>
      <w:r>
        <w:rPr>
          <w:rFonts w:ascii="宋体" w:hAnsi="宋体" w:cs="宋体"/>
          <w:b/>
          <w:bCs/>
          <w:sz w:val="32"/>
          <w:szCs w:val="32"/>
        </w:rPr>
        <w:t>2018</w:t>
      </w:r>
      <w:r>
        <w:rPr>
          <w:rFonts w:hint="eastAsia" w:ascii="宋体" w:hAnsi="宋体" w:cs="宋体"/>
          <w:b/>
          <w:bCs/>
          <w:sz w:val="32"/>
          <w:szCs w:val="32"/>
        </w:rPr>
        <w:t>年度部门决算情况说明</w:t>
      </w:r>
    </w:p>
    <w:p>
      <w:pPr>
        <w:spacing w:line="700" w:lineRule="exact"/>
        <w:jc w:val="left"/>
        <w:rPr>
          <w:rFonts w:ascii="宋体" w:cs="宋体"/>
          <w:sz w:val="32"/>
          <w:szCs w:val="32"/>
        </w:rPr>
      </w:pPr>
      <w:r>
        <w:rPr>
          <w:rFonts w:hint="eastAsia" w:ascii="宋体" w:hAnsi="宋体" w:cs="宋体"/>
          <w:sz w:val="32"/>
          <w:szCs w:val="32"/>
        </w:rPr>
        <w:t>一、收入支出决算总体情况说明</w:t>
      </w:r>
    </w:p>
    <w:p>
      <w:pPr>
        <w:spacing w:line="700" w:lineRule="exact"/>
        <w:jc w:val="left"/>
        <w:rPr>
          <w:rFonts w:ascii="宋体" w:cs="宋体"/>
          <w:sz w:val="32"/>
          <w:szCs w:val="32"/>
        </w:rPr>
      </w:pPr>
      <w:r>
        <w:rPr>
          <w:rFonts w:hint="eastAsia" w:ascii="宋体" w:hAnsi="宋体" w:cs="宋体"/>
          <w:sz w:val="32"/>
          <w:szCs w:val="32"/>
        </w:rPr>
        <w:t>二、收入决算情况说明</w:t>
      </w:r>
    </w:p>
    <w:p>
      <w:pPr>
        <w:spacing w:line="700" w:lineRule="exact"/>
        <w:jc w:val="left"/>
        <w:rPr>
          <w:rFonts w:ascii="宋体" w:cs="宋体"/>
          <w:sz w:val="32"/>
          <w:szCs w:val="32"/>
        </w:rPr>
      </w:pPr>
      <w:r>
        <w:rPr>
          <w:rFonts w:hint="eastAsia" w:ascii="宋体" w:hAnsi="宋体" w:cs="宋体"/>
          <w:sz w:val="32"/>
          <w:szCs w:val="32"/>
        </w:rPr>
        <w:t>三、支出决算情况说明</w:t>
      </w:r>
    </w:p>
    <w:p>
      <w:pPr>
        <w:spacing w:line="700" w:lineRule="exact"/>
        <w:jc w:val="left"/>
        <w:rPr>
          <w:rFonts w:ascii="宋体" w:cs="宋体"/>
          <w:sz w:val="32"/>
          <w:szCs w:val="32"/>
        </w:rPr>
      </w:pPr>
      <w:r>
        <w:rPr>
          <w:rFonts w:hint="eastAsia" w:ascii="宋体" w:hAnsi="宋体" w:cs="宋体"/>
          <w:sz w:val="32"/>
          <w:szCs w:val="32"/>
        </w:rPr>
        <w:t>四、财政拨款收入支出决算总体情况说明</w:t>
      </w:r>
    </w:p>
    <w:p>
      <w:pPr>
        <w:spacing w:line="700" w:lineRule="exact"/>
        <w:jc w:val="left"/>
        <w:rPr>
          <w:rFonts w:ascii="宋体" w:cs="宋体"/>
          <w:sz w:val="32"/>
          <w:szCs w:val="32"/>
        </w:rPr>
      </w:pPr>
      <w:r>
        <w:rPr>
          <w:rFonts w:hint="eastAsia" w:ascii="宋体" w:hAnsi="宋体" w:cs="宋体"/>
          <w:sz w:val="32"/>
          <w:szCs w:val="32"/>
        </w:rPr>
        <w:t>五、一般公共预算财政拨款支出决算情况说明</w:t>
      </w:r>
    </w:p>
    <w:p>
      <w:pPr>
        <w:spacing w:line="700" w:lineRule="exact"/>
        <w:jc w:val="left"/>
        <w:rPr>
          <w:rFonts w:ascii="宋体" w:cs="宋体"/>
          <w:sz w:val="32"/>
          <w:szCs w:val="32"/>
        </w:rPr>
      </w:pPr>
      <w:r>
        <w:rPr>
          <w:rFonts w:hint="eastAsia" w:ascii="宋体" w:hAnsi="宋体" w:cs="宋体"/>
          <w:sz w:val="32"/>
          <w:szCs w:val="32"/>
        </w:rPr>
        <w:t>六、一般公共预算财政拨款基本支出决算情况说明</w:t>
      </w:r>
    </w:p>
    <w:p>
      <w:pPr>
        <w:spacing w:line="700" w:lineRule="exact"/>
        <w:jc w:val="left"/>
        <w:rPr>
          <w:rFonts w:ascii="宋体" w:cs="宋体"/>
          <w:sz w:val="32"/>
          <w:szCs w:val="32"/>
        </w:rPr>
      </w:pPr>
      <w:r>
        <w:rPr>
          <w:rFonts w:hint="eastAsia" w:ascii="宋体" w:hAnsi="宋体" w:cs="宋体"/>
          <w:sz w:val="32"/>
          <w:szCs w:val="32"/>
        </w:rPr>
        <w:t>七、一般公共预算财政拨款“三公”经费支出决算情况说明</w:t>
      </w:r>
    </w:p>
    <w:p>
      <w:pPr>
        <w:spacing w:line="700" w:lineRule="exact"/>
        <w:jc w:val="left"/>
        <w:rPr>
          <w:rFonts w:ascii="宋体" w:cs="宋体"/>
          <w:sz w:val="32"/>
          <w:szCs w:val="32"/>
        </w:rPr>
      </w:pPr>
      <w:r>
        <w:rPr>
          <w:rFonts w:hint="eastAsia" w:ascii="宋体" w:hAnsi="宋体" w:cs="宋体"/>
          <w:sz w:val="32"/>
          <w:szCs w:val="32"/>
        </w:rPr>
        <w:t>八、预算绩效情况说明</w:t>
      </w:r>
    </w:p>
    <w:p>
      <w:pPr>
        <w:spacing w:line="700" w:lineRule="exact"/>
        <w:jc w:val="left"/>
        <w:rPr>
          <w:rFonts w:ascii="宋体" w:cs="宋体"/>
          <w:sz w:val="32"/>
          <w:szCs w:val="32"/>
        </w:rPr>
      </w:pPr>
      <w:r>
        <w:rPr>
          <w:rFonts w:hint="eastAsia" w:ascii="宋体" w:hAnsi="宋体" w:cs="宋体"/>
          <w:sz w:val="32"/>
          <w:szCs w:val="32"/>
        </w:rPr>
        <w:t>九、政府性基金预算财政拨款收入支出决算情况说明</w:t>
      </w:r>
    </w:p>
    <w:p>
      <w:pPr>
        <w:spacing w:line="700" w:lineRule="exact"/>
        <w:jc w:val="left"/>
        <w:rPr>
          <w:rFonts w:ascii="宋体" w:cs="宋体"/>
          <w:sz w:val="32"/>
          <w:szCs w:val="32"/>
        </w:rPr>
      </w:pPr>
      <w:r>
        <w:rPr>
          <w:rFonts w:hint="eastAsia" w:ascii="宋体" w:hAnsi="宋体" w:cs="宋体"/>
          <w:sz w:val="32"/>
          <w:szCs w:val="32"/>
        </w:rPr>
        <w:t>十、机关运行经费支出情况说明</w:t>
      </w:r>
    </w:p>
    <w:p>
      <w:pPr>
        <w:spacing w:line="700" w:lineRule="exact"/>
        <w:jc w:val="left"/>
        <w:rPr>
          <w:rFonts w:ascii="宋体" w:cs="宋体"/>
          <w:sz w:val="32"/>
          <w:szCs w:val="32"/>
        </w:rPr>
      </w:pPr>
      <w:r>
        <w:rPr>
          <w:rFonts w:hint="eastAsia" w:ascii="宋体" w:hAnsi="宋体" w:cs="宋体"/>
          <w:sz w:val="32"/>
          <w:szCs w:val="32"/>
        </w:rPr>
        <w:t>十一、政府采购支出情况说明</w:t>
      </w:r>
    </w:p>
    <w:p>
      <w:pPr>
        <w:spacing w:line="700" w:lineRule="exact"/>
        <w:jc w:val="left"/>
        <w:rPr>
          <w:rFonts w:ascii="宋体" w:cs="宋体"/>
          <w:sz w:val="32"/>
          <w:szCs w:val="32"/>
        </w:rPr>
      </w:pPr>
      <w:r>
        <w:rPr>
          <w:rFonts w:hint="eastAsia" w:ascii="宋体" w:hAnsi="宋体" w:cs="宋体"/>
          <w:sz w:val="32"/>
          <w:szCs w:val="32"/>
        </w:rPr>
        <w:t>十二、国有资产占用情况说明</w:t>
      </w:r>
    </w:p>
    <w:p>
      <w:pPr>
        <w:spacing w:line="700" w:lineRule="exact"/>
        <w:jc w:val="left"/>
        <w:rPr>
          <w:rFonts w:ascii="宋体" w:cs="宋体"/>
          <w:b/>
          <w:bCs/>
          <w:sz w:val="32"/>
          <w:szCs w:val="32"/>
        </w:rPr>
      </w:pPr>
    </w:p>
    <w:p>
      <w:pPr>
        <w:numPr>
          <w:ilvl w:val="0"/>
          <w:numId w:val="2"/>
        </w:numPr>
        <w:spacing w:line="700" w:lineRule="exact"/>
        <w:jc w:val="left"/>
        <w:rPr>
          <w:rFonts w:ascii="宋体" w:cs="宋体"/>
          <w:b/>
          <w:bCs/>
          <w:sz w:val="32"/>
          <w:szCs w:val="32"/>
        </w:rPr>
      </w:pPr>
      <w:r>
        <w:rPr>
          <w:rFonts w:hint="eastAsia" w:ascii="宋体" w:hAnsi="宋体" w:cs="宋体"/>
          <w:b/>
          <w:bCs/>
          <w:sz w:val="32"/>
          <w:szCs w:val="32"/>
        </w:rPr>
        <w:t>　名词解释</w:t>
      </w:r>
    </w:p>
    <w:p>
      <w:pPr>
        <w:numPr>
          <w:numId w:val="0"/>
        </w:numPr>
        <w:spacing w:line="700" w:lineRule="exact"/>
        <w:ind w:firstLine="321" w:firstLineChars="100"/>
        <w:jc w:val="left"/>
        <w:rPr>
          <w:rFonts w:ascii="宋体" w:cs="宋体"/>
          <w:b/>
          <w:bCs/>
          <w:sz w:val="32"/>
          <w:szCs w:val="32"/>
        </w:rPr>
      </w:pPr>
      <w:r>
        <w:rPr>
          <w:rFonts w:hint="eastAsia" w:ascii="宋体" w:hAnsi="宋体" w:cs="宋体"/>
          <w:b/>
          <w:bCs/>
          <w:sz w:val="32"/>
          <w:szCs w:val="32"/>
          <w:lang w:val="en-US" w:eastAsia="zh-CN"/>
        </w:rPr>
        <w:t xml:space="preserve">附表   </w:t>
      </w:r>
      <w:r>
        <w:rPr>
          <w:rFonts w:ascii="宋体" w:hAnsi="宋体" w:cs="宋体"/>
          <w:b/>
          <w:bCs/>
          <w:sz w:val="32"/>
          <w:szCs w:val="32"/>
        </w:rPr>
        <w:t>2018</w:t>
      </w:r>
      <w:r>
        <w:rPr>
          <w:rFonts w:hint="eastAsia" w:ascii="宋体" w:hAnsi="宋体" w:cs="宋体"/>
          <w:b/>
          <w:bCs/>
          <w:sz w:val="32"/>
          <w:szCs w:val="32"/>
        </w:rPr>
        <w:t>年度部门决算表</w:t>
      </w:r>
    </w:p>
    <w:p>
      <w:pPr>
        <w:numPr>
          <w:ilvl w:val="0"/>
          <w:numId w:val="3"/>
        </w:numPr>
        <w:spacing w:line="700" w:lineRule="exact"/>
        <w:jc w:val="left"/>
        <w:rPr>
          <w:rFonts w:ascii="宋体" w:cs="宋体"/>
          <w:sz w:val="32"/>
          <w:szCs w:val="32"/>
        </w:rPr>
      </w:pPr>
      <w:r>
        <w:rPr>
          <w:rFonts w:hint="eastAsia" w:ascii="宋体" w:hAnsi="宋体" w:cs="宋体"/>
          <w:sz w:val="32"/>
          <w:szCs w:val="32"/>
        </w:rPr>
        <w:t>收入支出决算总表</w:t>
      </w:r>
    </w:p>
    <w:p>
      <w:pPr>
        <w:numPr>
          <w:ilvl w:val="0"/>
          <w:numId w:val="3"/>
        </w:numPr>
        <w:spacing w:line="700" w:lineRule="exact"/>
        <w:jc w:val="left"/>
        <w:rPr>
          <w:rFonts w:ascii="宋体" w:cs="宋体"/>
          <w:sz w:val="32"/>
          <w:szCs w:val="32"/>
        </w:rPr>
      </w:pPr>
      <w:r>
        <w:rPr>
          <w:rFonts w:hint="eastAsia" w:ascii="宋体" w:hAnsi="宋体" w:cs="宋体"/>
          <w:sz w:val="32"/>
          <w:szCs w:val="32"/>
        </w:rPr>
        <w:t>收入决算表</w:t>
      </w:r>
    </w:p>
    <w:p>
      <w:pPr>
        <w:numPr>
          <w:ilvl w:val="0"/>
          <w:numId w:val="3"/>
        </w:numPr>
        <w:spacing w:line="700" w:lineRule="exact"/>
        <w:jc w:val="left"/>
        <w:rPr>
          <w:rFonts w:ascii="宋体" w:cs="宋体"/>
          <w:sz w:val="32"/>
          <w:szCs w:val="32"/>
        </w:rPr>
      </w:pPr>
      <w:r>
        <w:rPr>
          <w:rFonts w:hint="eastAsia" w:ascii="宋体" w:hAnsi="宋体" w:cs="宋体"/>
          <w:sz w:val="32"/>
          <w:szCs w:val="32"/>
        </w:rPr>
        <w:t>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财政拨款收入支出决算总表</w:t>
      </w:r>
    </w:p>
    <w:p>
      <w:pPr>
        <w:numPr>
          <w:ilvl w:val="0"/>
          <w:numId w:val="3"/>
        </w:numPr>
        <w:spacing w:line="700" w:lineRule="exact"/>
        <w:jc w:val="left"/>
        <w:rPr>
          <w:rFonts w:ascii="宋体" w:cs="宋体"/>
          <w:sz w:val="32"/>
          <w:szCs w:val="32"/>
        </w:rPr>
      </w:pPr>
      <w:r>
        <w:rPr>
          <w:rFonts w:hint="eastAsia" w:ascii="宋体" w:hAnsi="宋体" w:cs="宋体"/>
          <w:sz w:val="32"/>
          <w:szCs w:val="32"/>
        </w:rPr>
        <w:t>一般公共预算财政拨款支出决算表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一般公共预算财政拨款基本支出决算表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一般公共预算财政拨款“三公”经费支出决算表</w:t>
      </w:r>
    </w:p>
    <w:p>
      <w:pPr>
        <w:numPr>
          <w:ilvl w:val="0"/>
          <w:numId w:val="3"/>
        </w:numPr>
        <w:spacing w:line="700" w:lineRule="exact"/>
        <w:jc w:val="left"/>
        <w:rPr>
          <w:rFonts w:ascii="宋体" w:cs="宋体"/>
          <w:sz w:val="32"/>
          <w:szCs w:val="32"/>
        </w:rPr>
      </w:pPr>
      <w:r>
        <w:rPr>
          <w:rFonts w:hint="eastAsia" w:ascii="宋体" w:hAnsi="宋体" w:cs="宋体"/>
          <w:sz w:val="32"/>
          <w:szCs w:val="32"/>
        </w:rPr>
        <w:t>政府性基金预算财政拨款收入支出决算表</w:t>
      </w:r>
    </w:p>
    <w:p>
      <w:pPr>
        <w:jc w:val="left"/>
        <w:rPr>
          <w:rFonts w:ascii="宋体"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numPr>
          <w:ilvl w:val="0"/>
          <w:numId w:val="4"/>
        </w:numPr>
        <w:tabs>
          <w:tab w:val="left" w:pos="983"/>
          <w:tab w:val="center" w:pos="4692"/>
        </w:tabs>
        <w:jc w:val="center"/>
        <w:rPr>
          <w:rFonts w:ascii="宋体" w:cs="宋体"/>
          <w:sz w:val="48"/>
          <w:szCs w:val="48"/>
        </w:rPr>
      </w:pPr>
    </w:p>
    <w:p>
      <w:pPr>
        <w:tabs>
          <w:tab w:val="left" w:pos="983"/>
          <w:tab w:val="center" w:pos="4692"/>
        </w:tabs>
        <w:jc w:val="center"/>
        <w:rPr>
          <w:rFonts w:ascii="隶书" w:hAnsi="隶书" w:eastAsia="隶书" w:cs="隶书"/>
          <w:sz w:val="48"/>
          <w:szCs w:val="48"/>
        </w:rPr>
      </w:pPr>
    </w:p>
    <w:p>
      <w:pPr>
        <w:tabs>
          <w:tab w:val="left" w:pos="983"/>
          <w:tab w:val="center" w:pos="4692"/>
        </w:tabs>
        <w:jc w:val="center"/>
        <w:rPr>
          <w:rFonts w:ascii="隶书" w:hAnsi="隶书" w:eastAsia="隶书" w:cs="隶书"/>
          <w:sz w:val="48"/>
          <w:szCs w:val="48"/>
        </w:rPr>
      </w:pPr>
    </w:p>
    <w:p>
      <w:pPr>
        <w:tabs>
          <w:tab w:val="left" w:pos="983"/>
          <w:tab w:val="center" w:pos="4692"/>
        </w:tabs>
        <w:jc w:val="center"/>
        <w:rPr>
          <w:rFonts w:ascii="隶书" w:hAnsi="隶书" w:eastAsia="隶书" w:cs="隶书"/>
          <w:sz w:val="48"/>
          <w:szCs w:val="48"/>
        </w:rPr>
      </w:pPr>
    </w:p>
    <w:p>
      <w:pPr>
        <w:tabs>
          <w:tab w:val="left" w:pos="983"/>
          <w:tab w:val="center" w:pos="4692"/>
        </w:tabs>
        <w:ind w:firstLine="960" w:firstLineChars="200"/>
        <w:rPr>
          <w:rFonts w:ascii="仿宋_GB2312" w:hAnsi="仿宋_GB2312" w:eastAsia="仿宋_GB2312" w:cs="仿宋_GB2312"/>
          <w:sz w:val="48"/>
          <w:szCs w:val="48"/>
        </w:rPr>
      </w:pPr>
      <w:r>
        <w:rPr>
          <w:rFonts w:hint="eastAsia" w:ascii="仿宋_GB2312" w:hAnsi="仿宋_GB2312" w:eastAsia="仿宋_GB2312" w:cs="仿宋_GB2312"/>
          <w:sz w:val="48"/>
          <w:szCs w:val="48"/>
          <w:lang w:eastAsia="zh-CN"/>
        </w:rPr>
        <w:t>信阳市浉河区粮食和物资储备中心</w:t>
      </w:r>
      <w:r>
        <w:rPr>
          <w:rFonts w:hint="eastAsia" w:ascii="仿宋_GB2312" w:hAnsi="仿宋_GB2312" w:eastAsia="仿宋_GB2312" w:cs="仿宋_GB2312"/>
          <w:sz w:val="48"/>
          <w:szCs w:val="48"/>
        </w:rPr>
        <w:t>概况</w:t>
      </w:r>
    </w:p>
    <w:p>
      <w:pPr>
        <w:tabs>
          <w:tab w:val="left" w:pos="983"/>
          <w:tab w:val="center" w:pos="4692"/>
        </w:tabs>
        <w:rPr>
          <w:rFonts w:ascii="隶书" w:hAnsi="隶书" w:eastAsia="隶书" w:cs="隶书"/>
          <w:sz w:val="48"/>
          <w:szCs w:val="48"/>
        </w:rPr>
      </w:pPr>
    </w:p>
    <w:p>
      <w:pPr>
        <w:jc w:val="center"/>
        <w:rPr>
          <w:rFonts w:ascii="仿宋_GB2312" w:hAnsi="仿宋_GB2312" w:eastAsia="仿宋_GB2312" w:cs="仿宋_GB2312"/>
          <w:sz w:val="32"/>
          <w:szCs w:val="32"/>
        </w:rPr>
      </w:pPr>
    </w:p>
    <w:p>
      <w:pPr>
        <w:spacing w:line="520" w:lineRule="exact"/>
        <w:ind w:left="420" w:leftChars="200" w:firstLine="964" w:firstLineChars="300"/>
        <w:rPr>
          <w:rFonts w:ascii="仿宋_GB2312" w:hAnsi="仿宋_GB2312" w:eastAsia="仿宋_GB2312" w:cs="仿宋_GB2312"/>
          <w:b/>
          <w:bCs/>
          <w:color w:val="0000FF"/>
          <w:sz w:val="32"/>
          <w:szCs w:val="32"/>
        </w:rPr>
      </w:pPr>
    </w:p>
    <w:p>
      <w:pPr>
        <w:spacing w:line="520" w:lineRule="exact"/>
        <w:ind w:left="420" w:leftChars="200" w:firstLine="964" w:firstLineChars="300"/>
        <w:rPr>
          <w:rFonts w:ascii="仿宋_GB2312" w:hAnsi="仿宋_GB2312" w:eastAsia="仿宋_GB2312" w:cs="仿宋_GB2312"/>
          <w:b/>
          <w:bCs/>
          <w:color w:val="0000FF"/>
          <w:sz w:val="32"/>
          <w:szCs w:val="32"/>
        </w:rPr>
      </w:pPr>
    </w:p>
    <w:p>
      <w:pPr>
        <w:spacing w:line="520" w:lineRule="exact"/>
        <w:ind w:left="420" w:leftChars="200" w:firstLine="964" w:firstLineChars="300"/>
        <w:rPr>
          <w:rFonts w:ascii="仿宋_GB2312" w:hAnsi="仿宋_GB2312" w:eastAsia="仿宋_GB2312" w:cs="仿宋_GB2312"/>
          <w:b/>
          <w:bCs/>
          <w:color w:val="0000FF"/>
          <w:sz w:val="32"/>
          <w:szCs w:val="32"/>
        </w:rPr>
      </w:pPr>
    </w:p>
    <w:p>
      <w:pPr>
        <w:spacing w:line="520" w:lineRule="exact"/>
        <w:ind w:left="420" w:leftChars="200" w:firstLine="964" w:firstLineChars="300"/>
        <w:rPr>
          <w:rFonts w:ascii="仿宋_GB2312" w:hAnsi="仿宋_GB2312" w:eastAsia="仿宋_GB2312" w:cs="仿宋_GB2312"/>
          <w:b/>
          <w:bCs/>
          <w:color w:val="0000FF"/>
          <w:sz w:val="32"/>
          <w:szCs w:val="32"/>
        </w:rPr>
      </w:pPr>
    </w:p>
    <w:p>
      <w:pPr>
        <w:spacing w:line="520" w:lineRule="exact"/>
        <w:ind w:left="420" w:leftChars="200" w:firstLine="964" w:firstLineChars="300"/>
        <w:rPr>
          <w:rFonts w:ascii="仿宋_GB2312" w:hAnsi="仿宋_GB2312" w:eastAsia="仿宋_GB2312" w:cs="仿宋_GB2312"/>
          <w:b/>
          <w:bCs/>
          <w:color w:val="0000FF"/>
          <w:sz w:val="32"/>
          <w:szCs w:val="32"/>
        </w:rPr>
      </w:pPr>
    </w:p>
    <w:p>
      <w:pPr>
        <w:spacing w:line="520" w:lineRule="exact"/>
        <w:ind w:left="420" w:leftChars="200" w:firstLine="964" w:firstLineChars="300"/>
        <w:rPr>
          <w:rFonts w:ascii="仿宋_GB2312" w:hAnsi="仿宋_GB2312" w:eastAsia="仿宋_GB2312" w:cs="仿宋_GB2312"/>
          <w:b/>
          <w:bCs/>
          <w:color w:val="0000FF"/>
          <w:sz w:val="32"/>
          <w:szCs w:val="32"/>
        </w:rPr>
      </w:pPr>
    </w:p>
    <w:p>
      <w:pPr>
        <w:spacing w:line="520" w:lineRule="exact"/>
        <w:rPr>
          <w:rFonts w:ascii="仿宋_GB2312" w:hAnsi="仿宋_GB2312" w:eastAsia="仿宋_GB2312" w:cs="仿宋_GB2312"/>
          <w:b/>
          <w:bCs/>
          <w:color w:val="0000FF"/>
          <w:sz w:val="32"/>
          <w:szCs w:val="32"/>
        </w:rPr>
      </w:pPr>
    </w:p>
    <w:p>
      <w:pPr>
        <w:spacing w:line="520" w:lineRule="exact"/>
        <w:ind w:firstLine="321" w:firstLineChars="100"/>
        <w:rPr>
          <w:rFonts w:ascii="仿宋_GB2312" w:hAnsi="仿宋_GB2312" w:eastAsia="仿宋_GB2312" w:cs="仿宋_GB2312"/>
          <w:b/>
          <w:bCs/>
          <w:color w:val="0000FF"/>
          <w:sz w:val="32"/>
          <w:szCs w:val="32"/>
        </w:rPr>
      </w:pPr>
    </w:p>
    <w:p>
      <w:pPr>
        <w:spacing w:line="520" w:lineRule="exact"/>
        <w:ind w:firstLine="321" w:firstLineChars="100"/>
        <w:rPr>
          <w:rFonts w:ascii="仿宋_GB2312" w:hAnsi="仿宋_GB2312" w:eastAsia="仿宋_GB2312" w:cs="仿宋_GB2312"/>
          <w:b/>
          <w:bCs/>
          <w:color w:val="0000FF"/>
          <w:sz w:val="32"/>
          <w:szCs w:val="32"/>
        </w:rPr>
      </w:pPr>
    </w:p>
    <w:p>
      <w:pPr>
        <w:spacing w:line="520" w:lineRule="exact"/>
        <w:ind w:firstLine="321" w:firstLineChars="100"/>
        <w:rPr>
          <w:rFonts w:ascii="仿宋_GB2312" w:hAnsi="仿宋_GB2312" w:eastAsia="仿宋_GB2312" w:cs="仿宋_GB2312"/>
          <w:b/>
          <w:bCs/>
          <w:color w:val="0000FF"/>
          <w:sz w:val="32"/>
          <w:szCs w:val="32"/>
        </w:rPr>
      </w:pPr>
    </w:p>
    <w:p>
      <w:pPr>
        <w:spacing w:line="520" w:lineRule="exact"/>
        <w:ind w:firstLine="321" w:firstLineChars="100"/>
        <w:rPr>
          <w:rFonts w:ascii="仿宋_GB2312" w:hAnsi="仿宋_GB2312" w:eastAsia="仿宋_GB2312" w:cs="仿宋_GB2312"/>
          <w:b/>
          <w:bCs/>
          <w:color w:val="0000FF"/>
          <w:sz w:val="32"/>
          <w:szCs w:val="32"/>
        </w:rPr>
      </w:pPr>
    </w:p>
    <w:p>
      <w:pPr>
        <w:spacing w:line="520" w:lineRule="exact"/>
        <w:ind w:firstLine="321" w:firstLineChars="100"/>
        <w:rPr>
          <w:rFonts w:ascii="仿宋_GB2312" w:hAnsi="仿宋_GB2312" w:eastAsia="仿宋_GB2312" w:cs="仿宋_GB2312"/>
          <w:b/>
          <w:bCs/>
          <w:color w:val="0000FF"/>
          <w:sz w:val="32"/>
          <w:szCs w:val="32"/>
        </w:rPr>
      </w:pPr>
    </w:p>
    <w:p>
      <w:pPr>
        <w:spacing w:line="520" w:lineRule="exact"/>
        <w:ind w:firstLine="321" w:firstLineChars="100"/>
        <w:rPr>
          <w:rFonts w:ascii="仿宋_GB2312" w:hAnsi="仿宋_GB2312" w:eastAsia="仿宋_GB2312" w:cs="仿宋_GB2312"/>
          <w:b/>
          <w:bCs/>
          <w:sz w:val="32"/>
          <w:szCs w:val="32"/>
        </w:rPr>
      </w:pPr>
    </w:p>
    <w:p>
      <w:pPr>
        <w:spacing w:line="520" w:lineRule="exact"/>
        <w:ind w:firstLine="321" w:firstLineChars="100"/>
        <w:rPr>
          <w:rFonts w:ascii="仿宋_GB2312" w:hAnsi="仿宋_GB2312" w:eastAsia="仿宋_GB2312" w:cs="仿宋_GB2312"/>
          <w:b/>
          <w:bCs/>
          <w:sz w:val="32"/>
          <w:szCs w:val="32"/>
        </w:rPr>
      </w:pPr>
    </w:p>
    <w:p>
      <w:pPr>
        <w:spacing w:line="520" w:lineRule="exact"/>
        <w:ind w:firstLine="321" w:firstLineChars="100"/>
        <w:rPr>
          <w:rFonts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一、部门职责</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信阳市浉河区粮食和物资储备中心</w:t>
      </w:r>
      <w:r>
        <w:rPr>
          <w:rFonts w:hint="eastAsia" w:ascii="仿宋_GB2312" w:hAnsi="仿宋_GB2312" w:eastAsia="仿宋_GB2312" w:cs="仿宋_GB2312"/>
          <w:sz w:val="32"/>
          <w:szCs w:val="32"/>
        </w:rPr>
        <w:t>的主要职责是：</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（一）贯彻执行国家粮食流通和粮油储备的方针、政策及法律、法规，拟定全区粮食流通体制及地方粮油储备管理体制，并监督执行。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（二）负责全区粮油收购资格的核查、管理工作。配合相关部门搞好辖区粮油市场管理；拟定区级储备粮油轮换计划的管理并监督实施。</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（三）拟定并组织实施全区粮食流通和地方粮油储备中长期规划、粮油总量平衡、宏观调控和进出口计划，承担辖区粮油监测、预警、应急行政管理责任。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（四）承担国家、省、市粮油惠农政策的落实。按政策收购、储备、管理国家、省、市储备粮。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（五）负责辖区军队粮油供给，执行省军供粮油产销合同。</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（六）指导和初审辖区粮油仓储、加工粮食流通设施投资项目。</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（七）负责粮食系统国有及控股企业的财务、会计管理、内部审计、人事管理及职工教育培训工作。</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（八）监管全区粮食行业协会及合类专业协会等社团组织，为农民及合作组织提供粮油信息服务。</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（九）负责全社会粮食流通统计工作。</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（十）承担区政府交办的其它事项。</w:t>
      </w:r>
    </w:p>
    <w:p>
      <w:pPr>
        <w:spacing w:line="520" w:lineRule="exact"/>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二、机构设置</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信阳市浉河区粮食和物资储备中心</w:t>
      </w:r>
      <w:r>
        <w:rPr>
          <w:rFonts w:hint="eastAsia" w:ascii="仿宋_GB2312" w:hAnsi="仿宋_GB2312" w:eastAsia="仿宋_GB2312" w:cs="仿宋_GB2312"/>
          <w:sz w:val="32"/>
          <w:szCs w:val="32"/>
        </w:rPr>
        <w:t>内设行政管理办公室、业务管理科、财务基建科、监察审计科、企业改革办公室共三科二室。</w:t>
      </w:r>
    </w:p>
    <w:p>
      <w:pPr>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ascii="仿宋_GB2312" w:hAnsi="仿宋_GB2312" w:eastAsia="仿宋_GB2312" w:cs="仿宋_GB2312"/>
          <w:sz w:val="32"/>
          <w:szCs w:val="32"/>
        </w:rPr>
        <w:t>决算为汇总决算，2018</w:t>
      </w:r>
      <w:r>
        <w:rPr>
          <w:rFonts w:hint="eastAsia" w:ascii="仿宋_GB2312" w:hAnsi="仿宋_GB2312" w:eastAsia="仿宋_GB2312" w:cs="仿宋_GB2312"/>
          <w:sz w:val="32"/>
          <w:szCs w:val="32"/>
        </w:rPr>
        <w:t>年度，信阳市浉河区粮食和物资储备中心决算包含本级决算，和</w:t>
      </w:r>
      <w:bookmarkStart w:id="0" w:name="_GoBack"/>
      <w:bookmarkEnd w:id="0"/>
      <w:r>
        <w:rPr>
          <w:rFonts w:hint="eastAsia" w:ascii="仿宋_GB2312" w:hAnsi="仿宋_GB2312" w:eastAsia="仿宋_GB2312" w:cs="仿宋_GB2312"/>
          <w:sz w:val="32"/>
          <w:szCs w:val="32"/>
        </w:rPr>
        <w:t>粮食局行政执法稽查大队在内得汇总决算，因执法稽查大队未独立核算。</w:t>
      </w:r>
    </w:p>
    <w:p>
      <w:pPr>
        <w:spacing w:line="520" w:lineRule="exact"/>
        <w:ind w:firstLine="960" w:firstLineChars="300"/>
        <w:rPr>
          <w:rFonts w:ascii="仿宋_GB2312" w:hAnsi="仿宋_GB2312" w:eastAsia="仿宋_GB2312" w:cs="仿宋_GB2312"/>
          <w:sz w:val="32"/>
          <w:szCs w:val="32"/>
        </w:rPr>
      </w:pPr>
    </w:p>
    <w:p>
      <w:pPr>
        <w:spacing w:line="520" w:lineRule="exact"/>
        <w:ind w:firstLine="3360" w:firstLineChars="700"/>
        <w:rPr>
          <w:rFonts w:ascii="隶书" w:hAnsi="隶书" w:eastAsia="隶书" w:cs="隶书"/>
          <w:sz w:val="48"/>
          <w:szCs w:val="48"/>
        </w:rPr>
      </w:pPr>
      <w:r>
        <w:rPr>
          <w:rFonts w:hint="eastAsia" w:ascii="隶书" w:hAnsi="隶书" w:eastAsia="隶书" w:cs="隶书"/>
          <w:sz w:val="48"/>
          <w:szCs w:val="48"/>
        </w:rPr>
        <w:t>第二部分</w:t>
      </w:r>
    </w:p>
    <w:p>
      <w:pPr>
        <w:spacing w:line="520" w:lineRule="exact"/>
        <w:ind w:firstLine="960" w:firstLineChars="200"/>
        <w:rPr>
          <w:rFonts w:ascii="隶书" w:hAnsi="隶书" w:eastAsia="隶书" w:cs="隶书"/>
          <w:sz w:val="48"/>
          <w:szCs w:val="48"/>
        </w:rPr>
      </w:pPr>
    </w:p>
    <w:p>
      <w:pPr>
        <w:spacing w:line="520" w:lineRule="exact"/>
        <w:ind w:firstLine="960" w:firstLineChars="200"/>
        <w:rPr>
          <w:rFonts w:ascii="隶书" w:hAnsi="隶书" w:eastAsia="隶书" w:cs="隶书"/>
          <w:sz w:val="48"/>
          <w:szCs w:val="48"/>
        </w:rPr>
      </w:pPr>
    </w:p>
    <w:p>
      <w:pPr>
        <w:spacing w:line="520" w:lineRule="exact"/>
        <w:ind w:firstLine="960" w:firstLineChars="200"/>
        <w:rPr>
          <w:rFonts w:ascii="隶书" w:hAnsi="隶书" w:eastAsia="隶书" w:cs="隶书"/>
          <w:sz w:val="48"/>
          <w:szCs w:val="48"/>
        </w:rPr>
      </w:pPr>
    </w:p>
    <w:p>
      <w:pPr>
        <w:spacing w:line="520" w:lineRule="exact"/>
        <w:ind w:firstLine="960" w:firstLineChars="200"/>
        <w:rPr>
          <w:rFonts w:ascii="隶书" w:hAnsi="隶书" w:eastAsia="隶书" w:cs="隶书"/>
          <w:sz w:val="48"/>
          <w:szCs w:val="48"/>
        </w:rPr>
      </w:pPr>
    </w:p>
    <w:p>
      <w:pPr>
        <w:spacing w:line="520" w:lineRule="exact"/>
        <w:ind w:firstLine="960" w:firstLineChars="200"/>
        <w:rPr>
          <w:rFonts w:hint="eastAsia" w:ascii="隶书" w:hAnsi="隶书" w:eastAsia="隶书" w:cs="隶书"/>
          <w:sz w:val="48"/>
          <w:szCs w:val="48"/>
          <w:lang w:eastAsia="zh-CN"/>
        </w:rPr>
      </w:pPr>
      <w:r>
        <w:rPr>
          <w:rFonts w:hint="eastAsia" w:ascii="隶书" w:hAnsi="隶书" w:eastAsia="隶书" w:cs="隶书"/>
          <w:sz w:val="48"/>
          <w:szCs w:val="48"/>
          <w:lang w:eastAsia="zh-CN"/>
        </w:rPr>
        <w:t>信阳市浉河区粮食和物资储备中心</w:t>
      </w:r>
    </w:p>
    <w:p>
      <w:pPr>
        <w:spacing w:line="520" w:lineRule="exact"/>
        <w:ind w:firstLine="960" w:firstLineChars="200"/>
        <w:rPr>
          <w:rFonts w:hint="eastAsia" w:ascii="隶书" w:hAnsi="隶书" w:eastAsia="隶书" w:cs="隶书"/>
          <w:sz w:val="48"/>
          <w:szCs w:val="48"/>
          <w:lang w:eastAsia="zh-CN"/>
        </w:rPr>
      </w:pPr>
    </w:p>
    <w:p>
      <w:pPr>
        <w:spacing w:line="520" w:lineRule="exact"/>
        <w:ind w:firstLine="1440" w:firstLineChars="300"/>
        <w:rPr>
          <w:rFonts w:ascii="仿宋" w:hAnsi="仿宋" w:eastAsia="仿宋"/>
          <w:sz w:val="36"/>
          <w:szCs w:val="36"/>
        </w:rPr>
      </w:pPr>
      <w:r>
        <w:rPr>
          <w:rFonts w:ascii="隶书" w:hAnsi="隶书" w:eastAsia="隶书" w:cs="隶书"/>
          <w:sz w:val="48"/>
          <w:szCs w:val="48"/>
        </w:rPr>
        <w:t>2018</w:t>
      </w:r>
      <w:r>
        <w:rPr>
          <w:rFonts w:hint="eastAsia" w:ascii="隶书" w:hAnsi="隶书" w:eastAsia="隶书" w:cs="隶书"/>
          <w:sz w:val="48"/>
          <w:szCs w:val="48"/>
        </w:rPr>
        <w:t>年度部门决算情况说明</w:t>
      </w:r>
    </w:p>
    <w:p>
      <w:pPr>
        <w:pStyle w:val="3"/>
        <w:spacing w:line="560" w:lineRule="exact"/>
        <w:rPr>
          <w:rFonts w:ascii="仿宋" w:hAnsi="仿宋" w:eastAsia="仿宋"/>
          <w:sz w:val="32"/>
          <w:szCs w:val="32"/>
        </w:rPr>
      </w:pPr>
    </w:p>
    <w:p>
      <w:pPr>
        <w:spacing w:line="520" w:lineRule="exact"/>
        <w:jc w:val="center"/>
        <w:rPr>
          <w:rFonts w:ascii="仿宋_GB2312" w:hAnsi="仿宋_GB2312" w:eastAsia="仿宋_GB2312" w:cs="仿宋_GB2312"/>
          <w:sz w:val="32"/>
          <w:szCs w:val="32"/>
        </w:rPr>
      </w:pPr>
    </w:p>
    <w:p>
      <w:pPr>
        <w:ind w:firstLine="320" w:firstLineChars="100"/>
        <w:rPr>
          <w:rFonts w:ascii="仿宋_GB2312" w:hAnsi="仿宋_GB2312" w:eastAsia="仿宋_GB2312" w:cs="仿宋_GB2312"/>
          <w:sz w:val="32"/>
          <w:szCs w:val="32"/>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spacing w:line="520" w:lineRule="exact"/>
        <w:rPr>
          <w:rFonts w:ascii="隶书" w:hAnsi="隶书" w:eastAsia="隶书" w:cs="隶书"/>
          <w:sz w:val="48"/>
          <w:szCs w:val="48"/>
        </w:rPr>
      </w:pPr>
    </w:p>
    <w:p>
      <w:pPr>
        <w:tabs>
          <w:tab w:val="left" w:pos="3383"/>
          <w:tab w:val="center" w:pos="4692"/>
        </w:tabs>
        <w:ind w:firstLine="643" w:firstLineChars="200"/>
        <w:jc w:val="left"/>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一、收入支出决算总体情况说明</w:t>
      </w:r>
    </w:p>
    <w:p>
      <w:pPr>
        <w:widowControl/>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2018年度收入、支出总计均为1,378.15万元，与2017年相比，收、支总计均</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105.09万元，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7.09%。决算数</w:t>
      </w:r>
      <w:r>
        <w:rPr>
          <w:rFonts w:hint="eastAsia" w:ascii="仿宋_GB2312" w:hAnsi="仿宋_GB2312" w:eastAsia="仿宋_GB2312" w:cs="仿宋_GB2312"/>
          <w:sz w:val="32"/>
          <w:szCs w:val="32"/>
          <w:lang w:val="en-US" w:eastAsia="zh-CN"/>
        </w:rPr>
        <w:t>小于</w:t>
      </w:r>
      <w:r>
        <w:rPr>
          <w:rFonts w:hint="eastAsia" w:ascii="仿宋_GB2312" w:hAnsi="仿宋_GB2312" w:eastAsia="仿宋_GB2312" w:cs="仿宋_GB2312"/>
          <w:sz w:val="32"/>
          <w:szCs w:val="32"/>
        </w:rPr>
        <w:t>去年决算数的主要原因是</w:t>
      </w:r>
      <w:r>
        <w:rPr>
          <w:rFonts w:hint="eastAsia" w:ascii="仿宋_GB2312" w:hAnsi="仿宋_GB2312" w:eastAsia="仿宋_GB2312" w:cs="仿宋_GB2312"/>
          <w:sz w:val="32"/>
          <w:szCs w:val="32"/>
          <w:lang w:val="en-US" w:eastAsia="zh-CN"/>
        </w:rPr>
        <w:t>厉行节俭</w:t>
      </w:r>
      <w:r>
        <w:rPr>
          <w:rFonts w:hint="eastAsia" w:ascii="仿宋_GB2312" w:hAnsi="仿宋_GB2312" w:eastAsia="仿宋_GB2312" w:cs="仿宋_GB2312"/>
          <w:sz w:val="32"/>
          <w:szCs w:val="32"/>
        </w:rPr>
        <w:t>。</w:t>
      </w:r>
    </w:p>
    <w:p>
      <w:pPr>
        <w:widowControl/>
        <w:tabs>
          <w:tab w:val="left" w:pos="938"/>
        </w:tabs>
        <w:adjustRightInd w:val="0"/>
        <w:snapToGrid w:val="0"/>
        <w:spacing w:line="54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二、收入决算情况说明</w:t>
      </w:r>
    </w:p>
    <w:p>
      <w:pPr>
        <w:widowControl/>
        <w:adjustRightInd w:val="0"/>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年度收入合计</w:t>
      </w:r>
      <w:r>
        <w:rPr>
          <w:rFonts w:ascii="仿宋_GB2312" w:hAnsi="仿宋_GB2312" w:eastAsia="仿宋_GB2312" w:cs="仿宋_GB2312"/>
          <w:sz w:val="32"/>
          <w:szCs w:val="32"/>
        </w:rPr>
        <w:t>807.15</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807.15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100 %</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 xml:space="preserve">0 </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 xml:space="preserve"> 0 %</w:t>
      </w:r>
      <w:r>
        <w:rPr>
          <w:rFonts w:hint="eastAsia" w:ascii="仿宋_GB2312" w:hAnsi="仿宋_GB2312" w:eastAsia="仿宋_GB2312" w:cs="仿宋_GB2312"/>
          <w:sz w:val="32"/>
          <w:szCs w:val="32"/>
        </w:rPr>
        <w:t>；经营收入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 xml:space="preserve"> 0 %</w:t>
      </w:r>
      <w:r>
        <w:rPr>
          <w:rFonts w:hint="eastAsia" w:ascii="仿宋_GB2312" w:hAnsi="仿宋_GB2312" w:eastAsia="仿宋_GB2312" w:cs="仿宋_GB2312"/>
          <w:sz w:val="32"/>
          <w:szCs w:val="32"/>
        </w:rPr>
        <w:t>；其他收入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0 %</w:t>
      </w:r>
      <w:r>
        <w:rPr>
          <w:rFonts w:hint="eastAsia" w:ascii="仿宋_GB2312" w:hAnsi="仿宋_GB2312" w:eastAsia="仿宋_GB2312" w:cs="仿宋_GB2312"/>
          <w:sz w:val="32"/>
          <w:szCs w:val="32"/>
        </w:rPr>
        <w:t>。</w:t>
      </w:r>
    </w:p>
    <w:p>
      <w:pPr>
        <w:widowControl/>
        <w:adjustRightInd w:val="0"/>
        <w:snapToGrid w:val="0"/>
        <w:spacing w:line="54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三、支出决算情况说明</w:t>
      </w:r>
    </w:p>
    <w:p>
      <w:pPr>
        <w:widowControl/>
        <w:adjustRightInd w:val="0"/>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年度支出合计</w:t>
      </w:r>
      <w:r>
        <w:rPr>
          <w:rFonts w:ascii="仿宋_GB2312" w:hAnsi="仿宋_GB2312" w:eastAsia="仿宋_GB2312" w:cs="仿宋_GB2312"/>
          <w:sz w:val="32"/>
          <w:szCs w:val="32"/>
        </w:rPr>
        <w:t>1053.15</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715</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338.15</w:t>
      </w:r>
      <w:r>
        <w:rPr>
          <w:rFonts w:hint="eastAsia" w:ascii="仿宋_GB2312" w:hAnsi="仿宋_GB2312" w:eastAsia="仿宋_GB2312" w:cs="仿宋_GB2312"/>
          <w:sz w:val="32"/>
          <w:szCs w:val="32"/>
        </w:rPr>
        <w:t>万元，占支出总额</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；经营支出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tabs>
          <w:tab w:val="left" w:pos="608"/>
        </w:tabs>
        <w:adjustRightInd w:val="0"/>
        <w:snapToGrid w:val="0"/>
        <w:spacing w:line="540" w:lineRule="exact"/>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四、财政拨款收入支出决算总体情况说明</w:t>
      </w:r>
    </w:p>
    <w:p>
      <w:pPr>
        <w:widowControl/>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2018年度财政拨款收入、支出总计均为1,378.15万元，与2017年相比，收、支总计均减少105.09万元，减少7.09%。决算数小于去年决算数的主要原因是厉行节俭。</w:t>
      </w:r>
    </w:p>
    <w:p>
      <w:pPr>
        <w:widowControl/>
        <w:tabs>
          <w:tab w:val="left" w:pos="1013"/>
        </w:tabs>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五、一般公共预算财政拨款支出决算情况说明</w:t>
      </w:r>
    </w:p>
    <w:p>
      <w:pPr>
        <w:widowControl/>
        <w:numPr>
          <w:ilvl w:val="0"/>
          <w:numId w:val="5"/>
        </w:numPr>
        <w:adjustRightInd w:val="0"/>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总体情况</w:t>
      </w:r>
      <w:r>
        <w:rPr>
          <w:rFonts w:hint="eastAsia" w:ascii="仿宋_GB2312" w:hAnsi="仿宋_GB2312" w:eastAsia="仿宋_GB2312" w:cs="仿宋_GB2312"/>
          <w:sz w:val="32"/>
          <w:szCs w:val="32"/>
        </w:rPr>
        <w:t>。</w:t>
      </w:r>
    </w:p>
    <w:p>
      <w:pPr>
        <w:widowControl/>
        <w:adjustRightInd w:val="0"/>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年一般公共预算财政拨款支出</w:t>
      </w:r>
      <w:r>
        <w:rPr>
          <w:rFonts w:ascii="仿宋_GB2312" w:hAnsi="仿宋_GB2312" w:eastAsia="仿宋_GB2312" w:cs="仿宋_GB2312"/>
          <w:sz w:val="32"/>
          <w:szCs w:val="32"/>
        </w:rPr>
        <w:t>1053.15</w:t>
      </w:r>
      <w:r>
        <w:rPr>
          <w:rFonts w:hint="eastAsia" w:ascii="仿宋_GB2312" w:hAnsi="仿宋_GB2312" w:eastAsia="仿宋_GB2312" w:cs="仿宋_GB2312"/>
          <w:sz w:val="32"/>
          <w:szCs w:val="32"/>
        </w:rPr>
        <w:t>万元，占支出合计的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年相比，一般公共预算财政拨款支出增加</w:t>
      </w:r>
      <w:r>
        <w:rPr>
          <w:rFonts w:ascii="仿宋_GB2312" w:hAnsi="仿宋_GB2312" w:eastAsia="仿宋_GB2312" w:cs="仿宋_GB2312"/>
          <w:sz w:val="32"/>
          <w:szCs w:val="32"/>
        </w:rPr>
        <w:t>147.93</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16.3%</w:t>
      </w:r>
      <w:r>
        <w:rPr>
          <w:rFonts w:hint="eastAsia" w:ascii="仿宋_GB2312" w:hAnsi="仿宋_GB2312" w:eastAsia="仿宋_GB2312" w:cs="仿宋_GB2312"/>
          <w:sz w:val="32"/>
          <w:szCs w:val="32"/>
        </w:rPr>
        <w:t>。主要原因属过渡期保险及抚恤金</w:t>
      </w:r>
      <w:r>
        <w:rPr>
          <w:rFonts w:ascii="仿宋_GB2312" w:hAnsi="仿宋_GB2312" w:eastAsia="仿宋_GB2312" w:cs="仿宋_GB2312"/>
          <w:sz w:val="32"/>
          <w:szCs w:val="32"/>
        </w:rPr>
        <w:t xml:space="preserve">32.83  </w:t>
      </w:r>
      <w:r>
        <w:rPr>
          <w:rFonts w:hint="eastAsia" w:ascii="仿宋_GB2312" w:hAnsi="仿宋_GB2312" w:eastAsia="仿宋_GB2312" w:cs="仿宋_GB2312"/>
          <w:sz w:val="32"/>
          <w:szCs w:val="32"/>
        </w:rPr>
        <w:t>万元在本年拨入并支付，另项目支出中增加购置快检设备及军粮供应专项资金等</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多万元使本年收入支出均较上年增加。</w:t>
      </w:r>
    </w:p>
    <w:p>
      <w:pPr>
        <w:widowControl/>
        <w:adjustRightInd w:val="0"/>
        <w:snapToGrid w:val="0"/>
        <w:spacing w:line="540" w:lineRule="exact"/>
        <w:ind w:firstLine="640" w:firstLineChars="200"/>
        <w:rPr>
          <w:rFonts w:ascii="仿宋_GB2312" w:hAnsi="仿宋_GB2312" w:eastAsia="仿宋_GB2312" w:cs="仿宋_GB2312"/>
          <w:sz w:val="32"/>
          <w:szCs w:val="32"/>
        </w:rPr>
      </w:pPr>
    </w:p>
    <w:p>
      <w:pPr>
        <w:widowControl/>
        <w:numPr>
          <w:ilvl w:val="0"/>
          <w:numId w:val="5"/>
        </w:numPr>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结构情况。</w:t>
      </w:r>
    </w:p>
    <w:p>
      <w:pPr>
        <w:widowControl/>
        <w:adjustRightInd w:val="0"/>
        <w:snapToGrid w:val="0"/>
        <w:spacing w:line="54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年度一般公共预算财政拨款支出</w:t>
      </w:r>
      <w:r>
        <w:rPr>
          <w:rFonts w:ascii="仿宋_GB2312" w:hAnsi="仿宋_GB2312" w:eastAsia="仿宋_GB2312" w:cs="仿宋_GB2312"/>
          <w:sz w:val="32"/>
          <w:szCs w:val="32"/>
        </w:rPr>
        <w:t>1053.15</w:t>
      </w:r>
      <w:r>
        <w:rPr>
          <w:rFonts w:hint="eastAsia" w:ascii="仿宋_GB2312" w:hAnsi="仿宋_GB2312" w:eastAsia="仿宋_GB2312" w:cs="仿宋_GB2312"/>
          <w:sz w:val="32"/>
          <w:szCs w:val="32"/>
        </w:rPr>
        <w:t>万元，主要用于以下方面：社会保障和就业（类）支出100.71万元，占9.56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；医疗卫生与计划生育（类）支出8.19万元，占0.78%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；医疗卫生与计划生育（类）支出8.19万元，占0.78%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；住房保障（类）支出10.81万元，占1.03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粮油物资储备（类）支出933.44万元，占88.63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numPr>
          <w:ilvl w:val="0"/>
          <w:numId w:val="6"/>
        </w:numPr>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具体情况</w:t>
      </w:r>
    </w:p>
    <w:p>
      <w:pPr>
        <w:pStyle w:val="7"/>
        <w:autoSpaceDE w:val="0"/>
        <w:spacing w:before="0" w:beforeAutospacing="0" w:line="590" w:lineRule="exact"/>
        <w:ind w:left="319" w:leftChars="152" w:firstLine="320" w:firstLineChars="100"/>
        <w:rPr>
          <w:rFonts w:ascii="仿宋_GB2312" w:eastAsia="仿宋_GB2312"/>
          <w:kern w:val="2"/>
          <w:sz w:val="32"/>
          <w:szCs w:val="32"/>
        </w:rPr>
      </w:pPr>
      <w:r>
        <w:rPr>
          <w:rFonts w:ascii="仿宋_GB2312" w:hAnsi="仿宋_GB2312" w:eastAsia="仿宋_GB2312" w:cs="仿宋_GB2312"/>
          <w:sz w:val="32"/>
          <w:szCs w:val="32"/>
        </w:rPr>
        <w:t xml:space="preserve"> </w:t>
      </w:r>
      <w:r>
        <w:rPr>
          <w:rFonts w:ascii="仿宋_GB2312" w:eastAsia="仿宋_GB2312"/>
          <w:kern w:val="2"/>
          <w:sz w:val="32"/>
          <w:szCs w:val="32"/>
        </w:rPr>
        <w:t>2018</w:t>
      </w:r>
      <w:r>
        <w:rPr>
          <w:rFonts w:hint="eastAsia" w:ascii="仿宋_GB2312" w:eastAsia="仿宋_GB2312"/>
          <w:kern w:val="2"/>
          <w:sz w:val="32"/>
          <w:szCs w:val="32"/>
        </w:rPr>
        <w:t>年度一般公共预算财政拨款支出年初预算为</w:t>
      </w:r>
      <w:r>
        <w:rPr>
          <w:rFonts w:ascii="仿宋_GB2312" w:eastAsia="仿宋_GB2312"/>
          <w:kern w:val="2"/>
          <w:sz w:val="32"/>
          <w:szCs w:val="32"/>
        </w:rPr>
        <w:t>452</w:t>
      </w:r>
      <w:r>
        <w:rPr>
          <w:rFonts w:hint="eastAsia" w:ascii="仿宋_GB2312" w:eastAsia="仿宋_GB2312"/>
          <w:kern w:val="2"/>
          <w:sz w:val="32"/>
          <w:szCs w:val="32"/>
        </w:rPr>
        <w:t>万元，支出决算为</w:t>
      </w:r>
      <w:r>
        <w:rPr>
          <w:rFonts w:ascii="仿宋_GB2312" w:eastAsia="仿宋_GB2312"/>
          <w:kern w:val="2"/>
          <w:sz w:val="32"/>
          <w:szCs w:val="32"/>
        </w:rPr>
        <w:t>1053.15</w:t>
      </w:r>
      <w:r>
        <w:rPr>
          <w:rFonts w:hint="eastAsia" w:ascii="仿宋_GB2312" w:eastAsia="仿宋_GB2312"/>
          <w:kern w:val="2"/>
          <w:sz w:val="32"/>
          <w:szCs w:val="32"/>
        </w:rPr>
        <w:t>万元，完成年初预算的</w:t>
      </w:r>
      <w:r>
        <w:rPr>
          <w:rFonts w:ascii="仿宋_GB2312" w:eastAsia="仿宋_GB2312"/>
          <w:kern w:val="2"/>
          <w:sz w:val="32"/>
          <w:szCs w:val="32"/>
        </w:rPr>
        <w:t>233%</w:t>
      </w:r>
      <w:r>
        <w:rPr>
          <w:rFonts w:hint="eastAsia" w:ascii="仿宋_GB2312" w:eastAsia="仿宋_GB2312"/>
          <w:kern w:val="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1．社会保障和就业支出（类）行政事业单位离退休（款）  归口管理的行政单位离退休（项）。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20.6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34.82</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169.03%</w:t>
      </w:r>
      <w:r>
        <w:rPr>
          <w:rFonts w:hint="eastAsia" w:ascii="仿宋_GB2312" w:hAnsi="仿宋_GB2312" w:eastAsia="仿宋_GB2312" w:cs="仿宋_GB2312"/>
          <w:sz w:val="32"/>
          <w:szCs w:val="32"/>
        </w:rPr>
        <w:t>。决算数与年初预算数存在差异的主要原因是工资基数</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．社会保障和就业支出（类）行政事业单位离退休（款）  机关事业单位基本养老保险缴费支出（项）。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34.40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33.76</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98.14%</w:t>
      </w:r>
      <w:r>
        <w:rPr>
          <w:rFonts w:hint="eastAsia" w:ascii="仿宋_GB2312" w:hAnsi="仿宋_GB2312" w:eastAsia="仿宋_GB2312" w:cs="仿宋_GB2312"/>
          <w:sz w:val="32"/>
          <w:szCs w:val="32"/>
        </w:rPr>
        <w:t>。决算数与年初预算数存在差异的主要原因是工资基数</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w:t>
      </w:r>
    </w:p>
    <w:p>
      <w:pPr>
        <w:pStyle w:val="7"/>
        <w:autoSpaceDE w:val="0"/>
        <w:spacing w:before="0" w:beforeAutospacing="0" w:line="590" w:lineRule="exact"/>
        <w:ind w:left="319" w:leftChars="152" w:firstLine="321" w:firstLineChars="1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．社会保障和就业支出（类）抚恤（款）死亡抚恤（项）。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17.13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。决算数与年初预算数存在差异的主要原因是支出增加。</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．社会保障和就业支出（类）临时救助（款）临时救助支出（项）。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。决算数与年初预算数存在差异的主要原因是支出增加。</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．医疗卫生与计划生育支出（类）行政事业单位医疗（款）行政单位医疗（项）。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5.40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148.15%</w:t>
      </w:r>
      <w:r>
        <w:rPr>
          <w:rFonts w:hint="eastAsia" w:ascii="仿宋_GB2312" w:hAnsi="仿宋_GB2312" w:eastAsia="仿宋_GB2312" w:cs="仿宋_GB2312"/>
          <w:sz w:val="32"/>
          <w:szCs w:val="32"/>
        </w:rPr>
        <w:t>。决算数与年初预算数存在差异的主要原因是工资基数</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．医疗卫生与计划生育支出（类）行政事业单位医疗（款）其他行政事业单位医疗支出（项）。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。决算数与年初预算数存在差异的主要原因是工资基数</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11.80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10.81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91.61%</w:t>
      </w:r>
      <w:r>
        <w:rPr>
          <w:rFonts w:hint="eastAsia" w:ascii="仿宋_GB2312" w:hAnsi="仿宋_GB2312" w:eastAsia="仿宋_GB2312" w:cs="仿宋_GB2312"/>
          <w:sz w:val="32"/>
          <w:szCs w:val="32"/>
        </w:rPr>
        <w:t>。决算数与年初预算数存在差异的原因属跨年支付所致。</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．粮油物资储备支出（类）粮油事务（款）行政运行（项）。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66.1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82.17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124.31%</w:t>
      </w:r>
      <w:r>
        <w:rPr>
          <w:rFonts w:hint="eastAsia" w:ascii="仿宋_GB2312" w:hAnsi="仿宋_GB2312" w:eastAsia="仿宋_GB2312" w:cs="仿宋_GB2312"/>
          <w:sz w:val="32"/>
          <w:szCs w:val="32"/>
        </w:rPr>
        <w:t>。决算数与年初预算数存在差异的主要原因是上年部分经费在本年支出。</w:t>
      </w:r>
    </w:p>
    <w:p>
      <w:pPr>
        <w:pStyle w:val="7"/>
        <w:autoSpaceDE w:val="0"/>
        <w:spacing w:before="0" w:beforeAutospacing="0" w:line="590" w:lineRule="exact"/>
        <w:ind w:left="319" w:leftChars="152"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9</w:t>
      </w:r>
      <w:r>
        <w:rPr>
          <w:rFonts w:hint="eastAsia" w:ascii="仿宋_GB2312" w:hAnsi="仿宋_GB2312" w:eastAsia="仿宋_GB2312" w:cs="仿宋_GB2312"/>
          <w:b/>
          <w:bCs/>
          <w:sz w:val="32"/>
          <w:szCs w:val="32"/>
        </w:rPr>
        <w:t>．粮油物资储备支出（类）粮油事务（款）粮食专项业务活动（项）。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103.10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343.67%</w:t>
      </w:r>
      <w:r>
        <w:rPr>
          <w:rFonts w:hint="eastAsia" w:ascii="仿宋_GB2312" w:hAnsi="仿宋_GB2312" w:eastAsia="仿宋_GB2312" w:cs="仿宋_GB2312"/>
          <w:sz w:val="32"/>
          <w:szCs w:val="32"/>
        </w:rPr>
        <w:t>。决算数与年初预算数存在差异的主要原因是支付企业垫付原开仓借粮费用。</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10</w:t>
      </w:r>
      <w:r>
        <w:rPr>
          <w:rFonts w:hint="eastAsia" w:ascii="仿宋_GB2312" w:hAnsi="仿宋_GB2312" w:eastAsia="仿宋_GB2312" w:cs="仿宋_GB2312"/>
          <w:b/>
          <w:bCs/>
          <w:sz w:val="32"/>
          <w:szCs w:val="32"/>
        </w:rPr>
        <w:t>．粮油物资储备支出（类）粮油事务（款）粮食财务挂账利息补贴（项）。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122.15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。决算数与年初预算数存在差异的主要原因是此资金由上级财政拨付。</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11</w:t>
      </w:r>
      <w:r>
        <w:rPr>
          <w:rFonts w:hint="eastAsia" w:ascii="仿宋_GB2312" w:hAnsi="仿宋_GB2312" w:eastAsia="仿宋_GB2312" w:cs="仿宋_GB2312"/>
          <w:b/>
          <w:bCs/>
          <w:sz w:val="32"/>
          <w:szCs w:val="32"/>
        </w:rPr>
        <w:t>．粮油物资储备支出（类）粮油事务（款）事业运行（项）。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44.50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78.57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176.56%</w:t>
      </w:r>
      <w:r>
        <w:rPr>
          <w:rFonts w:hint="eastAsia" w:ascii="仿宋_GB2312" w:hAnsi="仿宋_GB2312" w:eastAsia="仿宋_GB2312" w:cs="仿宋_GB2312"/>
          <w:sz w:val="32"/>
          <w:szCs w:val="32"/>
        </w:rPr>
        <w:t>。决算数与年初预算数存在差异的主要原因是养老保险体制改革工资等经费增加所致。</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12</w:t>
      </w:r>
      <w:r>
        <w:rPr>
          <w:rFonts w:hint="eastAsia" w:ascii="仿宋_GB2312" w:hAnsi="仿宋_GB2312" w:eastAsia="仿宋_GB2312" w:cs="仿宋_GB2312"/>
          <w:b/>
          <w:bCs/>
          <w:sz w:val="32"/>
          <w:szCs w:val="32"/>
        </w:rPr>
        <w:t>．粮油物资储备支出（类）粮油事务（款）其他粮油事务支出（项）。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54.7</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232.40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424.86%</w:t>
      </w:r>
      <w:r>
        <w:rPr>
          <w:rFonts w:hint="eastAsia" w:ascii="仿宋_GB2312" w:hAnsi="仿宋_GB2312" w:eastAsia="仿宋_GB2312" w:cs="仿宋_GB2312"/>
          <w:sz w:val="32"/>
          <w:szCs w:val="32"/>
        </w:rPr>
        <w:t>。决算数与年初预算数存在差异的主要原因是拨付企业仓房维修改造资金。。</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13</w:t>
      </w:r>
      <w:r>
        <w:rPr>
          <w:rFonts w:hint="eastAsia" w:ascii="仿宋_GB2312" w:hAnsi="仿宋_GB2312" w:eastAsia="仿宋_GB2312" w:cs="仿宋_GB2312"/>
          <w:b/>
          <w:bCs/>
          <w:sz w:val="32"/>
          <w:szCs w:val="32"/>
        </w:rPr>
        <w:t>．粮油物资储备支出（类）粮油储备（款）储备粮油补贴（项）。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169.5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99.05</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58.44%</w:t>
      </w:r>
      <w:r>
        <w:rPr>
          <w:rFonts w:hint="eastAsia" w:ascii="仿宋_GB2312" w:hAnsi="仿宋_GB2312" w:eastAsia="仿宋_GB2312" w:cs="仿宋_GB2312"/>
          <w:sz w:val="32"/>
          <w:szCs w:val="32"/>
        </w:rPr>
        <w:t>。决算数与年初预算数存在差异的主要原因是是上年欠付在本年支付。</w:t>
      </w:r>
    </w:p>
    <w:p>
      <w:pPr>
        <w:pStyle w:val="7"/>
        <w:autoSpaceDE w:val="0"/>
        <w:spacing w:before="0" w:beforeAutospacing="0" w:line="590" w:lineRule="exact"/>
        <w:ind w:left="319" w:leftChars="152" w:firstLine="643" w:firstLineChars="200"/>
        <w:rPr>
          <w:rFonts w:hint="eastAsia"/>
        </w:rPr>
      </w:pPr>
      <w:r>
        <w:rPr>
          <w:rFonts w:ascii="仿宋_GB2312" w:hAnsi="仿宋_GB2312" w:eastAsia="仿宋_GB2312" w:cs="仿宋_GB2312"/>
          <w:b/>
          <w:bCs/>
          <w:sz w:val="32"/>
          <w:szCs w:val="32"/>
        </w:rPr>
        <w:t>14</w:t>
      </w:r>
      <w:r>
        <w:rPr>
          <w:rFonts w:hint="eastAsia" w:ascii="仿宋_GB2312" w:hAnsi="仿宋_GB2312" w:eastAsia="仿宋_GB2312" w:cs="仿宋_GB2312"/>
          <w:b/>
          <w:bCs/>
          <w:sz w:val="32"/>
          <w:szCs w:val="32"/>
        </w:rPr>
        <w:t>．粮油物资储备支出（类）粮油储备（款）其他粮油储备支出（项）。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216.00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1440.00%</w:t>
      </w:r>
      <w:r>
        <w:rPr>
          <w:rFonts w:hint="eastAsia" w:ascii="仿宋_GB2312" w:hAnsi="仿宋_GB2312" w:eastAsia="仿宋_GB2312" w:cs="仿宋_GB2312"/>
          <w:sz w:val="32"/>
          <w:szCs w:val="32"/>
        </w:rPr>
        <w:t>。决算数与年初预算数存在差异的主要原因是支付企业智能化升级改造资金。。</w:t>
      </w:r>
    </w:p>
    <w:p>
      <w:pPr>
        <w:widowControl/>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年度一般公共预算财政拨款基本支出</w:t>
      </w:r>
      <w:r>
        <w:rPr>
          <w:rFonts w:ascii="仿宋_GB2312" w:hAnsi="仿宋_GB2312" w:eastAsia="仿宋_GB2312" w:cs="仿宋_GB2312"/>
          <w:sz w:val="32"/>
          <w:szCs w:val="32"/>
        </w:rPr>
        <w:t>313.8</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260.99</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 w:val="32"/>
          <w:szCs w:val="32"/>
        </w:rPr>
        <w:t>52.81</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widowControl/>
        <w:spacing w:line="59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“三公”经费财政拨款支出决算总体情况说明。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年度“三公”经费财政拨款支出预算为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0.96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年度“三公”经费支出决算数与预算数存在差异的主要原因是公务用车费用</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万元实际已支出因车辆属区统一调配使用无账面价值，决算软件不能正常填列。</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年度“三公”经费财政拨款支出决算中，因公出国（境）费支出决算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年我局未安排因公出国（境）预算；公务用车购置及运行费支出决算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，占比0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公务接待费支出决算</w:t>
      </w:r>
      <w:r>
        <w:rPr>
          <w:rFonts w:ascii="仿宋_GB2312" w:hAnsi="仿宋_GB2312" w:eastAsia="仿宋_GB2312" w:cs="仿宋_GB2312"/>
          <w:sz w:val="32"/>
          <w:szCs w:val="32"/>
        </w:rPr>
        <w:t>0.96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21.33%</w:t>
      </w:r>
      <w:r>
        <w:rPr>
          <w:rFonts w:hint="eastAsia" w:ascii="仿宋_GB2312" w:hAnsi="仿宋_GB2312" w:eastAsia="仿宋_GB2312" w:cs="仿宋_GB2312"/>
          <w:sz w:val="32"/>
          <w:szCs w:val="32"/>
        </w:rPr>
        <w:t>，占比100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。全年因公出国（境）团组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个，累计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p>
    <w:p>
      <w:pPr>
        <w:widowControl/>
        <w:spacing w:line="59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．公务用车购置及运行费年初</w:t>
      </w:r>
      <w:r>
        <w:rPr>
          <w:rFonts w:hint="eastAsia" w:ascii="仿宋_GB2312" w:hAnsi="仿宋_GB2312" w:eastAsia="仿宋_GB2312" w:cs="仿宋_GB2312"/>
          <w:sz w:val="32"/>
          <w:szCs w:val="32"/>
        </w:rPr>
        <w:t>预算为</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ascii="仿宋_GB2312" w:hAnsi="仿宋_GB2312" w:eastAsia="仿宋_GB2312" w:cs="仿宋_GB2312"/>
          <w:b/>
          <w:bCs/>
          <w:sz w:val="32"/>
          <w:szCs w:val="32"/>
        </w:rPr>
        <w:t>0</w:t>
      </w:r>
      <w:r>
        <w:rPr>
          <w:rFonts w:hint="eastAsia" w:ascii="仿宋_GB2312" w:hAnsi="仿宋_GB2312" w:eastAsia="仿宋_GB2312" w:cs="仿宋_GB2312"/>
          <w:sz w:val="32"/>
          <w:szCs w:val="32"/>
        </w:rPr>
        <w:t>万元，购置车辆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ascii="仿宋_GB2312" w:hAnsi="仿宋_GB2312" w:eastAsia="仿宋_GB2312" w:cs="仿宋_GB2312"/>
          <w:b/>
          <w:bCs/>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年期末，部门开支财政拨款的公务用车保有量为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w:t>
      </w:r>
    </w:p>
    <w:p>
      <w:pPr>
        <w:widowControl/>
        <w:kinsoku w:val="0"/>
        <w:overflowPunct w:val="0"/>
        <w:autoSpaceDE w:val="0"/>
        <w:autoSpaceDN w:val="0"/>
        <w:adjustRightInd w:val="0"/>
        <w:snapToGrid w:val="0"/>
        <w:spacing w:line="5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公务接待费年</w:t>
      </w:r>
      <w:r>
        <w:rPr>
          <w:rFonts w:hint="eastAsia" w:ascii="仿宋_GB2312" w:hAnsi="仿宋_GB2312" w:eastAsia="仿宋_GB2312" w:cs="仿宋_GB2312"/>
          <w:sz w:val="32"/>
          <w:szCs w:val="32"/>
        </w:rPr>
        <w:t>初预算为</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0.96</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21.33%</w:t>
      </w:r>
      <w:r>
        <w:rPr>
          <w:rFonts w:hint="eastAsia" w:ascii="仿宋_GB2312" w:hAnsi="仿宋_GB2312" w:eastAsia="仿宋_GB2312" w:cs="仿宋_GB2312"/>
          <w:sz w:val="32"/>
          <w:szCs w:val="32"/>
        </w:rPr>
        <w:t>。决算数与年初预算数存在差异的主要原因是原因是我局现在严格执行纪检部门规定公务接待的标准是同城不吃饭，禁止烟酒招待，禁止出入高档酒店进行招待，减少了公务接待费用。</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外宾接待支出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共接待国（境）外来访团组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个，来访外宾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其他国内公务接待支出</w:t>
      </w:r>
      <w:r>
        <w:rPr>
          <w:rFonts w:ascii="仿宋_GB2312" w:hAnsi="仿宋_GB2312" w:eastAsia="仿宋_GB2312" w:cs="仿宋_GB2312"/>
          <w:sz w:val="32"/>
          <w:szCs w:val="32"/>
        </w:rPr>
        <w:t>0.96</w:t>
      </w:r>
      <w:r>
        <w:rPr>
          <w:rFonts w:hint="eastAsia" w:ascii="仿宋_GB2312" w:hAnsi="仿宋_GB2312" w:eastAsia="仿宋_GB2312" w:cs="仿宋_GB2312"/>
          <w:sz w:val="32"/>
          <w:szCs w:val="32"/>
        </w:rPr>
        <w:t>万元。主要用于正常公务接待。</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年共接待国内来访团组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个、来宾</w:t>
      </w:r>
      <w:r>
        <w:rPr>
          <w:rFonts w:ascii="仿宋_GB2312" w:hAnsi="仿宋_GB2312" w:eastAsia="仿宋_GB2312" w:cs="仿宋_GB2312"/>
          <w:sz w:val="32"/>
          <w:szCs w:val="32"/>
        </w:rPr>
        <w:t>136</w:t>
      </w:r>
      <w:r>
        <w:rPr>
          <w:rFonts w:hint="eastAsia" w:ascii="仿宋_GB2312" w:hAnsi="仿宋_GB2312" w:eastAsia="仿宋_GB2312" w:cs="仿宋_GB2312"/>
          <w:sz w:val="32"/>
          <w:szCs w:val="32"/>
        </w:rPr>
        <w:t>人次（不包括陪同人员）。</w:t>
      </w:r>
    </w:p>
    <w:p>
      <w:pPr>
        <w:widowControl/>
        <w:numPr>
          <w:ilvl w:val="0"/>
          <w:numId w:val="7"/>
        </w:numPr>
        <w:kinsoku w:val="0"/>
        <w:overflowPunct w:val="0"/>
        <w:autoSpaceDE w:val="0"/>
        <w:autoSpaceDN w:val="0"/>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关于预算绩效情况说明</w:t>
      </w:r>
    </w:p>
    <w:p>
      <w:pPr>
        <w:widowControl/>
        <w:kinsoku w:val="0"/>
        <w:overflowPunct w:val="0"/>
        <w:autoSpaceDE w:val="0"/>
        <w:autoSpaceDN w:val="0"/>
        <w:adjustRightInd w:val="0"/>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根据财政预算管理要求，</w:t>
      </w:r>
      <w:r>
        <w:rPr>
          <w:rFonts w:hint="eastAsia" w:ascii="仿宋_GB2312" w:hAnsi="仿宋_GB2312" w:eastAsia="仿宋_GB2312" w:cs="仿宋_GB2312"/>
          <w:sz w:val="32"/>
          <w:szCs w:val="32"/>
          <w:lang w:eastAsia="zh-CN"/>
        </w:rPr>
        <w:t>信阳市浉河区粮食和物资储备中心</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一般公共预算项目支出开展绩效自评。其中主食产业化及粮油深加工项目认真贯彻“政策引导，政府推动，企业主导，稳步推进，有序发展”的指导思想，有力推动了我区放心粮油主食产业化和粮油深加工向纵深发展，在市政府单项目考核中成绩名列前茅。</w:t>
      </w:r>
    </w:p>
    <w:p>
      <w:pPr>
        <w:widowControl/>
        <w:tabs>
          <w:tab w:val="left" w:pos="848"/>
          <w:tab w:val="left" w:pos="1088"/>
        </w:tabs>
        <w:adjustRightInd w:val="0"/>
        <w:snapToGrid w:val="0"/>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九、关于政府性基金预算财政拨款支出决算情况说明</w:t>
      </w:r>
    </w:p>
    <w:p>
      <w:pPr>
        <w:widowControl/>
        <w:kinsoku w:val="0"/>
        <w:overflowPunct w:val="0"/>
        <w:autoSpaceDE w:val="0"/>
        <w:autoSpaceDN w:val="0"/>
        <w:adjustRightInd w:val="0"/>
        <w:snapToGrid w:val="0"/>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年度政府性基金预算财政拨款支出年初预算为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年度机关运行经费年初预算为</w:t>
      </w:r>
      <w:r>
        <w:rPr>
          <w:rFonts w:ascii="仿宋_GB2312" w:hAnsi="仿宋_GB2312" w:eastAsia="仿宋_GB2312" w:cs="仿宋_GB2312"/>
          <w:sz w:val="32"/>
          <w:szCs w:val="32"/>
        </w:rPr>
        <w:t>27.6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38.21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138%</w:t>
      </w:r>
      <w:r>
        <w:rPr>
          <w:rFonts w:hint="eastAsia" w:ascii="仿宋_GB2312" w:hAnsi="仿宋_GB2312" w:eastAsia="仿宋_GB2312" w:cs="仿宋_GB2312"/>
          <w:sz w:val="32"/>
          <w:szCs w:val="32"/>
        </w:rPr>
        <w:t>。决算数与年初预算数存在差异的主要原因是上年部分费用在本年列支。</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年度政府采购支出总额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万元，其中：政府采购货物支出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万元、政府采购工程支出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万元、政府采购服务支出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万元。授予中小企业合同金额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，其中：授予小微企业合同金额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万元，占政府采购支出总额的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年期末，我部门共有车辆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辆，其中：省级领导干部用车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辆、主要领导干部用车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辆、执法执勤用车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辆、离退休干部用车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辆；单位价值</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台（套），单位价值</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万元以上专用设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kinsoku w:val="0"/>
        <w:overflowPunct w:val="0"/>
        <w:autoSpaceDE w:val="0"/>
        <w:autoSpaceDN w:val="0"/>
        <w:adjustRightInd w:val="0"/>
        <w:snapToGrid w:val="0"/>
        <w:spacing w:line="540" w:lineRule="exact"/>
        <w:rPr>
          <w:rFonts w:ascii="仿宋_GB2312" w:hAnsi="仿宋_GB2312" w:eastAsia="仿宋_GB2312" w:cs="仿宋_GB2312"/>
          <w:sz w:val="32"/>
          <w:szCs w:val="32"/>
        </w:rPr>
        <w:sectPr>
          <w:headerReference r:id="rId5" w:type="first"/>
          <w:footerReference r:id="rId7" w:type="first"/>
          <w:headerReference r:id="rId3" w:type="default"/>
          <w:headerReference r:id="rId4" w:type="even"/>
          <w:footerReference r:id="rId6" w:type="even"/>
          <w:pgSz w:w="11905" w:h="16840"/>
          <w:pgMar w:top="1580" w:right="1240" w:bottom="1180" w:left="1400" w:header="0" w:footer="982" w:gutter="0"/>
          <w:pgNumType w:fmt="numberInDash"/>
          <w:cols w:space="720" w:num="1"/>
        </w:sect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r>
        <w:rPr>
          <w:rFonts w:hint="eastAsia" w:ascii="隶书" w:hAnsi="隶书" w:eastAsia="隶书" w:cs="隶书"/>
          <w:sz w:val="48"/>
          <w:szCs w:val="48"/>
        </w:rPr>
        <w:t>第</w:t>
      </w:r>
      <w:r>
        <w:rPr>
          <w:rFonts w:ascii="隶书" w:hAnsi="隶书" w:eastAsia="隶书" w:cs="隶书"/>
          <w:sz w:val="48"/>
          <w:szCs w:val="48"/>
        </w:rPr>
        <w:t xml:space="preserve"> </w:t>
      </w:r>
      <w:r>
        <w:rPr>
          <w:rFonts w:hint="eastAsia" w:ascii="隶书" w:hAnsi="隶书" w:eastAsia="隶书" w:cs="隶书"/>
          <w:sz w:val="48"/>
          <w:szCs w:val="48"/>
        </w:rPr>
        <w:t>三</w:t>
      </w:r>
      <w:r>
        <w:rPr>
          <w:rFonts w:ascii="隶书" w:hAnsi="隶书" w:eastAsia="隶书" w:cs="隶书"/>
          <w:sz w:val="48"/>
          <w:szCs w:val="48"/>
        </w:rPr>
        <w:t xml:space="preserve"> </w:t>
      </w:r>
      <w:r>
        <w:rPr>
          <w:rFonts w:hint="eastAsia" w:ascii="隶书" w:hAnsi="隶书" w:eastAsia="隶书" w:cs="隶书"/>
          <w:sz w:val="48"/>
          <w:szCs w:val="48"/>
        </w:rPr>
        <w:t>部</w:t>
      </w:r>
      <w:r>
        <w:rPr>
          <w:rFonts w:ascii="隶书" w:hAnsi="隶书" w:eastAsia="隶书" w:cs="隶书"/>
          <w:sz w:val="48"/>
          <w:szCs w:val="48"/>
        </w:rPr>
        <w:t xml:space="preserve"> </w:t>
      </w:r>
      <w:r>
        <w:rPr>
          <w:rFonts w:hint="eastAsia" w:ascii="隶书" w:hAnsi="隶书" w:eastAsia="隶书" w:cs="隶书"/>
          <w:sz w:val="48"/>
          <w:szCs w:val="48"/>
        </w:rPr>
        <w:t>分</w:t>
      </w:r>
      <w:r>
        <w:rPr>
          <w:rFonts w:ascii="隶书" w:hAnsi="隶书" w:eastAsia="隶书" w:cs="隶书"/>
          <w:sz w:val="48"/>
          <w:szCs w:val="48"/>
        </w:rPr>
        <w:t xml:space="preserve"> </w:t>
      </w:r>
    </w:p>
    <w:p>
      <w:pPr>
        <w:tabs>
          <w:tab w:val="left" w:pos="1528"/>
          <w:tab w:val="center" w:pos="4153"/>
        </w:tabs>
        <w:ind w:firstLine="2880" w:firstLineChars="600"/>
        <w:jc w:val="left"/>
        <w:outlineLvl w:val="0"/>
        <w:rPr>
          <w:rFonts w:ascii="隶书" w:hAnsi="隶书" w:eastAsia="隶书" w:cs="隶书"/>
          <w:sz w:val="48"/>
          <w:szCs w:val="48"/>
        </w:rPr>
      </w:pPr>
    </w:p>
    <w:p>
      <w:pPr>
        <w:tabs>
          <w:tab w:val="left" w:pos="1528"/>
          <w:tab w:val="center" w:pos="4153"/>
        </w:tabs>
        <w:ind w:firstLine="2880" w:firstLineChars="600"/>
        <w:jc w:val="left"/>
        <w:outlineLvl w:val="0"/>
        <w:rPr>
          <w:rFonts w:ascii="隶书" w:hAnsi="隶书" w:eastAsia="隶书" w:cs="隶书"/>
          <w:sz w:val="48"/>
          <w:szCs w:val="48"/>
        </w:rPr>
      </w:pPr>
      <w:r>
        <w:rPr>
          <w:rFonts w:hint="eastAsia" w:ascii="隶书" w:hAnsi="隶书" w:eastAsia="隶书" w:cs="隶书"/>
          <w:sz w:val="48"/>
          <w:szCs w:val="48"/>
        </w:rPr>
        <w:t>名</w:t>
      </w:r>
      <w:r>
        <w:rPr>
          <w:rFonts w:ascii="隶书" w:hAnsi="隶书" w:eastAsia="隶书" w:cs="隶书"/>
          <w:sz w:val="48"/>
          <w:szCs w:val="48"/>
        </w:rPr>
        <w:t xml:space="preserve"> </w:t>
      </w:r>
      <w:r>
        <w:rPr>
          <w:rFonts w:hint="eastAsia" w:ascii="隶书" w:hAnsi="隶书" w:eastAsia="隶书" w:cs="隶书"/>
          <w:sz w:val="48"/>
          <w:szCs w:val="48"/>
        </w:rPr>
        <w:t>词</w:t>
      </w:r>
      <w:r>
        <w:rPr>
          <w:rFonts w:ascii="隶书" w:hAnsi="隶书" w:eastAsia="隶书" w:cs="隶书"/>
          <w:sz w:val="48"/>
          <w:szCs w:val="48"/>
        </w:rPr>
        <w:t xml:space="preserve"> </w:t>
      </w:r>
      <w:r>
        <w:rPr>
          <w:rFonts w:hint="eastAsia" w:ascii="隶书" w:hAnsi="隶书" w:eastAsia="隶书" w:cs="隶书"/>
          <w:sz w:val="48"/>
          <w:szCs w:val="48"/>
        </w:rPr>
        <w:t>解</w:t>
      </w:r>
      <w:r>
        <w:rPr>
          <w:rFonts w:ascii="隶书" w:hAnsi="隶书" w:eastAsia="隶书" w:cs="隶书"/>
          <w:sz w:val="48"/>
          <w:szCs w:val="48"/>
        </w:rPr>
        <w:t xml:space="preserve"> </w:t>
      </w:r>
      <w:r>
        <w:rPr>
          <w:rFonts w:hint="eastAsia" w:ascii="隶书" w:hAnsi="隶书" w:eastAsia="隶书" w:cs="隶书"/>
          <w:sz w:val="48"/>
          <w:szCs w:val="48"/>
        </w:rPr>
        <w:t>释</w:t>
      </w:r>
    </w:p>
    <w:p>
      <w:pPr>
        <w:tabs>
          <w:tab w:val="left" w:pos="1528"/>
          <w:tab w:val="center" w:pos="4153"/>
        </w:tabs>
        <w:jc w:val="left"/>
        <w:outlineLvl w:val="0"/>
        <w:rPr>
          <w:rFonts w:ascii="隶书" w:hAnsi="隶书" w:eastAsia="隶书" w:cs="隶书"/>
          <w:sz w:val="48"/>
          <w:szCs w:val="48"/>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ind w:left="420" w:leftChars="200"/>
        <w:rPr>
          <w:rFonts w:ascii="??_GB2312" w:hAnsi="宋体" w:cs="Courier New"/>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kinsoku w:val="0"/>
        <w:overflowPunct w:val="0"/>
        <w:autoSpaceDE w:val="0"/>
        <w:autoSpaceDN w:val="0"/>
        <w:adjustRightInd w:val="0"/>
        <w:snapToGrid w:val="0"/>
        <w:spacing w:line="560" w:lineRule="exact"/>
        <w:rPr>
          <w:rFonts w:ascii="仿宋_GB2312" w:hAnsi="仿宋_GB2312" w:eastAsia="仿宋_GB2312" w:cs="仿宋_GB2312"/>
          <w:b/>
          <w:bCs/>
          <w:sz w:val="32"/>
          <w:szCs w:val="32"/>
        </w:rPr>
      </w:pPr>
    </w:p>
    <w:p>
      <w:pPr>
        <w:widowControl/>
        <w:tabs>
          <w:tab w:val="left" w:pos="1528"/>
          <w:tab w:val="center" w:pos="4153"/>
        </w:tabs>
        <w:spacing w:line="560" w:lineRule="exact"/>
        <w:ind w:firstLine="960" w:firstLineChars="200"/>
        <w:rPr>
          <w:rFonts w:ascii="隶书" w:hAnsi="隶书" w:eastAsia="隶书" w:cs="隶书"/>
          <w:sz w:val="48"/>
          <w:szCs w:val="48"/>
        </w:rPr>
      </w:pPr>
    </w:p>
    <w:sectPr>
      <w:foot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- 19 -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BEEB8"/>
    <w:multiLevelType w:val="singleLevel"/>
    <w:tmpl w:val="94ABEEB8"/>
    <w:lvl w:ilvl="0" w:tentative="0">
      <w:start w:val="1"/>
      <w:numFmt w:val="chineseCounting"/>
      <w:suff w:val="nothing"/>
      <w:lvlText w:val="%1、"/>
      <w:lvlJc w:val="left"/>
      <w:pPr>
        <w:ind w:left="321"/>
      </w:pPr>
      <w:rPr>
        <w:rFonts w:hint="eastAsia" w:cs="Times New Roman"/>
      </w:rPr>
    </w:lvl>
  </w:abstractNum>
  <w:abstractNum w:abstractNumId="1">
    <w:nsid w:val="C3F69895"/>
    <w:multiLevelType w:val="singleLevel"/>
    <w:tmpl w:val="C3F69895"/>
    <w:lvl w:ilvl="0" w:tentative="0">
      <w:start w:val="3"/>
      <w:numFmt w:val="chineseCounting"/>
      <w:suff w:val="nothing"/>
      <w:lvlText w:val="(%1）"/>
      <w:lvlJc w:val="left"/>
      <w:rPr>
        <w:rFonts w:hint="eastAsia" w:cs="Times New Roman"/>
      </w:rPr>
    </w:lvl>
  </w:abstractNum>
  <w:abstractNum w:abstractNumId="2">
    <w:nsid w:val="CA0EFA4B"/>
    <w:multiLevelType w:val="singleLevel"/>
    <w:tmpl w:val="CA0EFA4B"/>
    <w:lvl w:ilvl="0" w:tentative="0">
      <w:start w:val="3"/>
      <w:numFmt w:val="chineseCounting"/>
      <w:suff w:val="nothing"/>
      <w:lvlText w:val="第%1部分　"/>
      <w:lvlJc w:val="left"/>
      <w:rPr>
        <w:rFonts w:hint="eastAsia" w:cs="Times New Roman"/>
      </w:rPr>
    </w:lvl>
  </w:abstractNum>
  <w:abstractNum w:abstractNumId="3">
    <w:nsid w:val="FFC27528"/>
    <w:multiLevelType w:val="singleLevel"/>
    <w:tmpl w:val="FFC27528"/>
    <w:lvl w:ilvl="0" w:tentative="0">
      <w:start w:val="1"/>
      <w:numFmt w:val="chineseCounting"/>
      <w:suff w:val="nothing"/>
      <w:lvlText w:val="第%1部分　"/>
      <w:lvlJc w:val="left"/>
      <w:rPr>
        <w:rFonts w:hint="eastAsia" w:cs="Times New Roman"/>
      </w:rPr>
    </w:lvl>
  </w:abstractNum>
  <w:abstractNum w:abstractNumId="4">
    <w:nsid w:val="5971BE17"/>
    <w:multiLevelType w:val="singleLevel"/>
    <w:tmpl w:val="5971BE17"/>
    <w:lvl w:ilvl="0" w:tentative="0">
      <w:start w:val="1"/>
      <w:numFmt w:val="chineseCounting"/>
      <w:suff w:val="nothing"/>
      <w:lvlText w:val="%1、"/>
      <w:lvlJc w:val="left"/>
      <w:rPr>
        <w:rFonts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7CBC503B"/>
    <w:multiLevelType w:val="singleLevel"/>
    <w:tmpl w:val="7CBC503B"/>
    <w:lvl w:ilvl="0" w:tentative="0">
      <w:start w:val="8"/>
      <w:numFmt w:val="chineseCounting"/>
      <w:suff w:val="nothing"/>
      <w:lvlText w:val="%1、"/>
      <w:lvlJc w:val="left"/>
      <w:rPr>
        <w:rFonts w:hint="eastAsia" w:cs="Times New Roman"/>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92801"/>
    <w:rsid w:val="000C5F82"/>
    <w:rsid w:val="0017112E"/>
    <w:rsid w:val="00172A27"/>
    <w:rsid w:val="002A7CAB"/>
    <w:rsid w:val="0032730A"/>
    <w:rsid w:val="003D3EC2"/>
    <w:rsid w:val="00402C74"/>
    <w:rsid w:val="004C11C3"/>
    <w:rsid w:val="004C435F"/>
    <w:rsid w:val="004D36BB"/>
    <w:rsid w:val="004F2E4F"/>
    <w:rsid w:val="004F45A5"/>
    <w:rsid w:val="0050293C"/>
    <w:rsid w:val="00503F16"/>
    <w:rsid w:val="00630D31"/>
    <w:rsid w:val="007115FD"/>
    <w:rsid w:val="00821B93"/>
    <w:rsid w:val="009C7DC7"/>
    <w:rsid w:val="00A641F7"/>
    <w:rsid w:val="00AB7377"/>
    <w:rsid w:val="00AF0135"/>
    <w:rsid w:val="00AF0396"/>
    <w:rsid w:val="00AF7B15"/>
    <w:rsid w:val="00B408E9"/>
    <w:rsid w:val="00B54309"/>
    <w:rsid w:val="00B84FB0"/>
    <w:rsid w:val="00BA37FF"/>
    <w:rsid w:val="00BB1B73"/>
    <w:rsid w:val="00C30986"/>
    <w:rsid w:val="00C32215"/>
    <w:rsid w:val="00C57D7B"/>
    <w:rsid w:val="00C6444A"/>
    <w:rsid w:val="00CD18ED"/>
    <w:rsid w:val="00D9092F"/>
    <w:rsid w:val="00DB1C77"/>
    <w:rsid w:val="00DD5457"/>
    <w:rsid w:val="00DD7EF2"/>
    <w:rsid w:val="00E21B07"/>
    <w:rsid w:val="00E32E02"/>
    <w:rsid w:val="00E464A8"/>
    <w:rsid w:val="00E47090"/>
    <w:rsid w:val="00ED38A5"/>
    <w:rsid w:val="00EF2A5A"/>
    <w:rsid w:val="014E6FC3"/>
    <w:rsid w:val="01F21A60"/>
    <w:rsid w:val="026651AD"/>
    <w:rsid w:val="027033B1"/>
    <w:rsid w:val="03240ECA"/>
    <w:rsid w:val="039F513A"/>
    <w:rsid w:val="03EE1375"/>
    <w:rsid w:val="04453648"/>
    <w:rsid w:val="04815C56"/>
    <w:rsid w:val="07F31BEE"/>
    <w:rsid w:val="084D7413"/>
    <w:rsid w:val="08A93228"/>
    <w:rsid w:val="08FB3159"/>
    <w:rsid w:val="09BB2134"/>
    <w:rsid w:val="0A1828B8"/>
    <w:rsid w:val="0A621AA9"/>
    <w:rsid w:val="0B2F2152"/>
    <w:rsid w:val="0CCB4709"/>
    <w:rsid w:val="0CED2608"/>
    <w:rsid w:val="0F77102B"/>
    <w:rsid w:val="0FAB2FE6"/>
    <w:rsid w:val="0FEF0DE6"/>
    <w:rsid w:val="10B758AE"/>
    <w:rsid w:val="113E646F"/>
    <w:rsid w:val="117A0571"/>
    <w:rsid w:val="118F46EF"/>
    <w:rsid w:val="13070A58"/>
    <w:rsid w:val="13652465"/>
    <w:rsid w:val="147E551D"/>
    <w:rsid w:val="14D2458E"/>
    <w:rsid w:val="150B6848"/>
    <w:rsid w:val="15492582"/>
    <w:rsid w:val="17965762"/>
    <w:rsid w:val="17BE6092"/>
    <w:rsid w:val="184F4EC3"/>
    <w:rsid w:val="18DD5C34"/>
    <w:rsid w:val="1A624019"/>
    <w:rsid w:val="1C1F61CB"/>
    <w:rsid w:val="1C3B117F"/>
    <w:rsid w:val="1C657A49"/>
    <w:rsid w:val="1CDE6968"/>
    <w:rsid w:val="1D5C194D"/>
    <w:rsid w:val="1D727095"/>
    <w:rsid w:val="1E2566FD"/>
    <w:rsid w:val="1E7D3B34"/>
    <w:rsid w:val="20F5460F"/>
    <w:rsid w:val="212E5315"/>
    <w:rsid w:val="216022AF"/>
    <w:rsid w:val="254B33D1"/>
    <w:rsid w:val="256D2254"/>
    <w:rsid w:val="25B11DCE"/>
    <w:rsid w:val="27507D70"/>
    <w:rsid w:val="28270281"/>
    <w:rsid w:val="29621C7E"/>
    <w:rsid w:val="2983760E"/>
    <w:rsid w:val="29B13F52"/>
    <w:rsid w:val="29ED2241"/>
    <w:rsid w:val="2ACE51FA"/>
    <w:rsid w:val="2BA4769A"/>
    <w:rsid w:val="2C654BE7"/>
    <w:rsid w:val="2C8F6BCF"/>
    <w:rsid w:val="2CC075DB"/>
    <w:rsid w:val="2CD06EF4"/>
    <w:rsid w:val="2D800348"/>
    <w:rsid w:val="2D9D4DA5"/>
    <w:rsid w:val="2DBF18D1"/>
    <w:rsid w:val="2DD25EE7"/>
    <w:rsid w:val="2F47056C"/>
    <w:rsid w:val="307652F7"/>
    <w:rsid w:val="30975F98"/>
    <w:rsid w:val="325F6EF2"/>
    <w:rsid w:val="32EF005E"/>
    <w:rsid w:val="32EF40CE"/>
    <w:rsid w:val="33A76F4E"/>
    <w:rsid w:val="34416F30"/>
    <w:rsid w:val="364D690A"/>
    <w:rsid w:val="36FA2471"/>
    <w:rsid w:val="372974AC"/>
    <w:rsid w:val="38262F47"/>
    <w:rsid w:val="387A603B"/>
    <w:rsid w:val="39637962"/>
    <w:rsid w:val="397510B0"/>
    <w:rsid w:val="39967F15"/>
    <w:rsid w:val="3AE7177F"/>
    <w:rsid w:val="3C5769C0"/>
    <w:rsid w:val="3D8B615C"/>
    <w:rsid w:val="3EA437AD"/>
    <w:rsid w:val="3EB258D2"/>
    <w:rsid w:val="3EEE22CD"/>
    <w:rsid w:val="3F081D17"/>
    <w:rsid w:val="3FCD07F4"/>
    <w:rsid w:val="41CF71DE"/>
    <w:rsid w:val="42271DDB"/>
    <w:rsid w:val="42563EC6"/>
    <w:rsid w:val="43E82B9D"/>
    <w:rsid w:val="457B1C96"/>
    <w:rsid w:val="468900BD"/>
    <w:rsid w:val="469E046B"/>
    <w:rsid w:val="477D716C"/>
    <w:rsid w:val="48B52937"/>
    <w:rsid w:val="48C00F7D"/>
    <w:rsid w:val="48E2066E"/>
    <w:rsid w:val="48EE3EF3"/>
    <w:rsid w:val="49E178D4"/>
    <w:rsid w:val="4B2D55EB"/>
    <w:rsid w:val="4C1E2F28"/>
    <w:rsid w:val="4CDE14E6"/>
    <w:rsid w:val="4DC81D93"/>
    <w:rsid w:val="4DE20C7C"/>
    <w:rsid w:val="50406649"/>
    <w:rsid w:val="50C2787A"/>
    <w:rsid w:val="5115239B"/>
    <w:rsid w:val="541D6A82"/>
    <w:rsid w:val="544677EE"/>
    <w:rsid w:val="548F348C"/>
    <w:rsid w:val="54E71E1C"/>
    <w:rsid w:val="55EA1009"/>
    <w:rsid w:val="5651051D"/>
    <w:rsid w:val="56F333EF"/>
    <w:rsid w:val="57E961A8"/>
    <w:rsid w:val="581E77CF"/>
    <w:rsid w:val="58B06254"/>
    <w:rsid w:val="5AF25131"/>
    <w:rsid w:val="5BCA31AA"/>
    <w:rsid w:val="5DD56AC2"/>
    <w:rsid w:val="5E621648"/>
    <w:rsid w:val="5EB57926"/>
    <w:rsid w:val="5F130DE5"/>
    <w:rsid w:val="5F8F5A67"/>
    <w:rsid w:val="5F964892"/>
    <w:rsid w:val="5FB578F9"/>
    <w:rsid w:val="600176AC"/>
    <w:rsid w:val="60B8378D"/>
    <w:rsid w:val="60F22670"/>
    <w:rsid w:val="617A16DC"/>
    <w:rsid w:val="627A693C"/>
    <w:rsid w:val="62D27395"/>
    <w:rsid w:val="632B09D5"/>
    <w:rsid w:val="63E47A19"/>
    <w:rsid w:val="64F806ED"/>
    <w:rsid w:val="664A46E0"/>
    <w:rsid w:val="671709B1"/>
    <w:rsid w:val="6796775E"/>
    <w:rsid w:val="67D84ED8"/>
    <w:rsid w:val="68500770"/>
    <w:rsid w:val="686B0051"/>
    <w:rsid w:val="687C156E"/>
    <w:rsid w:val="68E95CA0"/>
    <w:rsid w:val="68F315DE"/>
    <w:rsid w:val="69677DE2"/>
    <w:rsid w:val="69F84494"/>
    <w:rsid w:val="6A7274C4"/>
    <w:rsid w:val="6ABB6698"/>
    <w:rsid w:val="6AC30185"/>
    <w:rsid w:val="6ADE45FE"/>
    <w:rsid w:val="6CF57DFC"/>
    <w:rsid w:val="6DA216AC"/>
    <w:rsid w:val="6DC12C15"/>
    <w:rsid w:val="6F2D14A1"/>
    <w:rsid w:val="6FDF24CC"/>
    <w:rsid w:val="705F045F"/>
    <w:rsid w:val="71490407"/>
    <w:rsid w:val="7156288B"/>
    <w:rsid w:val="72B61072"/>
    <w:rsid w:val="73F12465"/>
    <w:rsid w:val="75531EF6"/>
    <w:rsid w:val="755A7A11"/>
    <w:rsid w:val="75D0003D"/>
    <w:rsid w:val="76735E75"/>
    <w:rsid w:val="783E1213"/>
    <w:rsid w:val="7A070B19"/>
    <w:rsid w:val="7B743F46"/>
    <w:rsid w:val="7C2C4361"/>
    <w:rsid w:val="7CB2271D"/>
    <w:rsid w:val="7D5D694B"/>
    <w:rsid w:val="7F274F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99" w:semiHidden="0" w:name="footnote text" w:locked="1"/>
    <w:lsdException w:unhideWhenUsed="0" w:uiPriority="99" w:semiHidden="0"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locked/>
    <w:uiPriority w:val="99"/>
    <w:pPr>
      <w:jc w:val="left"/>
    </w:pPr>
  </w:style>
  <w:style w:type="paragraph" w:styleId="3">
    <w:name w:val="Body Text Indent"/>
    <w:basedOn w:val="1"/>
    <w:link w:val="12"/>
    <w:uiPriority w:val="99"/>
    <w:pPr>
      <w:ind w:firstLine="640" w:firstLineChars="200"/>
    </w:p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5"/>
    <w:locked/>
    <w:uiPriority w:val="99"/>
    <w:pPr>
      <w:snapToGrid w:val="0"/>
      <w:jc w:val="left"/>
    </w:pPr>
    <w:rPr>
      <w:sz w:val="18"/>
    </w:rPr>
  </w:style>
  <w:style w:type="paragraph" w:styleId="7">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styleId="10">
    <w:name w:val="footnote reference"/>
    <w:qFormat/>
    <w:locked/>
    <w:uiPriority w:val="99"/>
    <w:rPr>
      <w:rFonts w:cs="Times New Roman"/>
      <w:vertAlign w:val="superscript"/>
    </w:rPr>
  </w:style>
  <w:style w:type="character" w:customStyle="1" w:styleId="11">
    <w:name w:val="批注文字 Char"/>
    <w:link w:val="2"/>
    <w:semiHidden/>
    <w:uiPriority w:val="99"/>
    <w:rPr>
      <w:szCs w:val="24"/>
    </w:rPr>
  </w:style>
  <w:style w:type="character" w:customStyle="1" w:styleId="12">
    <w:name w:val="正文文本缩进 Char"/>
    <w:link w:val="3"/>
    <w:semiHidden/>
    <w:qFormat/>
    <w:locked/>
    <w:uiPriority w:val="99"/>
    <w:rPr>
      <w:rFonts w:ascii="Calibri" w:hAnsi="Calibri" w:cs="Times New Roman"/>
      <w:sz w:val="24"/>
      <w:szCs w:val="24"/>
    </w:rPr>
  </w:style>
  <w:style w:type="character" w:customStyle="1" w:styleId="13">
    <w:name w:val="页脚 Char"/>
    <w:link w:val="4"/>
    <w:semiHidden/>
    <w:qFormat/>
    <w:locked/>
    <w:uiPriority w:val="99"/>
    <w:rPr>
      <w:rFonts w:ascii="Calibri" w:hAnsi="Calibri" w:cs="Times New Roman"/>
      <w:sz w:val="18"/>
      <w:szCs w:val="18"/>
    </w:rPr>
  </w:style>
  <w:style w:type="character" w:customStyle="1" w:styleId="14">
    <w:name w:val="页眉 Char"/>
    <w:link w:val="5"/>
    <w:semiHidden/>
    <w:locked/>
    <w:uiPriority w:val="99"/>
    <w:rPr>
      <w:rFonts w:ascii="Calibri" w:hAnsi="Calibri" w:cs="Times New Roman"/>
      <w:sz w:val="18"/>
      <w:szCs w:val="18"/>
    </w:rPr>
  </w:style>
  <w:style w:type="character" w:customStyle="1" w:styleId="15">
    <w:name w:val="脚注文本 Char"/>
    <w:link w:val="6"/>
    <w:semiHidden/>
    <w:uiPriority w:val="99"/>
    <w:rPr>
      <w:sz w:val="18"/>
      <w:szCs w:val="18"/>
    </w:rPr>
  </w:style>
  <w:style w:type="character" w:customStyle="1" w:styleId="16">
    <w:name w:val="font31"/>
    <w:uiPriority w:val="99"/>
    <w:rPr>
      <w:rFonts w:ascii="Arial" w:hAnsi="Arial" w:cs="Arial"/>
      <w:color w:val="000000"/>
      <w:sz w:val="16"/>
      <w:szCs w:val="16"/>
      <w:u w:val="none"/>
    </w:rPr>
  </w:style>
  <w:style w:type="character" w:customStyle="1" w:styleId="17">
    <w:name w:val="font01"/>
    <w:qFormat/>
    <w:uiPriority w:val="99"/>
    <w:rPr>
      <w:rFonts w:ascii="Arial" w:hAnsi="Arial" w:cs="Arial"/>
      <w:color w:val="000000"/>
      <w:sz w:val="16"/>
      <w:szCs w:val="16"/>
      <w:u w:val="none"/>
    </w:rPr>
  </w:style>
  <w:style w:type="character" w:customStyle="1" w:styleId="18">
    <w:name w:val="font41"/>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934</Words>
  <Characters>5324</Characters>
  <Lines>44</Lines>
  <Paragraphs>12</Paragraphs>
  <TotalTime>3</TotalTime>
  <ScaleCrop>false</ScaleCrop>
  <LinksUpToDate>false</LinksUpToDate>
  <CharactersWithSpaces>6246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棒棒糖</cp:lastModifiedBy>
  <cp:lastPrinted>2017-11-01T07:22:00Z</cp:lastPrinted>
  <dcterms:modified xsi:type="dcterms:W3CDTF">2021-06-18T10:24:09Z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102411306C5949488361079A1C7754F8</vt:lpwstr>
  </property>
</Properties>
</file>