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sz w:val="52"/>
          <w:szCs w:val="52"/>
        </w:rPr>
      </w:pPr>
    </w:p>
    <w:p>
      <w:pPr>
        <w:tabs>
          <w:tab w:val="left" w:pos="630"/>
        </w:tabs>
        <w:jc w:val="center"/>
        <w:rPr>
          <w:rFonts w:ascii="黑体" w:hAnsi="黑体" w:eastAsia="黑体" w:cs="黑体"/>
          <w:b/>
          <w:bCs/>
          <w:sz w:val="72"/>
          <w:szCs w:val="72"/>
        </w:rPr>
      </w:pPr>
    </w:p>
    <w:p>
      <w:pPr>
        <w:tabs>
          <w:tab w:val="left" w:pos="630"/>
        </w:tabs>
        <w:jc w:val="center"/>
        <w:rPr>
          <w:rFonts w:ascii="黑体" w:hAnsi="黑体" w:eastAsia="黑体" w:cs="黑体"/>
          <w:b/>
          <w:bCs/>
          <w:sz w:val="72"/>
          <w:szCs w:val="72"/>
        </w:rPr>
      </w:pPr>
    </w:p>
    <w:p>
      <w:pPr>
        <w:tabs>
          <w:tab w:val="left" w:pos="630"/>
        </w:tabs>
        <w:jc w:val="center"/>
        <w:rPr>
          <w:rFonts w:hint="eastAsia" w:ascii="黑体" w:hAnsi="黑体" w:eastAsia="黑体" w:cs="黑体"/>
          <w:b/>
          <w:bCs/>
          <w:sz w:val="72"/>
          <w:szCs w:val="72"/>
          <w:lang w:eastAsia="zh-CN"/>
        </w:rPr>
      </w:pPr>
      <w:r>
        <w:rPr>
          <w:rFonts w:hint="eastAsia" w:ascii="黑体" w:hAnsi="黑体" w:eastAsia="黑体" w:cs="黑体"/>
          <w:b/>
          <w:bCs/>
          <w:sz w:val="72"/>
          <w:szCs w:val="72"/>
          <w:lang w:eastAsia="zh-CN"/>
        </w:rPr>
        <w:t>信阳市浉河区旅游局</w:t>
      </w:r>
    </w:p>
    <w:p>
      <w:pPr>
        <w:tabs>
          <w:tab w:val="left" w:pos="630"/>
        </w:tabs>
        <w:spacing w:line="960" w:lineRule="exact"/>
        <w:jc w:val="center"/>
        <w:rPr>
          <w:rFonts w:ascii="黑体" w:hAnsi="黑体" w:eastAsia="黑体" w:cs="黑体"/>
          <w:b/>
          <w:bCs/>
          <w:sz w:val="72"/>
          <w:szCs w:val="72"/>
        </w:rPr>
      </w:pPr>
    </w:p>
    <w:p>
      <w:pPr>
        <w:tabs>
          <w:tab w:val="left" w:pos="630"/>
        </w:tabs>
        <w:jc w:val="center"/>
        <w:rPr>
          <w:rFonts w:ascii="黑体" w:hAnsi="黑体" w:eastAsia="黑体" w:cs="黑体"/>
          <w:b/>
          <w:bCs/>
          <w:sz w:val="72"/>
          <w:szCs w:val="72"/>
        </w:rPr>
      </w:pPr>
      <w:r>
        <w:rPr>
          <w:rFonts w:ascii="黑体" w:hAnsi="黑体" w:eastAsia="黑体" w:cs="黑体"/>
          <w:b/>
          <w:bCs/>
          <w:sz w:val="72"/>
          <w:szCs w:val="72"/>
        </w:rPr>
        <w:t>2018</w:t>
      </w:r>
      <w:r>
        <w:rPr>
          <w:rFonts w:hint="eastAsia" w:ascii="黑体" w:hAnsi="黑体" w:eastAsia="黑体" w:cs="黑体"/>
          <w:b/>
          <w:bCs/>
          <w:sz w:val="72"/>
          <w:szCs w:val="72"/>
        </w:rPr>
        <w:t>年度部门决算</w:t>
      </w:r>
    </w:p>
    <w:p>
      <w:pPr>
        <w:tabs>
          <w:tab w:val="left" w:pos="630"/>
        </w:tabs>
        <w:jc w:val="center"/>
        <w:rPr>
          <w:rFonts w:ascii="黑体" w:hAnsi="黑体" w:eastAsia="黑体" w:cs="黑体"/>
          <w:b/>
          <w:bCs/>
          <w:sz w:val="72"/>
          <w:szCs w:val="72"/>
        </w:rPr>
      </w:pPr>
    </w:p>
    <w:p>
      <w:pPr>
        <w:tabs>
          <w:tab w:val="left" w:pos="630"/>
        </w:tabs>
        <w:jc w:val="center"/>
        <w:rPr>
          <w:rFonts w:ascii="黑体" w:hAnsi="黑体" w:eastAsia="黑体" w:cs="黑体"/>
          <w:b/>
          <w:bCs/>
          <w:sz w:val="72"/>
          <w:szCs w:val="72"/>
        </w:rPr>
      </w:pPr>
    </w:p>
    <w:p>
      <w:pPr>
        <w:tabs>
          <w:tab w:val="left" w:pos="630"/>
        </w:tabs>
        <w:jc w:val="center"/>
        <w:rPr>
          <w:rFonts w:ascii="黑体" w:hAnsi="黑体" w:eastAsia="黑体" w:cs="黑体"/>
          <w:sz w:val="30"/>
          <w:szCs w:val="30"/>
        </w:rPr>
      </w:pPr>
    </w:p>
    <w:p>
      <w:pPr>
        <w:tabs>
          <w:tab w:val="left" w:pos="630"/>
        </w:tabs>
        <w:jc w:val="center"/>
        <w:rPr>
          <w:rFonts w:ascii="黑体" w:hAnsi="黑体" w:eastAsia="黑体" w:cs="黑体"/>
          <w:sz w:val="30"/>
          <w:szCs w:val="30"/>
        </w:rPr>
      </w:pPr>
    </w:p>
    <w:p>
      <w:pPr>
        <w:tabs>
          <w:tab w:val="left" w:pos="630"/>
        </w:tabs>
        <w:jc w:val="center"/>
        <w:rPr>
          <w:rFonts w:ascii="黑体" w:hAnsi="黑体" w:eastAsia="黑体" w:cs="黑体"/>
          <w:sz w:val="30"/>
          <w:szCs w:val="30"/>
        </w:rPr>
      </w:pPr>
      <w:r>
        <w:rPr>
          <w:rFonts w:hint="eastAsia" w:ascii="黑体" w:hAnsi="黑体" w:eastAsia="黑体" w:cs="黑体"/>
          <w:sz w:val="30"/>
          <w:szCs w:val="30"/>
        </w:rPr>
        <w:t>公开单位联系人：张万莲</w:t>
      </w:r>
    </w:p>
    <w:p>
      <w:pPr>
        <w:tabs>
          <w:tab w:val="left" w:pos="630"/>
        </w:tabs>
        <w:ind w:firstLine="2700" w:firstLineChars="900"/>
        <w:rPr>
          <w:rFonts w:ascii="黑体" w:hAnsi="黑体" w:eastAsia="黑体" w:cs="黑体"/>
          <w:sz w:val="30"/>
          <w:szCs w:val="30"/>
        </w:rPr>
      </w:pPr>
      <w:r>
        <w:rPr>
          <w:rFonts w:hint="eastAsia" w:ascii="黑体" w:hAnsi="黑体" w:eastAsia="黑体" w:cs="黑体"/>
          <w:sz w:val="30"/>
          <w:szCs w:val="30"/>
        </w:rPr>
        <w:t>联系电话：</w:t>
      </w:r>
      <w:r>
        <w:rPr>
          <w:rFonts w:ascii="黑体" w:hAnsi="黑体" w:eastAsia="黑体" w:cs="黑体"/>
          <w:sz w:val="30"/>
          <w:szCs w:val="30"/>
        </w:rPr>
        <w:t>13663763070</w:t>
      </w:r>
    </w:p>
    <w:p>
      <w:pPr>
        <w:tabs>
          <w:tab w:val="left" w:pos="630"/>
        </w:tabs>
        <w:jc w:val="center"/>
        <w:rPr>
          <w:rFonts w:ascii="黑体" w:hAnsi="黑体" w:eastAsia="黑体" w:cs="黑体"/>
          <w:b/>
          <w:bCs/>
          <w:sz w:val="72"/>
          <w:szCs w:val="72"/>
        </w:rPr>
      </w:pPr>
    </w:p>
    <w:p>
      <w:pPr>
        <w:tabs>
          <w:tab w:val="left" w:pos="630"/>
        </w:tabs>
        <w:jc w:val="center"/>
        <w:rPr>
          <w:rFonts w:ascii="黑体" w:hAnsi="黑体" w:eastAsia="黑体" w:cs="黑体"/>
          <w:b/>
          <w:bCs/>
          <w:sz w:val="72"/>
          <w:szCs w:val="72"/>
        </w:rPr>
      </w:pPr>
    </w:p>
    <w:p>
      <w:pPr>
        <w:tabs>
          <w:tab w:val="left" w:pos="630"/>
        </w:tabs>
        <w:jc w:val="center"/>
        <w:rPr>
          <w:rFonts w:ascii="黑体" w:hAnsi="黑体" w:eastAsia="黑体" w:cs="黑体"/>
          <w:b/>
          <w:bCs/>
          <w:sz w:val="32"/>
          <w:szCs w:val="32"/>
        </w:rPr>
      </w:pPr>
      <w:r>
        <w:rPr>
          <w:rFonts w:hint="eastAsia" w:ascii="黑体" w:hAnsi="黑体" w:eastAsia="黑体" w:cs="黑体"/>
          <w:b/>
          <w:bCs/>
          <w:sz w:val="32"/>
          <w:szCs w:val="32"/>
        </w:rPr>
        <w:t>二〇一九年九月</w:t>
      </w:r>
    </w:p>
    <w:p>
      <w:pPr>
        <w:tabs>
          <w:tab w:val="left" w:pos="630"/>
        </w:tabs>
        <w:jc w:val="center"/>
        <w:rPr>
          <w:rFonts w:ascii="黑体" w:hAnsi="黑体" w:eastAsia="黑体" w:cs="黑体"/>
          <w:b/>
          <w:bCs/>
          <w:sz w:val="72"/>
          <w:szCs w:val="72"/>
        </w:rPr>
      </w:pPr>
    </w:p>
    <w:p>
      <w:pPr>
        <w:jc w:val="center"/>
        <w:rPr>
          <w:rFonts w:ascii="黑体" w:hAnsi="黑体" w:eastAsia="黑体" w:cs="黑体"/>
          <w:sz w:val="32"/>
          <w:szCs w:val="32"/>
        </w:rPr>
      </w:pPr>
    </w:p>
    <w:p>
      <w:pPr>
        <w:tabs>
          <w:tab w:val="left" w:pos="840"/>
          <w:tab w:val="left" w:pos="3863"/>
          <w:tab w:val="center" w:pos="4692"/>
        </w:tabs>
        <w:jc w:val="center"/>
        <w:rPr>
          <w:rFonts w:ascii="黑体" w:hAnsi="黑体" w:eastAsia="黑体" w:cs="黑体"/>
          <w:sz w:val="48"/>
          <w:szCs w:val="48"/>
        </w:rPr>
      </w:pPr>
      <w:r>
        <w:rPr>
          <w:rFonts w:hint="eastAsia" w:ascii="黑体" w:hAnsi="黑体" w:eastAsia="黑体" w:cs="黑体"/>
          <w:sz w:val="48"/>
          <w:szCs w:val="48"/>
        </w:rPr>
        <w:t>目　　录</w:t>
      </w:r>
    </w:p>
    <w:p>
      <w:pPr>
        <w:tabs>
          <w:tab w:val="left" w:pos="2213"/>
          <w:tab w:val="center" w:pos="4692"/>
        </w:tabs>
        <w:jc w:val="left"/>
        <w:rPr>
          <w:rFonts w:ascii="黑体" w:hAnsi="黑体" w:eastAsia="黑体" w:cs="黑体"/>
          <w:sz w:val="32"/>
          <w:szCs w:val="32"/>
        </w:rPr>
      </w:pPr>
    </w:p>
    <w:p>
      <w:pPr>
        <w:tabs>
          <w:tab w:val="left" w:pos="2213"/>
          <w:tab w:val="center" w:pos="4692"/>
        </w:tabs>
        <w:spacing w:line="700" w:lineRule="exact"/>
        <w:jc w:val="left"/>
        <w:rPr>
          <w:rFonts w:ascii="宋体" w:cs="宋体"/>
          <w:b/>
          <w:bCs/>
          <w:sz w:val="32"/>
          <w:szCs w:val="32"/>
        </w:rPr>
      </w:pPr>
      <w:r>
        <w:rPr>
          <w:rFonts w:hint="eastAsia" w:ascii="宋体" w:hAnsi="宋体" w:cs="宋体"/>
          <w:b/>
          <w:bCs/>
          <w:sz w:val="32"/>
          <w:szCs w:val="32"/>
        </w:rPr>
        <w:t>第一部分　　信阳市浉河区旅游局概况</w:t>
      </w:r>
    </w:p>
    <w:p>
      <w:pPr>
        <w:numPr>
          <w:ilvl w:val="0"/>
          <w:numId w:val="1"/>
        </w:numPr>
        <w:tabs>
          <w:tab w:val="left" w:pos="7388"/>
        </w:tabs>
        <w:spacing w:line="700" w:lineRule="exact"/>
        <w:jc w:val="left"/>
        <w:rPr>
          <w:rFonts w:ascii="宋体" w:cs="宋体"/>
          <w:sz w:val="32"/>
          <w:szCs w:val="32"/>
        </w:rPr>
      </w:pPr>
      <w:r>
        <w:rPr>
          <w:rFonts w:hint="eastAsia" w:ascii="宋体" w:hAnsi="宋体" w:cs="宋体"/>
          <w:sz w:val="32"/>
          <w:szCs w:val="32"/>
        </w:rPr>
        <w:t>部门职责</w:t>
      </w:r>
      <w:r>
        <w:rPr>
          <w:rFonts w:ascii="宋体" w:cs="宋体"/>
          <w:sz w:val="32"/>
          <w:szCs w:val="32"/>
        </w:rPr>
        <w:tab/>
      </w:r>
    </w:p>
    <w:p>
      <w:pPr>
        <w:numPr>
          <w:ilvl w:val="0"/>
          <w:numId w:val="1"/>
        </w:numPr>
        <w:spacing w:line="700" w:lineRule="exact"/>
        <w:jc w:val="left"/>
        <w:rPr>
          <w:rFonts w:ascii="宋体" w:cs="宋体"/>
          <w:sz w:val="32"/>
          <w:szCs w:val="32"/>
        </w:rPr>
      </w:pPr>
      <w:r>
        <w:rPr>
          <w:rFonts w:hint="eastAsia" w:ascii="宋体" w:hAnsi="宋体" w:cs="宋体"/>
          <w:sz w:val="32"/>
          <w:szCs w:val="32"/>
        </w:rPr>
        <w:t>机构设置</w:t>
      </w:r>
    </w:p>
    <w:p>
      <w:pPr>
        <w:spacing w:line="700" w:lineRule="exact"/>
        <w:jc w:val="left"/>
        <w:rPr>
          <w:rFonts w:ascii="宋体" w:cs="宋体"/>
          <w:sz w:val="32"/>
          <w:szCs w:val="32"/>
        </w:rPr>
      </w:pPr>
      <w:r>
        <w:rPr>
          <w:rFonts w:hint="eastAsia" w:ascii="宋体" w:hAnsi="宋体" w:cs="宋体"/>
          <w:b/>
          <w:bCs/>
          <w:sz w:val="32"/>
          <w:szCs w:val="32"/>
        </w:rPr>
        <w:t>第二部分　　</w:t>
      </w:r>
      <w:r>
        <w:rPr>
          <w:rFonts w:ascii="宋体" w:hAnsi="宋体" w:cs="宋体"/>
          <w:b/>
          <w:bCs/>
          <w:sz w:val="32"/>
          <w:szCs w:val="32"/>
        </w:rPr>
        <w:t>2018</w:t>
      </w:r>
      <w:r>
        <w:rPr>
          <w:rFonts w:hint="eastAsia" w:ascii="宋体" w:hAnsi="宋体" w:cs="宋体"/>
          <w:b/>
          <w:bCs/>
          <w:sz w:val="32"/>
          <w:szCs w:val="32"/>
        </w:rPr>
        <w:t>年度部门决算情况说明</w:t>
      </w:r>
    </w:p>
    <w:p>
      <w:pPr>
        <w:spacing w:line="700" w:lineRule="exact"/>
        <w:jc w:val="left"/>
        <w:rPr>
          <w:rFonts w:ascii="宋体" w:cs="宋体"/>
          <w:sz w:val="32"/>
          <w:szCs w:val="32"/>
        </w:rPr>
      </w:pPr>
      <w:r>
        <w:rPr>
          <w:rFonts w:hint="eastAsia" w:ascii="宋体" w:hAnsi="宋体" w:cs="宋体"/>
          <w:sz w:val="32"/>
          <w:szCs w:val="32"/>
        </w:rPr>
        <w:t>一、收入支出决算总体情况说明</w:t>
      </w:r>
    </w:p>
    <w:p>
      <w:pPr>
        <w:spacing w:line="700" w:lineRule="exact"/>
        <w:jc w:val="left"/>
        <w:rPr>
          <w:rFonts w:ascii="宋体" w:cs="宋体"/>
          <w:sz w:val="32"/>
          <w:szCs w:val="32"/>
        </w:rPr>
      </w:pPr>
      <w:r>
        <w:rPr>
          <w:rFonts w:hint="eastAsia" w:ascii="宋体" w:hAnsi="宋体" w:cs="宋体"/>
          <w:sz w:val="32"/>
          <w:szCs w:val="32"/>
        </w:rPr>
        <w:t>二、收入决算情况说明</w:t>
      </w:r>
    </w:p>
    <w:p>
      <w:pPr>
        <w:spacing w:line="700" w:lineRule="exact"/>
        <w:jc w:val="left"/>
        <w:rPr>
          <w:rFonts w:ascii="宋体" w:cs="宋体"/>
          <w:sz w:val="32"/>
          <w:szCs w:val="32"/>
        </w:rPr>
      </w:pPr>
      <w:r>
        <w:rPr>
          <w:rFonts w:hint="eastAsia" w:ascii="宋体" w:hAnsi="宋体" w:cs="宋体"/>
          <w:sz w:val="32"/>
          <w:szCs w:val="32"/>
        </w:rPr>
        <w:t>三、支出决算情况说明</w:t>
      </w:r>
    </w:p>
    <w:p>
      <w:pPr>
        <w:spacing w:line="700" w:lineRule="exact"/>
        <w:jc w:val="left"/>
        <w:rPr>
          <w:rFonts w:ascii="宋体" w:cs="宋体"/>
          <w:sz w:val="32"/>
          <w:szCs w:val="32"/>
        </w:rPr>
      </w:pPr>
      <w:r>
        <w:rPr>
          <w:rFonts w:hint="eastAsia" w:ascii="宋体" w:hAnsi="宋体" w:cs="宋体"/>
          <w:sz w:val="32"/>
          <w:szCs w:val="32"/>
        </w:rPr>
        <w:t>四、财政拨款收入支出决算总体情况说明</w:t>
      </w:r>
    </w:p>
    <w:p>
      <w:pPr>
        <w:spacing w:line="700" w:lineRule="exact"/>
        <w:jc w:val="left"/>
        <w:rPr>
          <w:rFonts w:ascii="宋体" w:cs="宋体"/>
          <w:sz w:val="32"/>
          <w:szCs w:val="32"/>
        </w:rPr>
      </w:pPr>
      <w:r>
        <w:rPr>
          <w:rFonts w:hint="eastAsia" w:ascii="宋体" w:hAnsi="宋体" w:cs="宋体"/>
          <w:sz w:val="32"/>
          <w:szCs w:val="32"/>
        </w:rPr>
        <w:t>五、一般公共预算财政拨款支出决算情况说明</w:t>
      </w:r>
    </w:p>
    <w:p>
      <w:pPr>
        <w:spacing w:line="700" w:lineRule="exact"/>
        <w:jc w:val="left"/>
        <w:rPr>
          <w:rFonts w:ascii="宋体" w:cs="宋体"/>
          <w:sz w:val="32"/>
          <w:szCs w:val="32"/>
        </w:rPr>
      </w:pPr>
      <w:r>
        <w:rPr>
          <w:rFonts w:hint="eastAsia" w:ascii="宋体" w:hAnsi="宋体" w:cs="宋体"/>
          <w:sz w:val="32"/>
          <w:szCs w:val="32"/>
        </w:rPr>
        <w:t>六、一般公共预算财政拨款基本支出决算情况说明</w:t>
      </w:r>
    </w:p>
    <w:p>
      <w:pPr>
        <w:spacing w:line="700" w:lineRule="exact"/>
        <w:jc w:val="left"/>
        <w:rPr>
          <w:rFonts w:ascii="宋体" w:cs="宋体"/>
          <w:sz w:val="32"/>
          <w:szCs w:val="32"/>
        </w:rPr>
      </w:pPr>
      <w:r>
        <w:rPr>
          <w:rFonts w:hint="eastAsia" w:ascii="宋体" w:hAnsi="宋体" w:cs="宋体"/>
          <w:sz w:val="32"/>
          <w:szCs w:val="32"/>
        </w:rPr>
        <w:t>七、一般公共预算财政拨款“三公”经费支出决算情况说明</w:t>
      </w:r>
    </w:p>
    <w:p>
      <w:pPr>
        <w:spacing w:line="700" w:lineRule="exact"/>
        <w:jc w:val="left"/>
        <w:rPr>
          <w:rFonts w:ascii="宋体" w:cs="宋体"/>
          <w:sz w:val="32"/>
          <w:szCs w:val="32"/>
        </w:rPr>
      </w:pPr>
      <w:r>
        <w:rPr>
          <w:rFonts w:hint="eastAsia" w:ascii="宋体" w:hAnsi="宋体" w:cs="宋体"/>
          <w:sz w:val="32"/>
          <w:szCs w:val="32"/>
        </w:rPr>
        <w:t>八、预算绩效情况说明</w:t>
      </w:r>
    </w:p>
    <w:p>
      <w:pPr>
        <w:spacing w:line="700" w:lineRule="exact"/>
        <w:jc w:val="left"/>
        <w:rPr>
          <w:rFonts w:ascii="宋体" w:cs="宋体"/>
          <w:sz w:val="32"/>
          <w:szCs w:val="32"/>
        </w:rPr>
      </w:pPr>
      <w:r>
        <w:rPr>
          <w:rFonts w:hint="eastAsia" w:ascii="宋体" w:hAnsi="宋体" w:cs="宋体"/>
          <w:sz w:val="32"/>
          <w:szCs w:val="32"/>
        </w:rPr>
        <w:t>九、政府性基金预算财政拨款收入支出决算情况说明</w:t>
      </w:r>
    </w:p>
    <w:p>
      <w:pPr>
        <w:spacing w:line="700" w:lineRule="exact"/>
        <w:jc w:val="left"/>
        <w:rPr>
          <w:rFonts w:ascii="宋体" w:cs="宋体"/>
          <w:sz w:val="32"/>
          <w:szCs w:val="32"/>
        </w:rPr>
      </w:pPr>
      <w:r>
        <w:rPr>
          <w:rFonts w:hint="eastAsia" w:ascii="宋体" w:hAnsi="宋体" w:cs="宋体"/>
          <w:sz w:val="32"/>
          <w:szCs w:val="32"/>
        </w:rPr>
        <w:t>十、机关运行经费支出情况说明</w:t>
      </w:r>
    </w:p>
    <w:p>
      <w:pPr>
        <w:spacing w:line="700" w:lineRule="exact"/>
        <w:jc w:val="left"/>
        <w:rPr>
          <w:rFonts w:ascii="宋体" w:cs="宋体"/>
          <w:sz w:val="32"/>
          <w:szCs w:val="32"/>
        </w:rPr>
      </w:pPr>
      <w:r>
        <w:rPr>
          <w:rFonts w:hint="eastAsia" w:ascii="宋体" w:hAnsi="宋体" w:cs="宋体"/>
          <w:sz w:val="32"/>
          <w:szCs w:val="32"/>
        </w:rPr>
        <w:t>十一、政府采购支出情况说明</w:t>
      </w:r>
    </w:p>
    <w:p>
      <w:pPr>
        <w:spacing w:line="700" w:lineRule="exact"/>
        <w:jc w:val="left"/>
        <w:rPr>
          <w:rFonts w:ascii="宋体" w:cs="宋体"/>
          <w:sz w:val="32"/>
          <w:szCs w:val="32"/>
        </w:rPr>
      </w:pPr>
      <w:r>
        <w:rPr>
          <w:rFonts w:hint="eastAsia" w:ascii="宋体" w:hAnsi="宋体" w:cs="宋体"/>
          <w:sz w:val="32"/>
          <w:szCs w:val="32"/>
        </w:rPr>
        <w:t>十二、国有资产占用情况说明</w:t>
      </w:r>
    </w:p>
    <w:p>
      <w:pPr>
        <w:spacing w:line="700" w:lineRule="exact"/>
        <w:jc w:val="left"/>
        <w:rPr>
          <w:rFonts w:ascii="宋体" w:cs="宋体"/>
          <w:b/>
          <w:bCs/>
          <w:sz w:val="32"/>
          <w:szCs w:val="32"/>
        </w:rPr>
      </w:pPr>
    </w:p>
    <w:p>
      <w:pPr>
        <w:numPr>
          <w:ilvl w:val="0"/>
          <w:numId w:val="2"/>
        </w:numPr>
        <w:spacing w:line="700" w:lineRule="exact"/>
        <w:jc w:val="left"/>
        <w:rPr>
          <w:rFonts w:ascii="宋体" w:cs="宋体"/>
          <w:b/>
          <w:bCs/>
          <w:sz w:val="32"/>
          <w:szCs w:val="32"/>
        </w:rPr>
      </w:pPr>
      <w:r>
        <w:rPr>
          <w:rFonts w:hint="eastAsia" w:ascii="宋体" w:hAnsi="宋体" w:cs="宋体"/>
          <w:b/>
          <w:bCs/>
          <w:sz w:val="32"/>
          <w:szCs w:val="32"/>
        </w:rPr>
        <w:t>　名词解释</w:t>
      </w:r>
    </w:p>
    <w:p>
      <w:pPr>
        <w:numPr>
          <w:ilvl w:val="0"/>
          <w:numId w:val="2"/>
        </w:numPr>
        <w:spacing w:line="700" w:lineRule="exact"/>
        <w:jc w:val="left"/>
        <w:rPr>
          <w:rFonts w:ascii="宋体" w:cs="宋体"/>
          <w:b/>
          <w:bCs/>
          <w:sz w:val="32"/>
          <w:szCs w:val="32"/>
        </w:rPr>
      </w:pPr>
      <w:r>
        <w:rPr>
          <w:rFonts w:ascii="宋体" w:hAnsi="宋体" w:cs="宋体"/>
          <w:b/>
          <w:bCs/>
          <w:sz w:val="32"/>
          <w:szCs w:val="32"/>
        </w:rPr>
        <w:t>2018</w:t>
      </w:r>
      <w:r>
        <w:rPr>
          <w:rFonts w:hint="eastAsia" w:ascii="宋体" w:hAnsi="宋体" w:cs="宋体"/>
          <w:b/>
          <w:bCs/>
          <w:sz w:val="32"/>
          <w:szCs w:val="32"/>
        </w:rPr>
        <w:t>年度部门决算表（</w:t>
      </w:r>
      <w:r>
        <w:rPr>
          <w:rFonts w:ascii="宋体" w:hAnsi="宋体" w:cs="宋体"/>
          <w:b/>
          <w:bCs/>
          <w:sz w:val="32"/>
          <w:szCs w:val="32"/>
        </w:rPr>
        <w:t>Excel</w:t>
      </w:r>
      <w:r>
        <w:rPr>
          <w:rFonts w:hint="eastAsia" w:ascii="宋体" w:hAnsi="宋体" w:cs="宋体"/>
          <w:b/>
          <w:bCs/>
          <w:sz w:val="32"/>
          <w:szCs w:val="32"/>
        </w:rPr>
        <w:t>表格形式）</w:t>
      </w:r>
    </w:p>
    <w:p>
      <w:pPr>
        <w:numPr>
          <w:ilvl w:val="0"/>
          <w:numId w:val="3"/>
        </w:numPr>
        <w:spacing w:line="700" w:lineRule="exact"/>
        <w:jc w:val="left"/>
        <w:rPr>
          <w:rFonts w:ascii="宋体" w:cs="宋体"/>
          <w:sz w:val="32"/>
          <w:szCs w:val="32"/>
        </w:rPr>
      </w:pPr>
      <w:r>
        <w:rPr>
          <w:rFonts w:hint="eastAsia" w:ascii="宋体" w:hAnsi="宋体" w:cs="宋体"/>
          <w:sz w:val="32"/>
          <w:szCs w:val="32"/>
        </w:rPr>
        <w:t>收入支出决算总表</w:t>
      </w:r>
    </w:p>
    <w:p>
      <w:pPr>
        <w:numPr>
          <w:ilvl w:val="0"/>
          <w:numId w:val="3"/>
        </w:numPr>
        <w:spacing w:line="700" w:lineRule="exact"/>
        <w:jc w:val="left"/>
        <w:rPr>
          <w:rFonts w:ascii="宋体" w:cs="宋体"/>
          <w:sz w:val="32"/>
          <w:szCs w:val="32"/>
        </w:rPr>
      </w:pPr>
      <w:r>
        <w:rPr>
          <w:rFonts w:hint="eastAsia" w:ascii="宋体" w:hAnsi="宋体" w:cs="宋体"/>
          <w:sz w:val="32"/>
          <w:szCs w:val="32"/>
        </w:rPr>
        <w:t>收入决算表</w:t>
      </w:r>
    </w:p>
    <w:p>
      <w:pPr>
        <w:numPr>
          <w:ilvl w:val="0"/>
          <w:numId w:val="3"/>
        </w:numPr>
        <w:spacing w:line="700" w:lineRule="exact"/>
        <w:jc w:val="left"/>
        <w:rPr>
          <w:rFonts w:ascii="宋体" w:cs="宋体"/>
          <w:sz w:val="32"/>
          <w:szCs w:val="32"/>
        </w:rPr>
      </w:pPr>
      <w:r>
        <w:rPr>
          <w:rFonts w:hint="eastAsia" w:ascii="宋体" w:hAnsi="宋体" w:cs="宋体"/>
          <w:sz w:val="32"/>
          <w:szCs w:val="32"/>
        </w:rPr>
        <w:t>支出决算表</w:t>
      </w:r>
    </w:p>
    <w:p>
      <w:pPr>
        <w:numPr>
          <w:ilvl w:val="0"/>
          <w:numId w:val="3"/>
        </w:numPr>
        <w:spacing w:line="700" w:lineRule="exact"/>
        <w:jc w:val="left"/>
        <w:rPr>
          <w:rFonts w:ascii="宋体" w:cs="宋体"/>
          <w:sz w:val="32"/>
          <w:szCs w:val="32"/>
        </w:rPr>
      </w:pPr>
      <w:r>
        <w:rPr>
          <w:rFonts w:hint="eastAsia" w:ascii="宋体" w:hAnsi="宋体" w:cs="宋体"/>
          <w:sz w:val="32"/>
          <w:szCs w:val="32"/>
        </w:rPr>
        <w:t>财政拨款收入支出决算总表</w:t>
      </w:r>
    </w:p>
    <w:p>
      <w:pPr>
        <w:numPr>
          <w:ilvl w:val="0"/>
          <w:numId w:val="3"/>
        </w:numPr>
        <w:spacing w:line="700" w:lineRule="exact"/>
        <w:jc w:val="left"/>
        <w:rPr>
          <w:rFonts w:ascii="宋体" w:cs="宋体"/>
          <w:sz w:val="32"/>
          <w:szCs w:val="32"/>
        </w:rPr>
      </w:pPr>
      <w:r>
        <w:rPr>
          <w:rFonts w:hint="eastAsia" w:ascii="宋体" w:hAnsi="宋体" w:cs="宋体"/>
          <w:sz w:val="32"/>
          <w:szCs w:val="32"/>
        </w:rPr>
        <w:t>一般公共预算财政拨款支出决算表</w:t>
      </w:r>
    </w:p>
    <w:p>
      <w:pPr>
        <w:numPr>
          <w:ilvl w:val="0"/>
          <w:numId w:val="3"/>
        </w:numPr>
        <w:spacing w:line="700" w:lineRule="exact"/>
        <w:jc w:val="left"/>
        <w:rPr>
          <w:rFonts w:ascii="宋体" w:cs="宋体"/>
          <w:sz w:val="32"/>
          <w:szCs w:val="32"/>
        </w:rPr>
      </w:pPr>
      <w:r>
        <w:rPr>
          <w:rFonts w:hint="eastAsia" w:ascii="宋体" w:hAnsi="宋体" w:cs="宋体"/>
          <w:sz w:val="32"/>
          <w:szCs w:val="32"/>
        </w:rPr>
        <w:t>一般公共预算财政拨款基本支出决算表</w:t>
      </w:r>
    </w:p>
    <w:p>
      <w:pPr>
        <w:numPr>
          <w:ilvl w:val="0"/>
          <w:numId w:val="3"/>
        </w:numPr>
        <w:spacing w:line="700" w:lineRule="exact"/>
        <w:jc w:val="left"/>
        <w:rPr>
          <w:rFonts w:ascii="宋体" w:cs="宋体"/>
          <w:sz w:val="32"/>
          <w:szCs w:val="32"/>
        </w:rPr>
      </w:pPr>
      <w:r>
        <w:rPr>
          <w:rFonts w:hint="eastAsia" w:ascii="宋体" w:hAnsi="宋体" w:cs="宋体"/>
          <w:sz w:val="32"/>
          <w:szCs w:val="32"/>
        </w:rPr>
        <w:t>一般公共预算财政拨款“三公”经费支出决算表</w:t>
      </w:r>
    </w:p>
    <w:p>
      <w:pPr>
        <w:numPr>
          <w:ilvl w:val="0"/>
          <w:numId w:val="3"/>
        </w:numPr>
        <w:spacing w:line="700" w:lineRule="exact"/>
        <w:jc w:val="left"/>
        <w:rPr>
          <w:rFonts w:ascii="宋体" w:cs="宋体"/>
          <w:sz w:val="32"/>
          <w:szCs w:val="32"/>
        </w:rPr>
      </w:pPr>
      <w:r>
        <w:rPr>
          <w:rFonts w:hint="eastAsia" w:ascii="宋体" w:hAnsi="宋体" w:cs="宋体"/>
          <w:sz w:val="32"/>
          <w:szCs w:val="32"/>
        </w:rPr>
        <w:t>政府性基金预算财政拨款收入支出决算表</w:t>
      </w:r>
    </w:p>
    <w:p>
      <w:pPr>
        <w:jc w:val="left"/>
        <w:rPr>
          <w:rFonts w:ascii="宋体" w:cs="宋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numPr>
          <w:ilvl w:val="0"/>
          <w:numId w:val="4"/>
        </w:numPr>
        <w:tabs>
          <w:tab w:val="left" w:pos="983"/>
          <w:tab w:val="center" w:pos="4692"/>
        </w:tabs>
        <w:jc w:val="center"/>
        <w:rPr>
          <w:rFonts w:ascii="宋体" w:cs="宋体"/>
          <w:sz w:val="48"/>
          <w:szCs w:val="48"/>
        </w:rPr>
      </w:pPr>
    </w:p>
    <w:p>
      <w:pPr>
        <w:tabs>
          <w:tab w:val="left" w:pos="983"/>
          <w:tab w:val="center" w:pos="4692"/>
        </w:tabs>
        <w:jc w:val="center"/>
        <w:rPr>
          <w:rFonts w:ascii="隶书" w:hAnsi="隶书" w:eastAsia="隶书" w:cs="隶书"/>
          <w:sz w:val="48"/>
          <w:szCs w:val="48"/>
        </w:rPr>
      </w:pPr>
    </w:p>
    <w:p>
      <w:pPr>
        <w:tabs>
          <w:tab w:val="left" w:pos="983"/>
          <w:tab w:val="center" w:pos="4692"/>
        </w:tabs>
        <w:jc w:val="center"/>
        <w:rPr>
          <w:rFonts w:ascii="隶书" w:hAnsi="隶书" w:eastAsia="隶书" w:cs="隶书"/>
          <w:sz w:val="48"/>
          <w:szCs w:val="48"/>
        </w:rPr>
      </w:pPr>
    </w:p>
    <w:p>
      <w:pPr>
        <w:tabs>
          <w:tab w:val="left" w:pos="983"/>
          <w:tab w:val="center" w:pos="4692"/>
        </w:tabs>
        <w:jc w:val="center"/>
        <w:rPr>
          <w:rFonts w:ascii="隶书" w:hAnsi="隶书" w:eastAsia="隶书" w:cs="隶书"/>
          <w:sz w:val="48"/>
          <w:szCs w:val="48"/>
        </w:rPr>
      </w:pPr>
    </w:p>
    <w:p>
      <w:pPr>
        <w:tabs>
          <w:tab w:val="left" w:pos="983"/>
          <w:tab w:val="center" w:pos="4692"/>
        </w:tabs>
        <w:ind w:firstLine="1920" w:firstLineChars="400"/>
        <w:rPr>
          <w:rFonts w:ascii="??_GB2312" w:hAnsi="??_GB2312" w:cs="??_GB2312"/>
          <w:sz w:val="48"/>
          <w:szCs w:val="48"/>
        </w:rPr>
      </w:pPr>
      <w:r>
        <w:rPr>
          <w:rFonts w:hint="eastAsia" w:ascii="宋体" w:hAnsi="宋体" w:cs="宋体"/>
          <w:sz w:val="48"/>
          <w:szCs w:val="48"/>
          <w:lang w:eastAsia="zh-CN"/>
        </w:rPr>
        <w:t>信阳市浉河区旅游局</w:t>
      </w:r>
      <w:r>
        <w:rPr>
          <w:rFonts w:hint="eastAsia" w:ascii="宋体" w:hAnsi="宋体" w:cs="宋体"/>
          <w:sz w:val="48"/>
          <w:szCs w:val="48"/>
        </w:rPr>
        <w:t>概况</w:t>
      </w:r>
    </w:p>
    <w:p>
      <w:pPr>
        <w:tabs>
          <w:tab w:val="left" w:pos="983"/>
          <w:tab w:val="center" w:pos="4692"/>
        </w:tabs>
        <w:rPr>
          <w:rFonts w:ascii="隶书" w:hAnsi="隶书" w:eastAsia="隶书" w:cs="隶书"/>
          <w:sz w:val="48"/>
          <w:szCs w:val="48"/>
        </w:rPr>
      </w:pPr>
    </w:p>
    <w:p>
      <w:pPr>
        <w:jc w:val="center"/>
        <w:rPr>
          <w:rFonts w:ascii="??_GB2312" w:hAnsi="??_GB2312" w:cs="??_GB2312"/>
          <w:sz w:val="32"/>
          <w:szCs w:val="32"/>
        </w:rPr>
      </w:pPr>
    </w:p>
    <w:p>
      <w:pPr>
        <w:spacing w:line="520" w:lineRule="exact"/>
        <w:ind w:left="420" w:leftChars="200" w:firstLine="964" w:firstLineChars="300"/>
        <w:rPr>
          <w:rFonts w:ascii="??_GB2312" w:hAnsi="??_GB2312" w:cs="??_GB2312"/>
          <w:b/>
          <w:bCs/>
          <w:color w:val="0000FF"/>
          <w:sz w:val="32"/>
          <w:szCs w:val="32"/>
        </w:rPr>
      </w:pPr>
    </w:p>
    <w:p>
      <w:pPr>
        <w:spacing w:line="520" w:lineRule="exact"/>
        <w:ind w:left="420" w:leftChars="200" w:firstLine="964" w:firstLineChars="300"/>
        <w:rPr>
          <w:rFonts w:ascii="??_GB2312" w:hAnsi="??_GB2312" w:cs="??_GB2312"/>
          <w:b/>
          <w:bCs/>
          <w:color w:val="0000FF"/>
          <w:sz w:val="32"/>
          <w:szCs w:val="32"/>
        </w:rPr>
      </w:pPr>
    </w:p>
    <w:p>
      <w:pPr>
        <w:spacing w:line="520" w:lineRule="exact"/>
        <w:ind w:left="420" w:leftChars="200" w:firstLine="964" w:firstLineChars="300"/>
        <w:rPr>
          <w:rFonts w:ascii="??_GB2312" w:hAnsi="??_GB2312" w:cs="??_GB2312"/>
          <w:b/>
          <w:bCs/>
          <w:color w:val="0000FF"/>
          <w:sz w:val="32"/>
          <w:szCs w:val="32"/>
        </w:rPr>
      </w:pPr>
    </w:p>
    <w:p>
      <w:pPr>
        <w:spacing w:line="520" w:lineRule="exact"/>
        <w:ind w:left="420" w:leftChars="200" w:firstLine="964" w:firstLineChars="300"/>
        <w:rPr>
          <w:rFonts w:ascii="??_GB2312" w:hAnsi="??_GB2312" w:cs="??_GB2312"/>
          <w:b/>
          <w:bCs/>
          <w:color w:val="0000FF"/>
          <w:sz w:val="32"/>
          <w:szCs w:val="32"/>
        </w:rPr>
      </w:pPr>
    </w:p>
    <w:p>
      <w:pPr>
        <w:spacing w:line="520" w:lineRule="exact"/>
        <w:ind w:left="420" w:leftChars="200" w:firstLine="964" w:firstLineChars="300"/>
        <w:rPr>
          <w:rFonts w:ascii="??_GB2312" w:hAnsi="??_GB2312" w:cs="??_GB2312"/>
          <w:b/>
          <w:bCs/>
          <w:color w:val="0000FF"/>
          <w:sz w:val="32"/>
          <w:szCs w:val="32"/>
        </w:rPr>
      </w:pPr>
    </w:p>
    <w:p>
      <w:pPr>
        <w:spacing w:line="520" w:lineRule="exact"/>
        <w:ind w:firstLine="321" w:firstLineChars="100"/>
        <w:rPr>
          <w:rFonts w:ascii="??_GB2312" w:hAnsi="??_GB2312" w:cs="??_GB2312"/>
          <w:sz w:val="32"/>
          <w:szCs w:val="32"/>
        </w:rPr>
      </w:pPr>
      <w:r>
        <w:rPr>
          <w:rFonts w:hint="eastAsia" w:ascii="宋体" w:hAnsi="宋体" w:cs="宋体"/>
          <w:b/>
          <w:bCs/>
          <w:sz w:val="32"/>
          <w:szCs w:val="32"/>
        </w:rPr>
        <w:t>一、部门职责</w:t>
      </w:r>
    </w:p>
    <w:p>
      <w:pPr>
        <w:spacing w:line="520" w:lineRule="exact"/>
        <w:ind w:firstLine="640" w:firstLineChars="200"/>
        <w:rPr>
          <w:rFonts w:ascii="??_GB2312" w:hAnsi="??_GB2312" w:cs="??_GB2312"/>
          <w:sz w:val="32"/>
          <w:szCs w:val="32"/>
        </w:rPr>
      </w:pPr>
      <w:r>
        <w:rPr>
          <w:rFonts w:hint="eastAsia" w:ascii="宋体" w:hAnsi="宋体" w:cs="宋体"/>
          <w:sz w:val="32"/>
          <w:szCs w:val="32"/>
          <w:lang w:eastAsia="zh-CN"/>
        </w:rPr>
        <w:t>信阳市浉河区旅游局</w:t>
      </w:r>
      <w:r>
        <w:rPr>
          <w:rFonts w:hint="eastAsia" w:ascii="宋体" w:hAnsi="宋体" w:cs="宋体"/>
          <w:sz w:val="32"/>
          <w:szCs w:val="32"/>
        </w:rPr>
        <w:t>的主要职责是：</w:t>
      </w:r>
    </w:p>
    <w:p>
      <w:pPr>
        <w:adjustRightInd w:val="0"/>
        <w:snapToGrid w:val="0"/>
        <w:spacing w:line="360" w:lineRule="auto"/>
        <w:ind w:firstLine="640" w:firstLineChars="200"/>
        <w:rPr>
          <w:rFonts w:ascii="??" w:hAnsi="??" w:eastAsia="Times New Roman" w:cs="Courier New"/>
          <w:sz w:val="32"/>
          <w:szCs w:val="32"/>
        </w:rPr>
      </w:pPr>
      <w:r>
        <w:rPr>
          <w:rFonts w:ascii="??" w:hAnsi="??" w:eastAsia="Times New Roman" w:cs="Courier New"/>
          <w:sz w:val="32"/>
          <w:szCs w:val="32"/>
        </w:rPr>
        <w:t>1</w:t>
      </w:r>
      <w:r>
        <w:rPr>
          <w:rFonts w:hint="eastAsia" w:ascii="宋体" w:hAnsi="宋体" w:cs="宋体"/>
          <w:sz w:val="32"/>
          <w:szCs w:val="32"/>
        </w:rPr>
        <w:t>、贯彻执行党和国家、省、市有关旅游业的方针、政策及法律、法规；拟订全区旅游业发展政策、规划并监督实施。贯彻落实国家、省、市旅游行业设施标准和服务标准。</w:t>
      </w:r>
    </w:p>
    <w:p>
      <w:pPr>
        <w:adjustRightInd w:val="0"/>
        <w:snapToGrid w:val="0"/>
        <w:spacing w:line="360" w:lineRule="auto"/>
        <w:ind w:firstLine="640" w:firstLineChars="200"/>
        <w:rPr>
          <w:rFonts w:ascii="??" w:hAnsi="??" w:eastAsia="Times New Roman" w:cs="Courier New"/>
          <w:sz w:val="32"/>
          <w:szCs w:val="32"/>
        </w:rPr>
      </w:pPr>
      <w:r>
        <w:rPr>
          <w:rFonts w:ascii="??" w:hAnsi="??" w:eastAsia="Times New Roman" w:cs="Courier New"/>
          <w:sz w:val="32"/>
          <w:szCs w:val="32"/>
        </w:rPr>
        <w:t>2</w:t>
      </w:r>
      <w:r>
        <w:rPr>
          <w:rFonts w:hint="eastAsia" w:ascii="宋体" w:hAnsi="宋体" w:cs="宋体"/>
          <w:sz w:val="32"/>
          <w:szCs w:val="32"/>
        </w:rPr>
        <w:t>、研究拟定国际旅游市场开发战略，组织全区旅游整体形象的对外宣传和重大促销活动，组织实施全区旅游产品开发；研究并拟定全区国内旅游发展的战略措施，培育和完善全区国内旅游市场；指导乡、镇旅游工作。</w:t>
      </w:r>
    </w:p>
    <w:p>
      <w:pPr>
        <w:adjustRightInd w:val="0"/>
        <w:snapToGrid w:val="0"/>
        <w:spacing w:line="360" w:lineRule="auto"/>
        <w:ind w:firstLine="640" w:firstLineChars="200"/>
        <w:rPr>
          <w:rFonts w:ascii="??" w:hAnsi="??" w:eastAsia="Times New Roman" w:cs="Courier New"/>
          <w:sz w:val="32"/>
          <w:szCs w:val="32"/>
        </w:rPr>
      </w:pPr>
      <w:r>
        <w:rPr>
          <w:rFonts w:ascii="??" w:hAnsi="??" w:eastAsia="Times New Roman" w:cs="Courier New"/>
          <w:sz w:val="32"/>
          <w:szCs w:val="32"/>
        </w:rPr>
        <w:t>3</w:t>
      </w:r>
      <w:r>
        <w:rPr>
          <w:rFonts w:hint="eastAsia" w:ascii="宋体" w:hAnsi="宋体" w:cs="宋体"/>
          <w:sz w:val="32"/>
          <w:szCs w:val="32"/>
        </w:rPr>
        <w:t>、协助区发展改革部门审批国家、省、市区下达的旅游业发展资金的投资立项工作；指导、监督全区重点旅游区域的规划、开发、建设；负责全区旅游业利用外资和社会投资工作；负责全区旅游资源的调查和旅游统计工作。</w:t>
      </w:r>
    </w:p>
    <w:p>
      <w:pPr>
        <w:adjustRightInd w:val="0"/>
        <w:snapToGrid w:val="0"/>
        <w:spacing w:line="360" w:lineRule="auto"/>
        <w:ind w:firstLine="640" w:firstLineChars="200"/>
        <w:rPr>
          <w:rFonts w:ascii="??" w:hAnsi="??" w:eastAsia="Times New Roman" w:cs="Courier New"/>
          <w:sz w:val="32"/>
          <w:szCs w:val="32"/>
        </w:rPr>
      </w:pPr>
      <w:r>
        <w:rPr>
          <w:rFonts w:ascii="??" w:hAnsi="??" w:eastAsia="Times New Roman" w:cs="Courier New"/>
          <w:sz w:val="32"/>
          <w:szCs w:val="32"/>
        </w:rPr>
        <w:t>4</w:t>
      </w:r>
      <w:r>
        <w:rPr>
          <w:rFonts w:hint="eastAsia" w:ascii="宋体" w:hAnsi="宋体" w:cs="宋体"/>
          <w:sz w:val="32"/>
          <w:szCs w:val="32"/>
        </w:rPr>
        <w:t>、负责全区国内旅行社、旅游涉外星级饭店、旅游涉外车、船公司、旅游定点单位以及其他经营旅游业的企事业单位的申报和管理工作；组织、参与全区旅游交通的协调及旅游安全、旅游保险和娱乐文化工作。</w:t>
      </w:r>
    </w:p>
    <w:p>
      <w:pPr>
        <w:adjustRightInd w:val="0"/>
        <w:snapToGrid w:val="0"/>
        <w:spacing w:line="360" w:lineRule="auto"/>
        <w:ind w:firstLine="640" w:firstLineChars="200"/>
        <w:rPr>
          <w:rFonts w:ascii="??" w:hAnsi="??" w:eastAsia="Times New Roman" w:cs="Courier New"/>
          <w:sz w:val="32"/>
          <w:szCs w:val="32"/>
        </w:rPr>
      </w:pPr>
      <w:r>
        <w:rPr>
          <w:rFonts w:ascii="??" w:hAnsi="??" w:eastAsia="Times New Roman" w:cs="Courier New"/>
          <w:sz w:val="32"/>
          <w:szCs w:val="32"/>
        </w:rPr>
        <w:t>5</w:t>
      </w:r>
      <w:r>
        <w:rPr>
          <w:rFonts w:hint="eastAsia" w:ascii="宋体" w:hAnsi="宋体" w:cs="宋体"/>
          <w:sz w:val="32"/>
          <w:szCs w:val="32"/>
        </w:rPr>
        <w:t>、承担规范旅游市场秩序、监督管理服务质量、维护旅游消费者和经营者合法权益的责任；规范全区旅游企业和从业人员的经营和服务行为；负责旅游安全的综合协调和监督管理，指导应急救援工作；指导旅游行业精神文明建设和诚信体系建设。</w:t>
      </w:r>
    </w:p>
    <w:p>
      <w:pPr>
        <w:adjustRightInd w:val="0"/>
        <w:snapToGrid w:val="0"/>
        <w:spacing w:line="360" w:lineRule="auto"/>
        <w:ind w:firstLine="640" w:firstLineChars="200"/>
        <w:rPr>
          <w:rFonts w:ascii="??" w:hAnsi="??" w:eastAsia="Times New Roman" w:cs="Courier New"/>
          <w:sz w:val="32"/>
          <w:szCs w:val="32"/>
        </w:rPr>
      </w:pPr>
      <w:r>
        <w:rPr>
          <w:rFonts w:ascii="??" w:hAnsi="??" w:eastAsia="Times New Roman" w:cs="Courier New"/>
          <w:sz w:val="32"/>
          <w:szCs w:val="32"/>
        </w:rPr>
        <w:t>6</w:t>
      </w:r>
      <w:r>
        <w:rPr>
          <w:rFonts w:hint="eastAsia" w:ascii="宋体" w:hAnsi="宋体" w:cs="宋体"/>
          <w:sz w:val="32"/>
          <w:szCs w:val="32"/>
        </w:rPr>
        <w:t>、监督、检查全区旅游行业经营单位的财务工作。</w:t>
      </w:r>
    </w:p>
    <w:p>
      <w:pPr>
        <w:adjustRightInd w:val="0"/>
        <w:snapToGrid w:val="0"/>
        <w:spacing w:line="360" w:lineRule="auto"/>
        <w:ind w:firstLine="640" w:firstLineChars="200"/>
        <w:rPr>
          <w:rFonts w:ascii="??" w:hAnsi="??" w:eastAsia="Times New Roman" w:cs="Courier New"/>
          <w:sz w:val="32"/>
          <w:szCs w:val="32"/>
        </w:rPr>
      </w:pPr>
      <w:r>
        <w:rPr>
          <w:rFonts w:ascii="??" w:hAnsi="??" w:eastAsia="Times New Roman" w:cs="Courier New"/>
          <w:sz w:val="32"/>
          <w:szCs w:val="32"/>
        </w:rPr>
        <w:t>7</w:t>
      </w:r>
      <w:r>
        <w:rPr>
          <w:rFonts w:hint="eastAsia" w:ascii="宋体" w:hAnsi="宋体" w:cs="宋体"/>
          <w:sz w:val="32"/>
          <w:szCs w:val="32"/>
        </w:rPr>
        <w:t>、制定并组织实施人才规划，组织指导全区旅游行业教育培训和旅游从业人员岗位资格考试工作。</w:t>
      </w:r>
    </w:p>
    <w:p>
      <w:pPr>
        <w:adjustRightInd w:val="0"/>
        <w:snapToGrid w:val="0"/>
        <w:spacing w:line="360" w:lineRule="auto"/>
        <w:ind w:firstLine="640" w:firstLineChars="200"/>
        <w:rPr>
          <w:rFonts w:ascii="??" w:hAnsi="??" w:eastAsia="Times New Roman" w:cs="Courier New"/>
          <w:sz w:val="32"/>
          <w:szCs w:val="32"/>
        </w:rPr>
      </w:pPr>
      <w:r>
        <w:rPr>
          <w:rFonts w:ascii="??" w:hAnsi="??" w:eastAsia="Times New Roman" w:cs="Courier New"/>
          <w:sz w:val="32"/>
          <w:szCs w:val="32"/>
        </w:rPr>
        <w:t>8</w:t>
      </w:r>
      <w:r>
        <w:rPr>
          <w:rFonts w:hint="eastAsia" w:ascii="宋体" w:hAnsi="宋体" w:cs="宋体"/>
          <w:sz w:val="32"/>
          <w:szCs w:val="32"/>
        </w:rPr>
        <w:t>、承办区委、区政府和上级主管部门交办的其他事项。</w:t>
      </w:r>
    </w:p>
    <w:p>
      <w:pPr>
        <w:numPr>
          <w:ilvl w:val="0"/>
          <w:numId w:val="5"/>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adjustRightInd w:val="0"/>
        <w:snapToGrid w:val="0"/>
        <w:spacing w:line="360" w:lineRule="auto"/>
        <w:ind w:firstLine="640" w:firstLineChars="200"/>
        <w:rPr>
          <w:rFonts w:ascii="??" w:hAnsi="??" w:eastAsia="Times New Roman" w:cs="Courier New"/>
          <w:sz w:val="32"/>
          <w:szCs w:val="32"/>
        </w:rPr>
      </w:pPr>
      <w:r>
        <w:rPr>
          <w:rFonts w:hint="eastAsia" w:ascii="宋体" w:hAnsi="宋体" w:cs="宋体"/>
          <w:sz w:val="32"/>
          <w:szCs w:val="32"/>
          <w:lang w:eastAsia="zh-CN"/>
        </w:rPr>
        <w:t>信阳市浉河区旅游局</w:t>
      </w:r>
      <w:r>
        <w:rPr>
          <w:rFonts w:hint="eastAsia" w:ascii="宋体" w:hAnsi="宋体" w:cs="宋体"/>
          <w:sz w:val="32"/>
          <w:szCs w:val="32"/>
        </w:rPr>
        <w:t>共有编制</w:t>
      </w:r>
      <w:r>
        <w:rPr>
          <w:rFonts w:ascii="??" w:hAnsi="??" w:eastAsia="Times New Roman" w:cs="Courier New"/>
          <w:sz w:val="32"/>
          <w:szCs w:val="32"/>
        </w:rPr>
        <w:t>32</w:t>
      </w:r>
      <w:r>
        <w:rPr>
          <w:rFonts w:hint="eastAsia" w:ascii="宋体" w:hAnsi="宋体" w:cs="宋体"/>
          <w:sz w:val="32"/>
          <w:szCs w:val="32"/>
        </w:rPr>
        <w:t>人，其中：机关编制</w:t>
      </w:r>
      <w:r>
        <w:rPr>
          <w:rFonts w:ascii="??" w:hAnsi="??" w:eastAsia="Times New Roman" w:cs="Courier New"/>
          <w:sz w:val="32"/>
          <w:szCs w:val="32"/>
        </w:rPr>
        <w:t>14</w:t>
      </w:r>
      <w:r>
        <w:rPr>
          <w:rFonts w:hint="eastAsia" w:ascii="宋体" w:hAnsi="宋体" w:cs="宋体"/>
          <w:sz w:val="32"/>
          <w:szCs w:val="32"/>
        </w:rPr>
        <w:t>人，事业编制</w:t>
      </w:r>
      <w:r>
        <w:rPr>
          <w:rFonts w:ascii="??" w:hAnsi="??" w:eastAsia="Times New Roman" w:cs="Courier New"/>
          <w:sz w:val="32"/>
          <w:szCs w:val="32"/>
        </w:rPr>
        <w:t>18</w:t>
      </w:r>
      <w:r>
        <w:rPr>
          <w:rFonts w:hint="eastAsia" w:ascii="宋体" w:hAnsi="宋体" w:cs="宋体"/>
          <w:sz w:val="32"/>
          <w:szCs w:val="32"/>
        </w:rPr>
        <w:t>人；在职在岗实有人数</w:t>
      </w:r>
      <w:r>
        <w:rPr>
          <w:rFonts w:ascii="??" w:hAnsi="??" w:eastAsia="Times New Roman" w:cs="Courier New"/>
          <w:sz w:val="32"/>
          <w:szCs w:val="32"/>
        </w:rPr>
        <w:t>20</w:t>
      </w:r>
      <w:r>
        <w:rPr>
          <w:rFonts w:hint="eastAsia" w:ascii="宋体" w:hAnsi="宋体" w:cs="宋体"/>
          <w:sz w:val="32"/>
          <w:szCs w:val="32"/>
        </w:rPr>
        <w:t>人，退休人员</w:t>
      </w:r>
      <w:r>
        <w:rPr>
          <w:rFonts w:ascii="??" w:hAnsi="??" w:eastAsia="Times New Roman" w:cs="Courier New"/>
          <w:sz w:val="32"/>
          <w:szCs w:val="32"/>
        </w:rPr>
        <w:t>10</w:t>
      </w:r>
      <w:r>
        <w:rPr>
          <w:rFonts w:hint="eastAsia" w:ascii="宋体" w:hAnsi="宋体" w:cs="宋体"/>
          <w:sz w:val="32"/>
          <w:szCs w:val="32"/>
        </w:rPr>
        <w:t>人。</w:t>
      </w:r>
    </w:p>
    <w:p>
      <w:pPr>
        <w:spacing w:line="360" w:lineRule="auto"/>
        <w:ind w:firstLine="640" w:firstLineChars="200"/>
        <w:jc w:val="left"/>
        <w:outlineLvl w:val="1"/>
        <w:rPr>
          <w:rFonts w:ascii="??" w:hAnsi="??" w:eastAsia="Times New Roman" w:cs="Courier New"/>
          <w:sz w:val="32"/>
          <w:szCs w:val="32"/>
        </w:rPr>
      </w:pPr>
      <w:r>
        <w:rPr>
          <w:rFonts w:hint="eastAsia" w:ascii="宋体" w:hAnsi="宋体" w:cs="宋体"/>
          <w:sz w:val="32"/>
          <w:szCs w:val="32"/>
          <w:lang w:eastAsia="zh-CN"/>
        </w:rPr>
        <w:t>信阳市浉河区旅游局</w:t>
      </w:r>
      <w:r>
        <w:rPr>
          <w:rFonts w:hint="eastAsia" w:ascii="宋体" w:hAnsi="宋体" w:cs="宋体"/>
          <w:sz w:val="32"/>
          <w:szCs w:val="32"/>
        </w:rPr>
        <w:t>设有两个二级机构（旅游质量监督管理所、旅游服务中心），内设</w:t>
      </w:r>
      <w:r>
        <w:rPr>
          <w:rFonts w:ascii="??" w:hAnsi="??" w:eastAsia="Times New Roman" w:cs="Courier New"/>
          <w:sz w:val="32"/>
          <w:szCs w:val="32"/>
        </w:rPr>
        <w:t>3</w:t>
      </w:r>
      <w:r>
        <w:rPr>
          <w:rFonts w:hint="eastAsia" w:ascii="宋体" w:hAnsi="宋体" w:cs="宋体"/>
          <w:sz w:val="32"/>
          <w:szCs w:val="32"/>
        </w:rPr>
        <w:t>个科室（办公室、旅游行业管理股、旅游资源开发股）。</w:t>
      </w:r>
    </w:p>
    <w:p>
      <w:pPr>
        <w:adjustRightInd w:val="0"/>
        <w:snapToGrid w:val="0"/>
        <w:spacing w:line="360" w:lineRule="auto"/>
        <w:ind w:firstLine="640" w:firstLineChars="200"/>
        <w:rPr>
          <w:rFonts w:ascii="宋体" w:hAnsi="宋体" w:cs="宋体"/>
          <w:sz w:val="32"/>
          <w:szCs w:val="32"/>
        </w:rPr>
      </w:pPr>
      <w:r>
        <w:rPr>
          <w:rFonts w:hint="eastAsia" w:ascii="宋体" w:hAnsi="宋体" w:cs="宋体"/>
          <w:sz w:val="32"/>
          <w:szCs w:val="32"/>
        </w:rPr>
        <w:t>本决算</w:t>
      </w:r>
      <w:r>
        <w:rPr>
          <w:rFonts w:ascii="宋体" w:hAnsi="宋体" w:cs="宋体"/>
          <w:sz w:val="32"/>
          <w:szCs w:val="32"/>
        </w:rPr>
        <w:t>为汇总决算，</w:t>
      </w:r>
      <w:r>
        <w:rPr>
          <w:rFonts w:hint="eastAsia" w:ascii="宋体" w:hAnsi="宋体" w:cs="宋体"/>
          <w:sz w:val="32"/>
          <w:szCs w:val="32"/>
        </w:rPr>
        <w:t>纳入信阳市浉河区旅游局</w:t>
      </w:r>
      <w:r>
        <w:rPr>
          <w:rFonts w:ascii="??" w:hAnsi="??" w:eastAsia="Times New Roman" w:cs="Courier New"/>
          <w:sz w:val="32"/>
          <w:szCs w:val="32"/>
        </w:rPr>
        <w:t>2018</w:t>
      </w:r>
      <w:r>
        <w:rPr>
          <w:rFonts w:hint="eastAsia" w:ascii="宋体" w:hAnsi="宋体" w:cs="宋体"/>
          <w:sz w:val="32"/>
          <w:szCs w:val="32"/>
        </w:rPr>
        <w:t>年度部门决算编制范围的单位包括：信阳市浉河区旅游局本级，和所属单位在内的汇总决算，</w:t>
      </w:r>
      <w:r>
        <w:rPr>
          <w:rFonts w:ascii="宋体" w:hAnsi="宋体" w:cs="宋体"/>
          <w:sz w:val="32"/>
          <w:szCs w:val="32"/>
        </w:rPr>
        <w:t>具体为：</w:t>
      </w:r>
    </w:p>
    <w:p>
      <w:pPr>
        <w:adjustRightInd w:val="0"/>
        <w:snapToGrid w:val="0"/>
        <w:spacing w:line="360" w:lineRule="auto"/>
        <w:rPr>
          <w:rFonts w:ascii="宋体" w:hAnsi="宋体" w:cs="宋体"/>
          <w:sz w:val="32"/>
          <w:szCs w:val="32"/>
        </w:rPr>
      </w:pPr>
      <w:r>
        <w:rPr>
          <w:rFonts w:ascii="宋体" w:hAnsi="宋体" w:cs="宋体"/>
          <w:sz w:val="32"/>
          <w:szCs w:val="32"/>
        </w:rPr>
        <w:t>1</w:t>
      </w:r>
      <w:r>
        <w:rPr>
          <w:rFonts w:hint="eastAsia" w:ascii="宋体" w:hAnsi="宋体" w:cs="宋体"/>
          <w:sz w:val="32"/>
          <w:szCs w:val="32"/>
        </w:rPr>
        <w:t>、</w:t>
      </w:r>
      <w:r>
        <w:rPr>
          <w:rFonts w:hint="eastAsia" w:ascii="宋体" w:hAnsi="宋体" w:cs="宋体"/>
          <w:sz w:val="32"/>
          <w:szCs w:val="32"/>
          <w:lang w:eastAsia="zh-CN"/>
        </w:rPr>
        <w:t>信阳市浉河区旅游局</w:t>
      </w:r>
      <w:r>
        <w:rPr>
          <w:rFonts w:ascii="宋体" w:hAnsi="宋体" w:cs="宋体"/>
          <w:sz w:val="32"/>
          <w:szCs w:val="32"/>
        </w:rPr>
        <w:t>本级</w:t>
      </w:r>
    </w:p>
    <w:p>
      <w:pPr>
        <w:adjustRightInd w:val="0"/>
        <w:snapToGrid w:val="0"/>
        <w:spacing w:line="360" w:lineRule="auto"/>
        <w:rPr>
          <w:rFonts w:ascii="宋体" w:hAnsi="宋体" w:cs="宋体"/>
          <w:sz w:val="32"/>
          <w:szCs w:val="32"/>
        </w:rPr>
      </w:pPr>
      <w:r>
        <w:rPr>
          <w:rFonts w:hint="eastAsia" w:ascii="宋体" w:hAnsi="宋体" w:cs="宋体"/>
          <w:sz w:val="32"/>
          <w:szCs w:val="32"/>
        </w:rPr>
        <w:t>2、旅游质量监督管理所</w:t>
      </w:r>
    </w:p>
    <w:p>
      <w:pPr>
        <w:adjustRightInd w:val="0"/>
        <w:snapToGrid w:val="0"/>
        <w:spacing w:line="360" w:lineRule="auto"/>
        <w:rPr>
          <w:rFonts w:ascii="??" w:hAnsi="??" w:eastAsia="Times New Roman" w:cs="Courier New"/>
          <w:sz w:val="32"/>
          <w:szCs w:val="32"/>
        </w:rPr>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pgNumType w:fmt="numberInDash"/>
          <w:cols w:space="425" w:num="1"/>
          <w:docGrid w:type="lines" w:linePitch="312" w:charSpace="0"/>
        </w:sectPr>
      </w:pPr>
      <w:r>
        <w:rPr>
          <w:rFonts w:hint="eastAsia" w:ascii="宋体" w:hAnsi="宋体" w:cs="宋体"/>
          <w:sz w:val="32"/>
          <w:szCs w:val="32"/>
        </w:rPr>
        <w:t>3、旅游服务中心</w:t>
      </w:r>
      <w:bookmarkStart w:id="0" w:name="_GoBack"/>
      <w:bookmarkEnd w:id="0"/>
    </w:p>
    <w:p>
      <w:pPr>
        <w:spacing w:line="520" w:lineRule="exact"/>
        <w:ind w:firstLine="640" w:firstLineChars="200"/>
        <w:rPr>
          <w:rFonts w:ascii="??_GB2312" w:hAnsi="??_GB2312" w:cs="??_GB2312"/>
          <w:sz w:val="32"/>
          <w:szCs w:val="32"/>
        </w:rPr>
      </w:pPr>
    </w:p>
    <w:p>
      <w:pPr>
        <w:spacing w:line="520" w:lineRule="exact"/>
        <w:ind w:firstLine="960" w:firstLineChars="300"/>
        <w:rPr>
          <w:rFonts w:ascii="??_GB2312" w:hAnsi="??_GB2312" w:cs="??_GB2312"/>
          <w:sz w:val="32"/>
          <w:szCs w:val="32"/>
        </w:rPr>
      </w:pPr>
    </w:p>
    <w:p>
      <w:pPr>
        <w:spacing w:line="520" w:lineRule="exact"/>
        <w:ind w:firstLine="3360" w:firstLineChars="700"/>
        <w:rPr>
          <w:rFonts w:ascii="隶书" w:hAnsi="隶书" w:eastAsia="隶书" w:cs="隶书"/>
          <w:sz w:val="48"/>
          <w:szCs w:val="48"/>
        </w:rPr>
      </w:pPr>
      <w:r>
        <w:rPr>
          <w:rFonts w:hint="eastAsia" w:ascii="隶书" w:hAnsi="隶书" w:eastAsia="隶书" w:cs="隶书"/>
          <w:sz w:val="48"/>
          <w:szCs w:val="48"/>
        </w:rPr>
        <w:t>第二部分</w:t>
      </w:r>
    </w:p>
    <w:p>
      <w:pPr>
        <w:spacing w:line="520" w:lineRule="exact"/>
        <w:ind w:firstLine="960" w:firstLineChars="200"/>
        <w:rPr>
          <w:rFonts w:ascii="隶书" w:hAnsi="隶书" w:eastAsia="隶书" w:cs="隶书"/>
          <w:sz w:val="48"/>
          <w:szCs w:val="48"/>
        </w:rPr>
      </w:pPr>
    </w:p>
    <w:p>
      <w:pPr>
        <w:spacing w:line="520" w:lineRule="exact"/>
        <w:ind w:firstLine="960" w:firstLineChars="200"/>
        <w:rPr>
          <w:rFonts w:ascii="隶书" w:hAnsi="隶书" w:eastAsia="隶书" w:cs="隶书"/>
          <w:sz w:val="48"/>
          <w:szCs w:val="48"/>
        </w:rPr>
      </w:pPr>
    </w:p>
    <w:p>
      <w:pPr>
        <w:spacing w:line="520" w:lineRule="exact"/>
        <w:ind w:firstLine="960" w:firstLineChars="200"/>
        <w:rPr>
          <w:rFonts w:ascii="隶书" w:hAnsi="隶书" w:eastAsia="隶书" w:cs="隶书"/>
          <w:sz w:val="48"/>
          <w:szCs w:val="48"/>
        </w:rPr>
      </w:pPr>
    </w:p>
    <w:p>
      <w:pPr>
        <w:spacing w:line="520" w:lineRule="exact"/>
        <w:ind w:firstLine="960" w:firstLineChars="200"/>
        <w:rPr>
          <w:rFonts w:ascii="隶书" w:hAnsi="隶书" w:eastAsia="隶书" w:cs="隶书"/>
          <w:sz w:val="48"/>
          <w:szCs w:val="48"/>
        </w:rPr>
      </w:pPr>
    </w:p>
    <w:p>
      <w:pPr>
        <w:spacing w:line="520" w:lineRule="exact"/>
        <w:jc w:val="center"/>
        <w:rPr>
          <w:rFonts w:ascii="隶书" w:hAnsi="隶书" w:eastAsia="隶书" w:cs="隶书"/>
          <w:sz w:val="48"/>
          <w:szCs w:val="48"/>
        </w:rPr>
      </w:pPr>
      <w:r>
        <w:rPr>
          <w:rFonts w:hint="eastAsia" w:ascii="隶书" w:hAnsi="隶书" w:eastAsia="隶书" w:cs="隶书"/>
          <w:sz w:val="48"/>
          <w:szCs w:val="48"/>
          <w:lang w:eastAsia="zh-CN"/>
        </w:rPr>
        <w:t>信阳市浉河区旅游局</w:t>
      </w:r>
      <w:r>
        <w:rPr>
          <w:rFonts w:ascii="隶书" w:hAnsi="隶书" w:eastAsia="隶书" w:cs="隶书"/>
          <w:sz w:val="48"/>
          <w:szCs w:val="48"/>
        </w:rPr>
        <w:t>2018</w:t>
      </w:r>
      <w:r>
        <w:rPr>
          <w:rFonts w:hint="eastAsia" w:ascii="隶书" w:hAnsi="隶书" w:eastAsia="隶书" w:cs="隶书"/>
          <w:sz w:val="48"/>
          <w:szCs w:val="48"/>
        </w:rPr>
        <w:t>年度部门决算</w:t>
      </w:r>
    </w:p>
    <w:p>
      <w:pPr>
        <w:spacing w:line="520" w:lineRule="exact"/>
        <w:jc w:val="center"/>
        <w:rPr>
          <w:rFonts w:ascii="??" w:hAnsi="??" w:eastAsia="Times New Roman"/>
          <w:sz w:val="36"/>
          <w:szCs w:val="36"/>
        </w:rPr>
      </w:pPr>
      <w:r>
        <w:rPr>
          <w:rFonts w:hint="eastAsia" w:ascii="隶书" w:hAnsi="隶书" w:eastAsia="隶书" w:cs="隶书"/>
          <w:sz w:val="48"/>
          <w:szCs w:val="48"/>
        </w:rPr>
        <w:t>情况说明</w:t>
      </w:r>
    </w:p>
    <w:p>
      <w:pPr>
        <w:pStyle w:val="3"/>
        <w:spacing w:line="560" w:lineRule="exact"/>
        <w:rPr>
          <w:rFonts w:ascii="??" w:hAnsi="??" w:eastAsia="Times New Roman"/>
          <w:sz w:val="32"/>
          <w:szCs w:val="32"/>
        </w:rPr>
      </w:pPr>
    </w:p>
    <w:p>
      <w:pPr>
        <w:spacing w:line="520" w:lineRule="exact"/>
        <w:jc w:val="center"/>
        <w:rPr>
          <w:rFonts w:ascii="??_GB2312" w:hAnsi="??_GB2312" w:cs="??_GB2312"/>
          <w:sz w:val="32"/>
          <w:szCs w:val="32"/>
        </w:rPr>
      </w:pPr>
    </w:p>
    <w:p>
      <w:pPr>
        <w:ind w:firstLine="320" w:firstLineChars="100"/>
        <w:rPr>
          <w:rFonts w:ascii="??_GB2312" w:hAnsi="??_GB2312" w:cs="??_GB2312"/>
          <w:sz w:val="32"/>
          <w:szCs w:val="32"/>
        </w:rPr>
      </w:pPr>
    </w:p>
    <w:p>
      <w:pPr>
        <w:spacing w:line="520" w:lineRule="exact"/>
        <w:rPr>
          <w:rFonts w:ascii="隶书" w:hAnsi="隶书" w:eastAsia="隶书" w:cs="隶书"/>
          <w:sz w:val="48"/>
          <w:szCs w:val="48"/>
        </w:rPr>
      </w:pPr>
    </w:p>
    <w:p>
      <w:pPr>
        <w:spacing w:line="520" w:lineRule="exact"/>
        <w:rPr>
          <w:rFonts w:ascii="隶书" w:hAnsi="隶书" w:eastAsia="隶书" w:cs="隶书"/>
          <w:sz w:val="48"/>
          <w:szCs w:val="48"/>
        </w:rPr>
      </w:pPr>
    </w:p>
    <w:p>
      <w:pPr>
        <w:spacing w:line="520" w:lineRule="exact"/>
        <w:rPr>
          <w:rFonts w:ascii="隶书" w:hAnsi="隶书" w:eastAsia="隶书" w:cs="隶书"/>
          <w:sz w:val="48"/>
          <w:szCs w:val="48"/>
        </w:rPr>
      </w:pPr>
    </w:p>
    <w:p>
      <w:pPr>
        <w:spacing w:line="520" w:lineRule="exact"/>
        <w:rPr>
          <w:rFonts w:ascii="隶书" w:hAnsi="隶书" w:eastAsia="隶书" w:cs="隶书"/>
          <w:sz w:val="48"/>
          <w:szCs w:val="48"/>
        </w:rPr>
      </w:pPr>
    </w:p>
    <w:p>
      <w:pPr>
        <w:spacing w:line="520" w:lineRule="exact"/>
        <w:rPr>
          <w:rFonts w:ascii="隶书" w:hAnsi="隶书" w:eastAsia="隶书" w:cs="隶书"/>
          <w:sz w:val="48"/>
          <w:szCs w:val="48"/>
        </w:rPr>
      </w:pPr>
    </w:p>
    <w:p>
      <w:pPr>
        <w:spacing w:line="520" w:lineRule="exact"/>
        <w:rPr>
          <w:rFonts w:ascii="隶书" w:hAnsi="隶书" w:eastAsia="隶书" w:cs="隶书"/>
          <w:sz w:val="48"/>
          <w:szCs w:val="48"/>
        </w:rPr>
      </w:pPr>
    </w:p>
    <w:p>
      <w:pPr>
        <w:spacing w:line="520" w:lineRule="exact"/>
        <w:rPr>
          <w:rFonts w:ascii="隶书" w:hAnsi="隶书" w:eastAsia="隶书" w:cs="隶书"/>
          <w:sz w:val="48"/>
          <w:szCs w:val="48"/>
        </w:rPr>
      </w:pPr>
    </w:p>
    <w:p>
      <w:pPr>
        <w:spacing w:line="520" w:lineRule="exact"/>
        <w:rPr>
          <w:rFonts w:ascii="隶书" w:hAnsi="隶书" w:eastAsia="隶书" w:cs="隶书"/>
          <w:sz w:val="48"/>
          <w:szCs w:val="48"/>
        </w:rPr>
      </w:pPr>
    </w:p>
    <w:p>
      <w:pPr>
        <w:spacing w:line="520" w:lineRule="exact"/>
        <w:rPr>
          <w:rFonts w:ascii="隶书" w:hAnsi="隶书" w:eastAsia="隶书" w:cs="隶书"/>
          <w:sz w:val="48"/>
          <w:szCs w:val="48"/>
        </w:rPr>
      </w:pPr>
    </w:p>
    <w:p>
      <w:pPr>
        <w:spacing w:line="520" w:lineRule="exact"/>
        <w:rPr>
          <w:rFonts w:ascii="隶书" w:hAnsi="隶书" w:eastAsia="隶书" w:cs="隶书"/>
          <w:sz w:val="48"/>
          <w:szCs w:val="48"/>
        </w:rPr>
      </w:pPr>
    </w:p>
    <w:p>
      <w:pPr>
        <w:spacing w:line="520" w:lineRule="exact"/>
        <w:rPr>
          <w:rFonts w:ascii="隶书" w:hAnsi="隶书" w:eastAsia="隶书" w:cs="隶书"/>
          <w:sz w:val="48"/>
          <w:szCs w:val="48"/>
        </w:rPr>
      </w:pPr>
    </w:p>
    <w:p>
      <w:pPr>
        <w:spacing w:line="520" w:lineRule="exact"/>
        <w:rPr>
          <w:rFonts w:ascii="隶书" w:hAnsi="隶书" w:eastAsia="隶书" w:cs="隶书"/>
          <w:sz w:val="48"/>
          <w:szCs w:val="48"/>
        </w:rPr>
      </w:pPr>
    </w:p>
    <w:p>
      <w:pPr>
        <w:spacing w:line="520" w:lineRule="exact"/>
        <w:rPr>
          <w:rFonts w:ascii="隶书" w:hAnsi="隶书" w:eastAsia="隶书" w:cs="隶书"/>
          <w:sz w:val="48"/>
          <w:szCs w:val="48"/>
        </w:rPr>
      </w:pPr>
    </w:p>
    <w:p>
      <w:pPr>
        <w:spacing w:line="520" w:lineRule="exact"/>
        <w:ind w:firstLine="3360" w:firstLineChars="700"/>
        <w:rPr>
          <w:rFonts w:ascii="隶书" w:hAnsi="隶书" w:eastAsia="隶书" w:cs="隶书"/>
          <w:sz w:val="48"/>
          <w:szCs w:val="48"/>
        </w:rPr>
      </w:pPr>
    </w:p>
    <w:p>
      <w:pPr>
        <w:spacing w:line="520" w:lineRule="exact"/>
        <w:ind w:firstLine="960" w:firstLineChars="200"/>
        <w:rPr>
          <w:rFonts w:ascii="隶书" w:hAnsi="隶书" w:eastAsia="隶书" w:cs="隶书"/>
          <w:sz w:val="48"/>
          <w:szCs w:val="48"/>
        </w:rPr>
      </w:pPr>
    </w:p>
    <w:p>
      <w:pPr>
        <w:tabs>
          <w:tab w:val="left" w:pos="3383"/>
          <w:tab w:val="center" w:pos="4692"/>
        </w:tabs>
        <w:ind w:firstLine="643" w:firstLineChars="200"/>
        <w:jc w:val="left"/>
        <w:outlineLvl w:val="0"/>
        <w:rPr>
          <w:rFonts w:ascii="??_GB2312" w:hAnsi="??_GB2312" w:cs="??_GB2312"/>
          <w:b/>
          <w:bCs/>
          <w:sz w:val="32"/>
          <w:szCs w:val="32"/>
        </w:rPr>
      </w:pPr>
      <w:r>
        <w:rPr>
          <w:rFonts w:hint="eastAsia" w:ascii="宋体" w:hAnsi="宋体" w:cs="宋体"/>
          <w:b/>
          <w:bCs/>
          <w:sz w:val="32"/>
          <w:szCs w:val="32"/>
        </w:rPr>
        <w:t>一、收入支出决算总体情况说明</w:t>
      </w:r>
    </w:p>
    <w:p>
      <w:pPr>
        <w:widowControl/>
        <w:adjustRightInd w:val="0"/>
        <w:snapToGrid w:val="0"/>
        <w:spacing w:line="540" w:lineRule="exact"/>
        <w:ind w:firstLine="640" w:firstLineChars="200"/>
        <w:rPr>
          <w:rFonts w:hint="eastAsia" w:ascii="宋体" w:hAnsi="宋体" w:cs="宋体"/>
          <w:sz w:val="32"/>
          <w:szCs w:val="32"/>
        </w:rPr>
      </w:pPr>
      <w:r>
        <w:rPr>
          <w:rFonts w:hint="eastAsia" w:ascii="宋体" w:hAnsi="宋体" w:cs="宋体"/>
          <w:sz w:val="32"/>
          <w:szCs w:val="32"/>
        </w:rPr>
        <w:t>2018年度收入、支出总计均为4218.54 万元，与2017年相比，收、支总计均增加3600.25 万元，增长582.29%。决算数大于去年决算数的主要原因是环湖路综合整治支出</w:t>
      </w:r>
      <w:r>
        <w:rPr>
          <w:rFonts w:hint="eastAsia" w:ascii="宋体" w:hAnsi="宋体" w:cs="宋体"/>
          <w:sz w:val="32"/>
          <w:szCs w:val="32"/>
          <w:lang w:val="en-US" w:eastAsia="zh-CN"/>
        </w:rPr>
        <w:t>增加</w:t>
      </w:r>
      <w:r>
        <w:rPr>
          <w:rFonts w:hint="eastAsia" w:ascii="宋体" w:hAnsi="宋体" w:cs="宋体"/>
          <w:sz w:val="32"/>
          <w:szCs w:val="32"/>
        </w:rPr>
        <w:t>。</w:t>
      </w:r>
    </w:p>
    <w:p>
      <w:pPr>
        <w:widowControl/>
        <w:tabs>
          <w:tab w:val="left" w:pos="938"/>
        </w:tabs>
        <w:adjustRightInd w:val="0"/>
        <w:snapToGrid w:val="0"/>
        <w:spacing w:line="540" w:lineRule="exact"/>
        <w:ind w:left="420" w:leftChars="200" w:firstLine="321" w:firstLineChars="100"/>
        <w:rPr>
          <w:rFonts w:ascii="??_GB2312" w:hAnsi="??_GB2312" w:cs="??_GB2312"/>
          <w:b/>
          <w:bCs/>
          <w:sz w:val="32"/>
          <w:szCs w:val="32"/>
        </w:rPr>
      </w:pPr>
      <w:r>
        <w:rPr>
          <w:rFonts w:hint="eastAsia" w:ascii="宋体" w:hAnsi="宋体" w:cs="宋体"/>
          <w:b/>
          <w:bCs/>
          <w:sz w:val="32"/>
          <w:szCs w:val="32"/>
        </w:rPr>
        <w:t>二、收入决算情况说明</w:t>
      </w:r>
    </w:p>
    <w:p>
      <w:pPr>
        <w:widowControl/>
        <w:adjustRightInd w:val="0"/>
        <w:snapToGrid w:val="0"/>
        <w:spacing w:line="540" w:lineRule="exact"/>
        <w:ind w:firstLine="640" w:firstLineChars="200"/>
        <w:rPr>
          <w:rFonts w:ascii="??_GB2312" w:hAnsi="??_GB2312" w:cs="??_GB2312"/>
          <w:sz w:val="32"/>
          <w:szCs w:val="32"/>
        </w:rPr>
      </w:pPr>
      <w:r>
        <w:rPr>
          <w:rFonts w:ascii="??_GB2312" w:hAnsi="??_GB2312" w:cs="??_GB2312"/>
          <w:sz w:val="32"/>
          <w:szCs w:val="32"/>
        </w:rPr>
        <w:t>2018</w:t>
      </w:r>
      <w:r>
        <w:rPr>
          <w:rFonts w:hint="eastAsia" w:ascii="宋体" w:hAnsi="宋体" w:cs="宋体"/>
          <w:sz w:val="32"/>
          <w:szCs w:val="32"/>
        </w:rPr>
        <w:t>年度收入合计</w:t>
      </w:r>
      <w:r>
        <w:rPr>
          <w:rFonts w:ascii="??_GB2312" w:hAnsi="??_GB2312" w:cs="??_GB2312"/>
          <w:sz w:val="32"/>
          <w:szCs w:val="32"/>
        </w:rPr>
        <w:t>4218.54</w:t>
      </w:r>
      <w:r>
        <w:rPr>
          <w:rFonts w:hint="eastAsia" w:ascii="宋体" w:hAnsi="宋体" w:cs="宋体"/>
          <w:sz w:val="32"/>
          <w:szCs w:val="32"/>
        </w:rPr>
        <w:t>万元，其中：财政拨款收入</w:t>
      </w:r>
      <w:r>
        <w:rPr>
          <w:rFonts w:ascii="??_GB2312" w:hAnsi="??_GB2312" w:cs="??_GB2312"/>
          <w:sz w:val="32"/>
          <w:szCs w:val="32"/>
        </w:rPr>
        <w:t>4218.54</w:t>
      </w:r>
      <w:r>
        <w:rPr>
          <w:rFonts w:hint="eastAsia" w:ascii="宋体" w:hAnsi="宋体" w:cs="宋体"/>
          <w:sz w:val="32"/>
          <w:szCs w:val="32"/>
        </w:rPr>
        <w:t>万元，占</w:t>
      </w:r>
      <w:r>
        <w:rPr>
          <w:rFonts w:ascii="??_GB2312" w:hAnsi="??_GB2312" w:cs="??_GB2312"/>
          <w:sz w:val="32"/>
          <w:szCs w:val="32"/>
        </w:rPr>
        <w:t>100 %</w:t>
      </w:r>
      <w:r>
        <w:rPr>
          <w:rFonts w:hint="eastAsia" w:ascii="宋体" w:hAnsi="宋体" w:cs="宋体"/>
          <w:sz w:val="32"/>
          <w:szCs w:val="32"/>
        </w:rPr>
        <w:t>；事业收入</w:t>
      </w:r>
      <w:r>
        <w:rPr>
          <w:rFonts w:ascii="??_GB2312" w:hAnsi="??_GB2312" w:cs="??_GB2312"/>
          <w:sz w:val="32"/>
          <w:szCs w:val="32"/>
        </w:rPr>
        <w:t xml:space="preserve">0 </w:t>
      </w:r>
      <w:r>
        <w:rPr>
          <w:rFonts w:hint="eastAsia" w:ascii="宋体" w:hAnsi="宋体" w:cs="宋体"/>
          <w:sz w:val="32"/>
          <w:szCs w:val="32"/>
        </w:rPr>
        <w:t>万元，占</w:t>
      </w:r>
      <w:r>
        <w:rPr>
          <w:rFonts w:ascii="??_GB2312" w:hAnsi="??_GB2312" w:cs="??_GB2312"/>
          <w:sz w:val="32"/>
          <w:szCs w:val="32"/>
        </w:rPr>
        <w:t xml:space="preserve"> 0 %</w:t>
      </w:r>
      <w:r>
        <w:rPr>
          <w:rFonts w:hint="eastAsia" w:ascii="宋体" w:hAnsi="宋体" w:cs="宋体"/>
          <w:sz w:val="32"/>
          <w:szCs w:val="32"/>
        </w:rPr>
        <w:t>；经营收入</w:t>
      </w:r>
      <w:r>
        <w:rPr>
          <w:rFonts w:ascii="??_GB2312" w:hAnsi="??_GB2312" w:cs="??_GB2312"/>
          <w:sz w:val="32"/>
          <w:szCs w:val="32"/>
        </w:rPr>
        <w:t>0</w:t>
      </w:r>
      <w:r>
        <w:rPr>
          <w:rFonts w:hint="eastAsia" w:ascii="宋体" w:hAnsi="宋体" w:cs="宋体"/>
          <w:sz w:val="32"/>
          <w:szCs w:val="32"/>
        </w:rPr>
        <w:t>万元，占</w:t>
      </w:r>
      <w:r>
        <w:rPr>
          <w:rFonts w:ascii="??_GB2312" w:hAnsi="??_GB2312" w:cs="??_GB2312"/>
          <w:sz w:val="32"/>
          <w:szCs w:val="32"/>
        </w:rPr>
        <w:t xml:space="preserve"> 0 %</w:t>
      </w:r>
      <w:r>
        <w:rPr>
          <w:rFonts w:hint="eastAsia" w:ascii="宋体" w:hAnsi="宋体" w:cs="宋体"/>
          <w:sz w:val="32"/>
          <w:szCs w:val="32"/>
        </w:rPr>
        <w:t>；其他收入</w:t>
      </w:r>
      <w:r>
        <w:rPr>
          <w:rFonts w:ascii="??_GB2312" w:hAnsi="??_GB2312" w:cs="??_GB2312"/>
          <w:sz w:val="32"/>
          <w:szCs w:val="32"/>
        </w:rPr>
        <w:t>0</w:t>
      </w:r>
      <w:r>
        <w:rPr>
          <w:rFonts w:hint="eastAsia" w:ascii="宋体" w:hAnsi="宋体" w:cs="宋体"/>
          <w:sz w:val="32"/>
          <w:szCs w:val="32"/>
        </w:rPr>
        <w:t>万元，占</w:t>
      </w:r>
      <w:r>
        <w:rPr>
          <w:rFonts w:ascii="??_GB2312" w:hAnsi="??_GB2312" w:cs="??_GB2312"/>
          <w:sz w:val="32"/>
          <w:szCs w:val="32"/>
        </w:rPr>
        <w:t>0 %</w:t>
      </w:r>
      <w:r>
        <w:rPr>
          <w:rFonts w:hint="eastAsia" w:ascii="宋体" w:hAnsi="宋体" w:cs="宋体"/>
          <w:sz w:val="32"/>
          <w:szCs w:val="32"/>
        </w:rPr>
        <w:t>。</w:t>
      </w:r>
    </w:p>
    <w:p>
      <w:pPr>
        <w:widowControl/>
        <w:adjustRightInd w:val="0"/>
        <w:snapToGrid w:val="0"/>
        <w:spacing w:line="540" w:lineRule="exact"/>
        <w:ind w:left="420" w:leftChars="200" w:firstLine="321" w:firstLineChars="100"/>
        <w:rPr>
          <w:rFonts w:ascii="??_GB2312" w:hAnsi="??_GB2312" w:cs="??_GB2312"/>
          <w:b/>
          <w:bCs/>
          <w:sz w:val="32"/>
          <w:szCs w:val="32"/>
        </w:rPr>
      </w:pPr>
      <w:r>
        <w:rPr>
          <w:rFonts w:hint="eastAsia" w:ascii="宋体" w:hAnsi="宋体" w:cs="宋体"/>
          <w:b/>
          <w:bCs/>
          <w:sz w:val="32"/>
          <w:szCs w:val="32"/>
        </w:rPr>
        <w:t>三、支出决算情况说明</w:t>
      </w:r>
    </w:p>
    <w:p>
      <w:pPr>
        <w:widowControl/>
        <w:adjustRightInd w:val="0"/>
        <w:snapToGrid w:val="0"/>
        <w:spacing w:line="540" w:lineRule="exact"/>
        <w:ind w:firstLine="640" w:firstLineChars="200"/>
        <w:rPr>
          <w:rFonts w:ascii="??_GB2312" w:hAnsi="??_GB2312" w:cs="??_GB2312"/>
          <w:sz w:val="32"/>
          <w:szCs w:val="32"/>
        </w:rPr>
      </w:pPr>
      <w:r>
        <w:rPr>
          <w:rFonts w:ascii="??_GB2312" w:hAnsi="??_GB2312" w:cs="??_GB2312"/>
          <w:sz w:val="32"/>
          <w:szCs w:val="32"/>
        </w:rPr>
        <w:t>2018</w:t>
      </w:r>
      <w:r>
        <w:rPr>
          <w:rFonts w:hint="eastAsia" w:ascii="宋体" w:hAnsi="宋体" w:cs="宋体"/>
          <w:sz w:val="32"/>
          <w:szCs w:val="32"/>
        </w:rPr>
        <w:t>年度支出合计</w:t>
      </w:r>
      <w:r>
        <w:rPr>
          <w:rFonts w:ascii="??_GB2312" w:hAnsi="??_GB2312" w:cs="??_GB2312"/>
          <w:sz w:val="32"/>
          <w:szCs w:val="32"/>
        </w:rPr>
        <w:t>4218.54</w:t>
      </w:r>
      <w:r>
        <w:rPr>
          <w:rFonts w:hint="eastAsia" w:ascii="宋体" w:hAnsi="宋体" w:cs="宋体"/>
          <w:sz w:val="32"/>
          <w:szCs w:val="32"/>
        </w:rPr>
        <w:t>万元，其中：基本支出</w:t>
      </w:r>
      <w:r>
        <w:rPr>
          <w:rFonts w:ascii="宋体" w:hAnsi="宋体" w:cs="宋体"/>
          <w:sz w:val="32"/>
          <w:szCs w:val="32"/>
        </w:rPr>
        <w:t>196.48</w:t>
      </w:r>
      <w:r>
        <w:rPr>
          <w:rFonts w:hint="eastAsia" w:ascii="宋体" w:hAnsi="宋体" w:cs="宋体"/>
          <w:sz w:val="32"/>
          <w:szCs w:val="32"/>
        </w:rPr>
        <w:t>万元，占</w:t>
      </w:r>
      <w:r>
        <w:rPr>
          <w:rFonts w:ascii="??_GB2312" w:hAnsi="??_GB2312" w:cs="??_GB2312"/>
          <w:sz w:val="32"/>
          <w:szCs w:val="32"/>
        </w:rPr>
        <w:t>4.7%</w:t>
      </w:r>
      <w:r>
        <w:rPr>
          <w:rFonts w:hint="eastAsia" w:ascii="宋体" w:hAnsi="宋体" w:cs="宋体"/>
          <w:sz w:val="32"/>
          <w:szCs w:val="32"/>
        </w:rPr>
        <w:t>；项目支出</w:t>
      </w:r>
      <w:r>
        <w:rPr>
          <w:rFonts w:ascii="??_GB2312" w:hAnsi="??_GB2312" w:cs="??_GB2312"/>
          <w:sz w:val="32"/>
          <w:szCs w:val="32"/>
        </w:rPr>
        <w:t>4022.06</w:t>
      </w:r>
      <w:r>
        <w:rPr>
          <w:rFonts w:hint="eastAsia" w:ascii="宋体" w:hAnsi="宋体" w:cs="宋体"/>
          <w:sz w:val="32"/>
          <w:szCs w:val="32"/>
        </w:rPr>
        <w:t>万元，占支出总额</w:t>
      </w:r>
      <w:r>
        <w:rPr>
          <w:rFonts w:ascii="??_GB2312" w:hAnsi="??_GB2312" w:cs="??_GB2312"/>
          <w:sz w:val="32"/>
          <w:szCs w:val="32"/>
        </w:rPr>
        <w:t>95.3%</w:t>
      </w:r>
      <w:r>
        <w:rPr>
          <w:rFonts w:hint="eastAsia" w:ascii="宋体" w:hAnsi="宋体" w:cs="宋体"/>
          <w:sz w:val="32"/>
          <w:szCs w:val="32"/>
        </w:rPr>
        <w:t>；经营支出</w:t>
      </w:r>
      <w:r>
        <w:rPr>
          <w:rFonts w:ascii="??_GB2312" w:hAnsi="??_GB2312" w:cs="??_GB2312"/>
          <w:sz w:val="32"/>
          <w:szCs w:val="32"/>
        </w:rPr>
        <w:t>0</w:t>
      </w:r>
      <w:r>
        <w:rPr>
          <w:rFonts w:hint="eastAsia" w:ascii="宋体" w:hAnsi="宋体" w:cs="宋体"/>
          <w:sz w:val="32"/>
          <w:szCs w:val="32"/>
        </w:rPr>
        <w:t>万元，占</w:t>
      </w:r>
      <w:r>
        <w:rPr>
          <w:rFonts w:ascii="??_GB2312" w:hAnsi="??_GB2312" w:cs="??_GB2312"/>
          <w:sz w:val="32"/>
          <w:szCs w:val="32"/>
        </w:rPr>
        <w:t>0%</w:t>
      </w:r>
      <w:r>
        <w:rPr>
          <w:rFonts w:hint="eastAsia" w:ascii="宋体" w:hAnsi="宋体" w:cs="宋体"/>
          <w:sz w:val="32"/>
          <w:szCs w:val="32"/>
        </w:rPr>
        <w:t>。</w:t>
      </w:r>
    </w:p>
    <w:p>
      <w:pPr>
        <w:widowControl/>
        <w:tabs>
          <w:tab w:val="left" w:pos="608"/>
        </w:tabs>
        <w:adjustRightInd w:val="0"/>
        <w:snapToGrid w:val="0"/>
        <w:spacing w:line="540" w:lineRule="exact"/>
        <w:ind w:firstLine="964" w:firstLineChars="300"/>
        <w:rPr>
          <w:rFonts w:ascii="??_GB2312" w:hAnsi="??_GB2312" w:cs="??_GB2312"/>
          <w:b/>
          <w:bCs/>
          <w:sz w:val="32"/>
          <w:szCs w:val="32"/>
        </w:rPr>
      </w:pPr>
      <w:r>
        <w:rPr>
          <w:rFonts w:hint="eastAsia" w:ascii="宋体" w:hAnsi="宋体" w:cs="宋体"/>
          <w:b/>
          <w:bCs/>
          <w:sz w:val="32"/>
          <w:szCs w:val="32"/>
        </w:rPr>
        <w:t>四、财政拨款收入支出决算总体情况说明</w:t>
      </w:r>
    </w:p>
    <w:p>
      <w:pPr>
        <w:widowControl/>
        <w:adjustRightInd w:val="0"/>
        <w:snapToGrid w:val="0"/>
        <w:spacing w:line="540" w:lineRule="exact"/>
        <w:ind w:firstLine="640" w:firstLineChars="200"/>
        <w:rPr>
          <w:rFonts w:ascii="??_GB2312" w:hAnsi="??_GB2312" w:cs="??_GB2312"/>
          <w:sz w:val="32"/>
          <w:szCs w:val="32"/>
        </w:rPr>
      </w:pPr>
      <w:r>
        <w:rPr>
          <w:rFonts w:hint="eastAsia" w:ascii="宋体" w:hAnsi="宋体" w:cs="宋体"/>
          <w:sz w:val="32"/>
          <w:szCs w:val="32"/>
        </w:rPr>
        <w:t>2018年财政拨款收、支决算总计均为4218.54 万元。与2017年相比，财政拨款收、支总计均增加3600.25 万元，增长582.29%。主要原因是是环湖路综合整治支出</w:t>
      </w:r>
      <w:r>
        <w:rPr>
          <w:rFonts w:hint="eastAsia" w:ascii="宋体" w:hAnsi="宋体" w:cs="宋体"/>
          <w:sz w:val="32"/>
          <w:szCs w:val="32"/>
          <w:lang w:val="en-US" w:eastAsia="zh-CN"/>
        </w:rPr>
        <w:t>增加</w:t>
      </w:r>
      <w:r>
        <w:rPr>
          <w:rFonts w:hint="eastAsia" w:ascii="宋体" w:hAnsi="宋体" w:cs="宋体"/>
          <w:sz w:val="32"/>
          <w:szCs w:val="32"/>
        </w:rPr>
        <w:t>。</w:t>
      </w:r>
    </w:p>
    <w:p>
      <w:pPr>
        <w:widowControl/>
        <w:tabs>
          <w:tab w:val="left" w:pos="1013"/>
        </w:tabs>
        <w:adjustRightInd w:val="0"/>
        <w:snapToGrid w:val="0"/>
        <w:spacing w:line="540" w:lineRule="exact"/>
        <w:ind w:firstLine="643" w:firstLineChars="200"/>
        <w:rPr>
          <w:rFonts w:ascii="??_GB2312" w:hAnsi="??_GB2312" w:cs="??_GB2312"/>
          <w:b/>
          <w:bCs/>
          <w:sz w:val="32"/>
          <w:szCs w:val="32"/>
        </w:rPr>
      </w:pPr>
      <w:r>
        <w:rPr>
          <w:rFonts w:hint="eastAsia" w:ascii="宋体" w:hAnsi="宋体" w:cs="宋体"/>
          <w:b/>
          <w:bCs/>
          <w:sz w:val="32"/>
          <w:szCs w:val="32"/>
        </w:rPr>
        <w:t>五、一般公共预算财政拨款支出决算情况说明</w:t>
      </w:r>
    </w:p>
    <w:p>
      <w:pPr>
        <w:widowControl/>
        <w:numPr>
          <w:ilvl w:val="0"/>
          <w:numId w:val="6"/>
        </w:numPr>
        <w:adjustRightInd w:val="0"/>
        <w:snapToGrid w:val="0"/>
        <w:spacing w:line="540" w:lineRule="exact"/>
        <w:ind w:firstLine="643" w:firstLineChars="200"/>
        <w:rPr>
          <w:rFonts w:ascii="??_GB2312" w:hAnsi="??_GB2312" w:cs="??_GB2312"/>
          <w:sz w:val="32"/>
          <w:szCs w:val="32"/>
        </w:rPr>
      </w:pPr>
      <w:r>
        <w:rPr>
          <w:rFonts w:hint="eastAsia" w:ascii="宋体" w:hAnsi="宋体" w:cs="宋体"/>
          <w:b/>
          <w:bCs/>
          <w:sz w:val="32"/>
          <w:szCs w:val="32"/>
        </w:rPr>
        <w:t>总体情况</w:t>
      </w:r>
      <w:r>
        <w:rPr>
          <w:rFonts w:hint="eastAsia" w:ascii="宋体" w:hAnsi="宋体" w:cs="宋体"/>
          <w:sz w:val="32"/>
          <w:szCs w:val="32"/>
        </w:rPr>
        <w:t>。</w:t>
      </w:r>
    </w:p>
    <w:p>
      <w:pPr>
        <w:widowControl/>
        <w:adjustRightInd w:val="0"/>
        <w:snapToGrid w:val="0"/>
        <w:spacing w:line="540" w:lineRule="exact"/>
        <w:ind w:firstLine="640" w:firstLineChars="200"/>
        <w:rPr>
          <w:rFonts w:ascii="??_GB2312" w:hAnsi="??_GB2312" w:cs="??_GB2312"/>
          <w:sz w:val="32"/>
          <w:szCs w:val="32"/>
        </w:rPr>
      </w:pPr>
      <w:r>
        <w:rPr>
          <w:rFonts w:ascii="??_GB2312" w:hAnsi="??_GB2312" w:cs="??_GB2312"/>
          <w:sz w:val="32"/>
          <w:szCs w:val="32"/>
        </w:rPr>
        <w:t>2018</w:t>
      </w:r>
      <w:r>
        <w:rPr>
          <w:rFonts w:hint="eastAsia" w:ascii="宋体" w:hAnsi="宋体" w:cs="宋体"/>
          <w:sz w:val="32"/>
          <w:szCs w:val="32"/>
        </w:rPr>
        <w:t>年一般公共预算财政拨款支出</w:t>
      </w:r>
      <w:r>
        <w:rPr>
          <w:rFonts w:ascii="??_GB2312" w:hAnsi="??_GB2312" w:cs="??_GB2312"/>
          <w:sz w:val="32"/>
          <w:szCs w:val="32"/>
        </w:rPr>
        <w:t>4218.54</w:t>
      </w:r>
      <w:r>
        <w:rPr>
          <w:rFonts w:hint="eastAsia" w:ascii="宋体" w:hAnsi="宋体" w:cs="宋体"/>
          <w:sz w:val="32"/>
          <w:szCs w:val="32"/>
        </w:rPr>
        <w:t>万元，占支出合计的</w:t>
      </w:r>
      <w:r>
        <w:rPr>
          <w:rFonts w:ascii="??_GB2312" w:hAnsi="??_GB2312" w:cs="??_GB2312"/>
          <w:sz w:val="32"/>
          <w:szCs w:val="32"/>
        </w:rPr>
        <w:t>100%</w:t>
      </w:r>
      <w:r>
        <w:rPr>
          <w:rFonts w:hint="eastAsia" w:ascii="宋体" w:hAnsi="宋体" w:cs="宋体"/>
          <w:sz w:val="32"/>
          <w:szCs w:val="32"/>
        </w:rPr>
        <w:t>。与</w:t>
      </w:r>
      <w:r>
        <w:rPr>
          <w:rFonts w:ascii="??_GB2312" w:hAnsi="??_GB2312" w:cs="??_GB2312"/>
          <w:sz w:val="32"/>
          <w:szCs w:val="32"/>
        </w:rPr>
        <w:t>2017</w:t>
      </w:r>
      <w:r>
        <w:rPr>
          <w:rFonts w:hint="eastAsia" w:ascii="宋体" w:hAnsi="宋体" w:cs="宋体"/>
          <w:sz w:val="32"/>
          <w:szCs w:val="32"/>
        </w:rPr>
        <w:t>年相比，一般公共预算财政拨款支出增加</w:t>
      </w:r>
      <w:r>
        <w:rPr>
          <w:rFonts w:ascii="??_GB2312" w:hAnsi="??_GB2312" w:cs="??_GB2312"/>
          <w:sz w:val="32"/>
          <w:szCs w:val="32"/>
        </w:rPr>
        <w:t>3702.76</w:t>
      </w:r>
      <w:r>
        <w:rPr>
          <w:rFonts w:hint="eastAsia" w:ascii="宋体" w:hAnsi="宋体" w:cs="宋体"/>
          <w:sz w:val="32"/>
          <w:szCs w:val="32"/>
        </w:rPr>
        <w:t>万元，增长</w:t>
      </w:r>
      <w:r>
        <w:rPr>
          <w:rFonts w:ascii="宋体" w:hAnsi="宋体" w:cs="宋体"/>
          <w:sz w:val="32"/>
          <w:szCs w:val="32"/>
        </w:rPr>
        <w:t>717.89</w:t>
      </w:r>
      <w:r>
        <w:rPr>
          <w:rFonts w:ascii="??_GB2312" w:hAnsi="??_GB2312" w:cs="??_GB2312"/>
          <w:sz w:val="32"/>
          <w:szCs w:val="32"/>
        </w:rPr>
        <w:t>%</w:t>
      </w:r>
      <w:r>
        <w:rPr>
          <w:rFonts w:hint="eastAsia" w:ascii="宋体" w:hAnsi="宋体" w:cs="宋体"/>
          <w:sz w:val="32"/>
          <w:szCs w:val="32"/>
        </w:rPr>
        <w:t>。主要原因环湖路综合整治支出。</w:t>
      </w:r>
    </w:p>
    <w:p>
      <w:pPr>
        <w:widowControl/>
        <w:adjustRightInd w:val="0"/>
        <w:snapToGrid w:val="0"/>
        <w:spacing w:line="540" w:lineRule="exact"/>
        <w:ind w:firstLine="640" w:firstLineChars="200"/>
        <w:rPr>
          <w:rFonts w:ascii="??_GB2312" w:hAnsi="??_GB2312" w:cs="??_GB2312"/>
          <w:sz w:val="32"/>
          <w:szCs w:val="32"/>
        </w:rPr>
      </w:pPr>
    </w:p>
    <w:p>
      <w:pPr>
        <w:widowControl/>
        <w:numPr>
          <w:ilvl w:val="0"/>
          <w:numId w:val="6"/>
        </w:numPr>
        <w:adjustRightInd w:val="0"/>
        <w:snapToGrid w:val="0"/>
        <w:spacing w:line="540" w:lineRule="exact"/>
        <w:ind w:firstLine="643" w:firstLineChars="200"/>
        <w:rPr>
          <w:rFonts w:ascii="??_GB2312" w:hAnsi="??_GB2312" w:cs="??_GB2312"/>
          <w:b/>
          <w:bCs/>
          <w:sz w:val="32"/>
          <w:szCs w:val="32"/>
        </w:rPr>
      </w:pPr>
      <w:r>
        <w:rPr>
          <w:rFonts w:hint="eastAsia" w:ascii="宋体" w:hAnsi="宋体" w:cs="宋体"/>
          <w:b/>
          <w:bCs/>
          <w:sz w:val="32"/>
          <w:szCs w:val="32"/>
        </w:rPr>
        <w:t>结构情况。</w:t>
      </w:r>
    </w:p>
    <w:p>
      <w:pPr>
        <w:widowControl/>
        <w:adjustRightInd w:val="0"/>
        <w:snapToGrid w:val="0"/>
        <w:spacing w:line="540" w:lineRule="exact"/>
        <w:ind w:firstLine="640" w:firstLineChars="200"/>
        <w:rPr>
          <w:rFonts w:hint="eastAsia" w:ascii="??_GB2312" w:hAnsi="??_GB2312" w:eastAsia="宋体" w:cs="??_GB2312"/>
          <w:sz w:val="32"/>
          <w:szCs w:val="32"/>
          <w:lang w:val="en-US" w:eastAsia="zh-CN"/>
        </w:rPr>
      </w:pPr>
      <w:r>
        <w:rPr>
          <w:rFonts w:ascii="??_GB2312" w:hAnsi="??_GB2312" w:cs="??_GB2312"/>
          <w:sz w:val="32"/>
          <w:szCs w:val="32"/>
        </w:rPr>
        <w:t>2018</w:t>
      </w:r>
      <w:r>
        <w:rPr>
          <w:rFonts w:hint="eastAsia" w:ascii="宋体" w:hAnsi="宋体" w:cs="宋体"/>
          <w:sz w:val="32"/>
          <w:szCs w:val="32"/>
        </w:rPr>
        <w:t>年度一般公共预算财政拨款支出</w:t>
      </w:r>
      <w:r>
        <w:rPr>
          <w:rFonts w:ascii="??_GB2312" w:hAnsi="??_GB2312" w:cs="??_GB2312"/>
          <w:sz w:val="32"/>
          <w:szCs w:val="32"/>
        </w:rPr>
        <w:t>4218.54</w:t>
      </w:r>
      <w:r>
        <w:rPr>
          <w:rFonts w:hint="eastAsia" w:ascii="宋体" w:hAnsi="宋体" w:cs="宋体"/>
          <w:sz w:val="32"/>
          <w:szCs w:val="32"/>
        </w:rPr>
        <w:t>万元，主要用于以下方面：社会保障和就业（类）支出17.73 万元，占0.42</w:t>
      </w:r>
      <w:r>
        <w:rPr>
          <w:rFonts w:ascii="??_GB2312" w:hAnsi="??_GB2312" w:cs="??_GB2312"/>
          <w:sz w:val="32"/>
          <w:szCs w:val="32"/>
        </w:rPr>
        <w:t>%</w:t>
      </w:r>
      <w:r>
        <w:rPr>
          <w:rFonts w:hint="eastAsia" w:ascii="宋体" w:hAnsi="宋体" w:cs="宋体"/>
          <w:sz w:val="32"/>
          <w:szCs w:val="32"/>
        </w:rPr>
        <w:t>；医疗卫生与计划生育（类）支出7.80万元，占0.18</w:t>
      </w:r>
      <w:r>
        <w:rPr>
          <w:rFonts w:ascii="??_GB2312" w:hAnsi="??_GB2312" w:cs="??_GB2312"/>
          <w:sz w:val="32"/>
          <w:szCs w:val="32"/>
        </w:rPr>
        <w:t>%</w:t>
      </w:r>
      <w:r>
        <w:rPr>
          <w:rFonts w:hint="eastAsia" w:ascii="??_GB2312" w:hAnsi="??_GB2312" w:cs="??_GB2312"/>
          <w:sz w:val="32"/>
          <w:szCs w:val="32"/>
          <w:lang w:eastAsia="zh-CN"/>
        </w:rPr>
        <w:t>；</w:t>
      </w:r>
      <w:r>
        <w:rPr>
          <w:rFonts w:hint="eastAsia" w:ascii="宋体" w:hAnsi="宋体" w:cs="宋体"/>
          <w:sz w:val="32"/>
          <w:szCs w:val="32"/>
        </w:rPr>
        <w:t>商业服务业等（类）支出4179.83万元，占99.08</w:t>
      </w:r>
      <w:r>
        <w:rPr>
          <w:rFonts w:ascii="??_GB2312" w:hAnsi="??_GB2312" w:cs="??_GB2312"/>
          <w:sz w:val="32"/>
          <w:szCs w:val="32"/>
        </w:rPr>
        <w:t>%</w:t>
      </w:r>
      <w:r>
        <w:rPr>
          <w:rFonts w:hint="eastAsia" w:ascii="??_GB2312" w:hAnsi="??_GB2312" w:cs="??_GB2312"/>
          <w:sz w:val="32"/>
          <w:szCs w:val="32"/>
          <w:lang w:eastAsia="zh-CN"/>
        </w:rPr>
        <w:t>；</w:t>
      </w:r>
      <w:r>
        <w:rPr>
          <w:rFonts w:hint="eastAsia" w:ascii="宋体" w:hAnsi="宋体" w:cs="宋体"/>
          <w:sz w:val="32"/>
          <w:szCs w:val="32"/>
        </w:rPr>
        <w:t>住房保障（类）支出13.18 万元，占0.31</w:t>
      </w:r>
      <w:r>
        <w:rPr>
          <w:rFonts w:ascii="??_GB2312" w:hAnsi="??_GB2312" w:cs="??_GB2312"/>
          <w:sz w:val="32"/>
          <w:szCs w:val="32"/>
        </w:rPr>
        <w:t>%</w:t>
      </w:r>
      <w:r>
        <w:rPr>
          <w:rFonts w:hint="eastAsia" w:ascii="宋体" w:hAnsi="宋体" w:cs="宋体"/>
          <w:sz w:val="32"/>
          <w:szCs w:val="32"/>
        </w:rPr>
        <w:t>。</w:t>
      </w:r>
    </w:p>
    <w:p>
      <w:pPr>
        <w:widowControl/>
        <w:numPr>
          <w:ilvl w:val="0"/>
          <w:numId w:val="7"/>
        </w:numPr>
        <w:adjustRightInd w:val="0"/>
        <w:snapToGrid w:val="0"/>
        <w:spacing w:line="540" w:lineRule="exact"/>
        <w:ind w:firstLine="643" w:firstLineChars="200"/>
        <w:rPr>
          <w:rFonts w:ascii="??_GB2312" w:hAnsi="??_GB2312" w:cs="??_GB2312"/>
          <w:b/>
          <w:bCs/>
          <w:sz w:val="32"/>
          <w:szCs w:val="32"/>
        </w:rPr>
      </w:pPr>
      <w:r>
        <w:rPr>
          <w:rFonts w:hint="eastAsia" w:ascii="宋体" w:hAnsi="宋体" w:cs="宋体"/>
          <w:b/>
          <w:bCs/>
          <w:sz w:val="32"/>
          <w:szCs w:val="32"/>
        </w:rPr>
        <w:t>具体情况</w:t>
      </w:r>
    </w:p>
    <w:p>
      <w:pPr>
        <w:widowControl/>
        <w:adjustRightInd w:val="0"/>
        <w:snapToGrid w:val="0"/>
        <w:spacing w:line="540" w:lineRule="exact"/>
        <w:ind w:firstLine="640" w:firstLineChars="200"/>
        <w:rPr>
          <w:rFonts w:ascii="宋体" w:cs="宋体"/>
          <w:sz w:val="32"/>
          <w:szCs w:val="32"/>
        </w:rPr>
      </w:pPr>
      <w:r>
        <w:rPr>
          <w:rFonts w:ascii="??_GB2312" w:hAnsi="??_GB2312" w:cs="??_GB2312"/>
          <w:sz w:val="32"/>
          <w:szCs w:val="32"/>
        </w:rPr>
        <w:t xml:space="preserve"> 2018</w:t>
      </w:r>
      <w:r>
        <w:rPr>
          <w:rFonts w:hint="eastAsia" w:ascii="宋体" w:hAnsi="宋体" w:cs="宋体"/>
          <w:sz w:val="32"/>
          <w:szCs w:val="32"/>
        </w:rPr>
        <w:t>年度一般公共预算财政拨款支出年初预算为</w:t>
      </w:r>
      <w:r>
        <w:rPr>
          <w:rFonts w:ascii="宋体" w:hAnsi="宋体" w:cs="宋体"/>
          <w:sz w:val="32"/>
          <w:szCs w:val="32"/>
        </w:rPr>
        <w:t>479.8</w:t>
      </w:r>
      <w:r>
        <w:rPr>
          <w:rFonts w:hint="eastAsia" w:ascii="宋体" w:hAnsi="宋体" w:cs="宋体"/>
          <w:sz w:val="32"/>
          <w:szCs w:val="32"/>
        </w:rPr>
        <w:t>万元，支出决算为</w:t>
      </w:r>
      <w:r>
        <w:rPr>
          <w:rFonts w:ascii="??_GB2312" w:hAnsi="??_GB2312" w:cs="??_GB2312"/>
          <w:sz w:val="32"/>
          <w:szCs w:val="32"/>
        </w:rPr>
        <w:t>4218.54</w:t>
      </w:r>
      <w:r>
        <w:rPr>
          <w:rFonts w:hint="eastAsia" w:ascii="宋体" w:hAnsi="宋体" w:cs="宋体"/>
          <w:sz w:val="32"/>
          <w:szCs w:val="32"/>
        </w:rPr>
        <w:t>万元，完成年初预算的</w:t>
      </w:r>
      <w:r>
        <w:rPr>
          <w:rFonts w:ascii="??_GB2312" w:hAnsi="??_GB2312" w:cs="??_GB2312"/>
          <w:sz w:val="32"/>
          <w:szCs w:val="32"/>
        </w:rPr>
        <w:t xml:space="preserve"> 879 %</w:t>
      </w:r>
      <w:r>
        <w:rPr>
          <w:rFonts w:hint="eastAsia" w:ascii="宋体" w:hAnsi="宋体" w:cs="宋体"/>
          <w:sz w:val="32"/>
          <w:szCs w:val="32"/>
        </w:rPr>
        <w:t>。其中：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1．社会保障和就业支出（类）行政事业单位离退休（款）机关事业单位基本养老保险缴费支出（项）。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30.24</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17.44</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57.68%</w:t>
      </w:r>
      <w:r>
        <w:rPr>
          <w:rFonts w:hint="eastAsia" w:ascii="仿宋_GB2312" w:hAnsi="仿宋_GB2312" w:eastAsia="仿宋_GB2312" w:cs="仿宋_GB2312"/>
          <w:sz w:val="32"/>
          <w:szCs w:val="32"/>
        </w:rPr>
        <w:t>。决算数与年初预算数存在差异的主要原因是人员</w:t>
      </w:r>
      <w:r>
        <w:rPr>
          <w:rFonts w:ascii="仿宋_GB2312" w:hAnsi="仿宋_GB2312" w:eastAsia="仿宋_GB2312" w:cs="仿宋_GB2312"/>
          <w:sz w:val="32"/>
          <w:szCs w:val="32"/>
        </w:rPr>
        <w:t>退休</w:t>
      </w:r>
      <w:r>
        <w:rPr>
          <w:rFonts w:hint="eastAsia" w:ascii="仿宋_GB2312" w:hAnsi="仿宋_GB2312" w:eastAsia="仿宋_GB2312" w:cs="仿宋_GB2312"/>
          <w:sz w:val="32"/>
          <w:szCs w:val="32"/>
        </w:rPr>
        <w:t>。</w:t>
      </w:r>
    </w:p>
    <w:p>
      <w:pPr>
        <w:widowControl/>
        <w:spacing w:line="59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．社会保障和就业支出（类）其他社会保障和就业支出（款）其他社会保障和就业支出（项）。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0.29</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。决算数与年初预算数存在差异的主要原因是支出增加。</w:t>
      </w:r>
    </w:p>
    <w:p>
      <w:pPr>
        <w:widowControl/>
        <w:spacing w:line="59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．医疗卫生与计划生育支出（类）行政事业单位医疗（款）行政单位医疗（项）。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4.10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7.80</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190.17%</w:t>
      </w:r>
      <w:r>
        <w:rPr>
          <w:rFonts w:hint="eastAsia" w:ascii="仿宋_GB2312" w:hAnsi="仿宋_GB2312" w:eastAsia="仿宋_GB2312" w:cs="仿宋_GB2312"/>
          <w:sz w:val="32"/>
          <w:szCs w:val="32"/>
        </w:rPr>
        <w:t>。决算数与年初预算数存在差异的主要原因是工资基数</w:t>
      </w:r>
      <w:r>
        <w:rPr>
          <w:rFonts w:ascii="仿宋_GB2312" w:hAnsi="仿宋_GB2312" w:eastAsia="仿宋_GB2312" w:cs="仿宋_GB2312"/>
          <w:sz w:val="32"/>
          <w:szCs w:val="32"/>
        </w:rPr>
        <w:t>调整</w:t>
      </w:r>
      <w:r>
        <w:rPr>
          <w:rFonts w:hint="eastAsia" w:ascii="仿宋_GB2312" w:hAnsi="仿宋_GB2312" w:eastAsia="仿宋_GB2312" w:cs="仿宋_GB2312"/>
          <w:sz w:val="32"/>
          <w:szCs w:val="32"/>
        </w:rPr>
        <w:t>。</w:t>
      </w:r>
    </w:p>
    <w:p>
      <w:pPr>
        <w:widowControl/>
        <w:spacing w:line="59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．商业服务业等支出（类）旅游业管理与服务支出（款）行政运行（项）。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115.50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157.77</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136.60%</w:t>
      </w:r>
      <w:r>
        <w:rPr>
          <w:rFonts w:hint="eastAsia" w:ascii="仿宋_GB2312" w:hAnsi="仿宋_GB2312" w:eastAsia="仿宋_GB2312" w:cs="仿宋_GB2312"/>
          <w:sz w:val="32"/>
          <w:szCs w:val="32"/>
        </w:rPr>
        <w:t>。决算数与年初预算数存在差异的主要原因是工资基数</w:t>
      </w:r>
      <w:r>
        <w:rPr>
          <w:rFonts w:ascii="仿宋_GB2312" w:hAnsi="仿宋_GB2312" w:eastAsia="仿宋_GB2312" w:cs="仿宋_GB2312"/>
          <w:sz w:val="32"/>
          <w:szCs w:val="32"/>
        </w:rPr>
        <w:t>调整</w:t>
      </w:r>
      <w:r>
        <w:rPr>
          <w:rFonts w:hint="eastAsia" w:ascii="仿宋_GB2312" w:hAnsi="仿宋_GB2312" w:eastAsia="仿宋_GB2312" w:cs="仿宋_GB2312"/>
          <w:sz w:val="32"/>
          <w:szCs w:val="32"/>
        </w:rPr>
        <w:t>及</w:t>
      </w:r>
      <w:r>
        <w:rPr>
          <w:rFonts w:ascii="仿宋_GB2312" w:hAnsi="仿宋_GB2312" w:eastAsia="仿宋_GB2312" w:cs="仿宋_GB2312"/>
          <w:sz w:val="32"/>
          <w:szCs w:val="32"/>
        </w:rPr>
        <w:t>支出增加</w:t>
      </w:r>
      <w:r>
        <w:rPr>
          <w:rFonts w:hint="eastAsia" w:ascii="仿宋_GB2312" w:hAnsi="仿宋_GB2312" w:eastAsia="仿宋_GB2312" w:cs="仿宋_GB2312"/>
          <w:sz w:val="32"/>
          <w:szCs w:val="32"/>
        </w:rPr>
        <w:t>。</w:t>
      </w:r>
    </w:p>
    <w:p>
      <w:pPr>
        <w:widowControl/>
        <w:spacing w:line="59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．商业服务业等支出（类）旅游业管理与服务支出（款）旅游宣传（项）。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25.42</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。决算数与年初预算数存在差异的主要原因是支出增加。</w:t>
      </w:r>
    </w:p>
    <w:p>
      <w:pPr>
        <w:widowControl/>
        <w:spacing w:line="59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6</w:t>
      </w:r>
      <w:r>
        <w:rPr>
          <w:rFonts w:hint="eastAsia" w:ascii="仿宋_GB2312" w:hAnsi="仿宋_GB2312" w:eastAsia="仿宋_GB2312" w:cs="仿宋_GB2312"/>
          <w:b/>
          <w:bCs/>
          <w:sz w:val="32"/>
          <w:szCs w:val="32"/>
        </w:rPr>
        <w:t>．商业服务业等支出（类）旅游业管理与服务支出（款）其他旅游业管理与服务支出（项）。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317.82</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3996.64</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1257.52%</w:t>
      </w:r>
      <w:r>
        <w:rPr>
          <w:rFonts w:hint="eastAsia" w:ascii="仿宋_GB2312" w:hAnsi="仿宋_GB2312" w:eastAsia="仿宋_GB2312" w:cs="仿宋_GB2312"/>
          <w:sz w:val="32"/>
          <w:szCs w:val="32"/>
        </w:rPr>
        <w:t>。决算数与年初预算数存在差异的主要原因是环湖路综合整治支出。</w:t>
      </w:r>
    </w:p>
    <w:p>
      <w:pPr>
        <w:widowControl/>
        <w:adjustRightInd w:val="0"/>
        <w:snapToGrid w:val="0"/>
        <w:spacing w:line="540" w:lineRule="exact"/>
        <w:ind w:firstLine="643" w:firstLineChars="200"/>
        <w:rPr>
          <w:rFonts w:ascii="宋体" w:hAnsi="宋体" w:cs="宋体"/>
          <w:sz w:val="32"/>
          <w:szCs w:val="32"/>
        </w:rPr>
      </w:pPr>
      <w:r>
        <w:rPr>
          <w:rFonts w:ascii="仿宋_GB2312" w:hAnsi="仿宋_GB2312" w:eastAsia="仿宋_GB2312" w:cs="仿宋_GB2312"/>
          <w:b/>
          <w:bCs/>
          <w:sz w:val="32"/>
          <w:szCs w:val="32"/>
        </w:rPr>
        <w:t>7</w:t>
      </w:r>
      <w:r>
        <w:rPr>
          <w:rFonts w:hint="eastAsia" w:ascii="仿宋_GB2312" w:hAnsi="仿宋_GB2312" w:eastAsia="仿宋_GB2312" w:cs="仿宋_GB2312"/>
          <w:b/>
          <w:bCs/>
          <w:sz w:val="32"/>
          <w:szCs w:val="32"/>
        </w:rPr>
        <w:t>．住房保障支出（类）住房改革支出（款）住房公积金（项）。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12.14</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13.18</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108.60%</w:t>
      </w:r>
      <w:r>
        <w:rPr>
          <w:rFonts w:hint="eastAsia" w:ascii="仿宋_GB2312" w:hAnsi="仿宋_GB2312" w:eastAsia="仿宋_GB2312" w:cs="仿宋_GB2312"/>
          <w:sz w:val="32"/>
          <w:szCs w:val="32"/>
        </w:rPr>
        <w:t>。决算数与年初预算数存在差异的主要原因是工资基数</w:t>
      </w:r>
      <w:r>
        <w:rPr>
          <w:rFonts w:ascii="仿宋_GB2312" w:hAnsi="仿宋_GB2312" w:eastAsia="仿宋_GB2312" w:cs="仿宋_GB2312"/>
          <w:sz w:val="32"/>
          <w:szCs w:val="32"/>
        </w:rPr>
        <w:t>调整</w:t>
      </w:r>
      <w:r>
        <w:rPr>
          <w:rFonts w:hint="eastAsia" w:ascii="仿宋_GB2312" w:hAnsi="仿宋_GB2312" w:eastAsia="仿宋_GB2312" w:cs="仿宋_GB2312"/>
          <w:sz w:val="32"/>
          <w:szCs w:val="32"/>
        </w:rPr>
        <w:t>。</w:t>
      </w:r>
    </w:p>
    <w:p>
      <w:pPr>
        <w:widowControl/>
        <w:adjustRightInd w:val="0"/>
        <w:snapToGrid w:val="0"/>
        <w:spacing w:line="540" w:lineRule="exact"/>
        <w:ind w:firstLine="640" w:firstLineChars="200"/>
        <w:rPr>
          <w:rFonts w:ascii="??_GB2312" w:hAnsi="??_GB2312" w:cs="??_GB2312"/>
          <w:sz w:val="32"/>
          <w:szCs w:val="32"/>
        </w:rPr>
      </w:pPr>
      <w:r>
        <w:rPr>
          <w:rFonts w:hint="eastAsia" w:ascii="宋体" w:hAnsi="宋体" w:cs="宋体"/>
          <w:sz w:val="32"/>
          <w:szCs w:val="32"/>
        </w:rPr>
        <w:t>六、一般公共预算财政拨款基本支出决算情况说明</w:t>
      </w:r>
    </w:p>
    <w:p>
      <w:pPr>
        <w:widowControl/>
        <w:spacing w:line="590" w:lineRule="exact"/>
        <w:ind w:firstLine="640" w:firstLineChars="200"/>
        <w:rPr>
          <w:rFonts w:ascii="??_GB2312" w:hAnsi="??_GB2312" w:cs="??_GB2312"/>
          <w:sz w:val="32"/>
          <w:szCs w:val="32"/>
        </w:rPr>
      </w:pPr>
      <w:r>
        <w:rPr>
          <w:rFonts w:ascii="??_GB2312" w:hAnsi="??_GB2312" w:cs="??_GB2312"/>
          <w:sz w:val="32"/>
          <w:szCs w:val="32"/>
        </w:rPr>
        <w:t>2018</w:t>
      </w:r>
      <w:r>
        <w:rPr>
          <w:rFonts w:hint="eastAsia" w:ascii="宋体" w:hAnsi="宋体" w:cs="宋体"/>
          <w:sz w:val="32"/>
          <w:szCs w:val="32"/>
        </w:rPr>
        <w:t>年度一般公共预算财政拨款基本支出</w:t>
      </w:r>
      <w:r>
        <w:rPr>
          <w:rFonts w:ascii="??_GB2312" w:hAnsi="??_GB2312" w:cs="??_GB2312"/>
          <w:sz w:val="32"/>
          <w:szCs w:val="32"/>
        </w:rPr>
        <w:t>196.48</w:t>
      </w:r>
      <w:r>
        <w:rPr>
          <w:rFonts w:hint="eastAsia" w:ascii="宋体" w:hAnsi="宋体" w:cs="宋体"/>
          <w:sz w:val="32"/>
          <w:szCs w:val="32"/>
        </w:rPr>
        <w:t>万元。其中：人员经费</w:t>
      </w:r>
      <w:r>
        <w:rPr>
          <w:rFonts w:ascii="??_GB2312" w:hAnsi="??_GB2312" w:cs="??_GB2312"/>
          <w:sz w:val="32"/>
          <w:szCs w:val="32"/>
        </w:rPr>
        <w:t>151</w:t>
      </w:r>
      <w:r>
        <w:rPr>
          <w:rFonts w:hint="eastAsia" w:ascii="宋体" w:hAnsi="宋体" w:cs="宋体"/>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ascii="??_GB2312" w:hAnsi="??_GB2312" w:cs="??_GB2312"/>
          <w:sz w:val="32"/>
          <w:szCs w:val="32"/>
        </w:rPr>
        <w:t>45.48</w:t>
      </w:r>
      <w:r>
        <w:rPr>
          <w:rFonts w:hint="eastAsia" w:ascii="宋体" w:hAnsi="宋体" w:cs="宋体"/>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adjustRightInd w:val="0"/>
        <w:snapToGrid w:val="0"/>
        <w:spacing w:line="540" w:lineRule="exact"/>
        <w:ind w:firstLine="640" w:firstLineChars="200"/>
        <w:rPr>
          <w:rFonts w:ascii="??_GB2312" w:hAnsi="??_GB2312" w:cs="??_GB2312"/>
          <w:sz w:val="32"/>
          <w:szCs w:val="32"/>
        </w:rPr>
      </w:pPr>
    </w:p>
    <w:p>
      <w:pPr>
        <w:widowControl/>
        <w:adjustRightInd w:val="0"/>
        <w:snapToGrid w:val="0"/>
        <w:spacing w:line="540" w:lineRule="exact"/>
        <w:ind w:firstLine="640" w:firstLineChars="200"/>
        <w:rPr>
          <w:rFonts w:ascii="??_GB2312" w:hAnsi="??_GB2312" w:cs="??_GB2312"/>
          <w:sz w:val="32"/>
          <w:szCs w:val="32"/>
        </w:rPr>
      </w:pPr>
      <w:r>
        <w:rPr>
          <w:rFonts w:hint="eastAsia" w:ascii="宋体" w:hAnsi="宋体" w:cs="宋体"/>
          <w:sz w:val="32"/>
          <w:szCs w:val="32"/>
        </w:rPr>
        <w:t>七、一般公共预算财政拨款</w:t>
      </w:r>
      <w:r>
        <w:rPr>
          <w:rFonts w:ascii="??_GB2312" w:hAnsi="??_GB2312" w:cs="??_GB2312"/>
          <w:sz w:val="32"/>
          <w:szCs w:val="32"/>
        </w:rPr>
        <w:t>“</w:t>
      </w:r>
      <w:r>
        <w:rPr>
          <w:rFonts w:hint="eastAsia" w:ascii="宋体" w:hAnsi="宋体" w:cs="宋体"/>
          <w:sz w:val="32"/>
          <w:szCs w:val="32"/>
        </w:rPr>
        <w:t>三公</w:t>
      </w:r>
      <w:r>
        <w:rPr>
          <w:rFonts w:ascii="??_GB2312" w:hAnsi="??_GB2312" w:cs="??_GB2312"/>
          <w:sz w:val="32"/>
          <w:szCs w:val="32"/>
        </w:rPr>
        <w:t>”</w:t>
      </w:r>
      <w:r>
        <w:rPr>
          <w:rFonts w:hint="eastAsia" w:ascii="宋体" w:hAnsi="宋体" w:cs="宋体"/>
          <w:sz w:val="32"/>
          <w:szCs w:val="32"/>
        </w:rPr>
        <w:t>经费支出决算情况说明</w:t>
      </w:r>
    </w:p>
    <w:p>
      <w:pPr>
        <w:widowControl/>
        <w:spacing w:line="590" w:lineRule="exact"/>
        <w:ind w:firstLine="640" w:firstLineChars="200"/>
        <w:outlineLvl w:val="2"/>
        <w:rPr>
          <w:rFonts w:ascii="??_GB2312" w:hAnsi="??_GB2312" w:cs="??_GB2312"/>
          <w:sz w:val="32"/>
          <w:szCs w:val="32"/>
        </w:rPr>
      </w:pPr>
      <w:r>
        <w:rPr>
          <w:rFonts w:ascii="??_GB2312" w:hAnsi="??_GB2312" w:cs="??_GB2312"/>
          <w:sz w:val="32"/>
          <w:szCs w:val="32"/>
        </w:rPr>
        <w:t>“</w:t>
      </w:r>
      <w:r>
        <w:rPr>
          <w:rFonts w:hint="eastAsia" w:ascii="宋体" w:hAnsi="宋体" w:cs="宋体"/>
          <w:sz w:val="32"/>
          <w:szCs w:val="32"/>
        </w:rPr>
        <w:t>三公</w:t>
      </w:r>
      <w:r>
        <w:rPr>
          <w:rFonts w:ascii="??_GB2312" w:hAnsi="??_GB2312" w:cs="??_GB2312"/>
          <w:sz w:val="32"/>
          <w:szCs w:val="32"/>
        </w:rPr>
        <w:t>”</w:t>
      </w:r>
      <w:r>
        <w:rPr>
          <w:rFonts w:hint="eastAsia" w:ascii="宋体" w:hAnsi="宋体" w:cs="宋体"/>
          <w:sz w:val="32"/>
          <w:szCs w:val="32"/>
        </w:rPr>
        <w:t>经费财政拨款支出决算总体情况说明。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ascii="??_GB2312" w:hAnsi="??_GB2312" w:cs="??_GB2312"/>
          <w:sz w:val="32"/>
          <w:szCs w:val="32"/>
        </w:rPr>
      </w:pPr>
      <w:r>
        <w:rPr>
          <w:rFonts w:ascii="??_GB2312" w:hAnsi="??_GB2312" w:cs="??_GB2312"/>
          <w:sz w:val="32"/>
          <w:szCs w:val="32"/>
        </w:rPr>
        <w:t>2018</w:t>
      </w:r>
      <w:r>
        <w:rPr>
          <w:rFonts w:hint="eastAsia" w:ascii="宋体" w:hAnsi="宋体" w:cs="宋体"/>
          <w:sz w:val="32"/>
          <w:szCs w:val="32"/>
        </w:rPr>
        <w:t>年度</w:t>
      </w:r>
      <w:r>
        <w:rPr>
          <w:rFonts w:ascii="??_GB2312" w:hAnsi="??_GB2312" w:cs="??_GB2312"/>
          <w:sz w:val="32"/>
          <w:szCs w:val="32"/>
        </w:rPr>
        <w:t>“</w:t>
      </w:r>
      <w:r>
        <w:rPr>
          <w:rFonts w:hint="eastAsia" w:ascii="宋体" w:hAnsi="宋体" w:cs="宋体"/>
          <w:sz w:val="32"/>
          <w:szCs w:val="32"/>
        </w:rPr>
        <w:t>三公</w:t>
      </w:r>
      <w:r>
        <w:rPr>
          <w:rFonts w:ascii="??_GB2312" w:hAnsi="??_GB2312" w:cs="??_GB2312"/>
          <w:sz w:val="32"/>
          <w:szCs w:val="32"/>
        </w:rPr>
        <w:t>”</w:t>
      </w:r>
      <w:r>
        <w:rPr>
          <w:rFonts w:hint="eastAsia" w:ascii="宋体" w:hAnsi="宋体" w:cs="宋体"/>
          <w:sz w:val="32"/>
          <w:szCs w:val="32"/>
        </w:rPr>
        <w:t>经费财政拨款支出预算为</w:t>
      </w:r>
      <w:r>
        <w:rPr>
          <w:rFonts w:ascii="??_GB2312" w:hAnsi="??_GB2312" w:cs="??_GB2312"/>
          <w:sz w:val="32"/>
          <w:szCs w:val="32"/>
        </w:rPr>
        <w:t>4</w:t>
      </w:r>
      <w:r>
        <w:rPr>
          <w:rFonts w:hint="eastAsia" w:ascii="宋体" w:hAnsi="宋体" w:cs="宋体"/>
          <w:sz w:val="32"/>
          <w:szCs w:val="32"/>
        </w:rPr>
        <w:t>万元，支出决算为</w:t>
      </w:r>
      <w:r>
        <w:rPr>
          <w:rFonts w:ascii="??_GB2312" w:hAnsi="??_GB2312" w:cs="??_GB2312"/>
          <w:sz w:val="32"/>
          <w:szCs w:val="32"/>
        </w:rPr>
        <w:t>4</w:t>
      </w:r>
      <w:r>
        <w:rPr>
          <w:rFonts w:hint="eastAsia" w:ascii="宋体" w:hAnsi="宋体" w:cs="宋体"/>
          <w:sz w:val="32"/>
          <w:szCs w:val="32"/>
        </w:rPr>
        <w:t>万元，完成预算的</w:t>
      </w:r>
      <w:r>
        <w:rPr>
          <w:rFonts w:ascii="??_GB2312" w:hAnsi="??_GB2312" w:cs="??_GB2312"/>
          <w:sz w:val="32"/>
          <w:szCs w:val="32"/>
        </w:rPr>
        <w:t>100%</w:t>
      </w:r>
      <w:r>
        <w:rPr>
          <w:rFonts w:hint="eastAsia" w:ascii="宋体" w:hAnsi="宋体" w:cs="宋体"/>
          <w:sz w:val="32"/>
          <w:szCs w:val="32"/>
        </w:rPr>
        <w:t>。与去年保持持平。</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ascii="??_GB2312" w:hAnsi="??_GB2312" w:cs="??_GB2312"/>
          <w:sz w:val="32"/>
          <w:szCs w:val="32"/>
        </w:rPr>
      </w:pPr>
      <w:r>
        <w:rPr>
          <w:rFonts w:ascii="??_GB2312" w:hAnsi="??_GB2312" w:cs="??_GB2312"/>
          <w:sz w:val="32"/>
          <w:szCs w:val="32"/>
        </w:rPr>
        <w:t>2018</w:t>
      </w:r>
      <w:r>
        <w:rPr>
          <w:rFonts w:hint="eastAsia" w:ascii="宋体" w:hAnsi="宋体" w:cs="宋体"/>
          <w:sz w:val="32"/>
          <w:szCs w:val="32"/>
        </w:rPr>
        <w:t>年度</w:t>
      </w:r>
      <w:r>
        <w:rPr>
          <w:rFonts w:ascii="??_GB2312" w:hAnsi="??_GB2312" w:cs="??_GB2312"/>
          <w:sz w:val="32"/>
          <w:szCs w:val="32"/>
        </w:rPr>
        <w:t>“</w:t>
      </w:r>
      <w:r>
        <w:rPr>
          <w:rFonts w:hint="eastAsia" w:ascii="宋体" w:hAnsi="宋体" w:cs="宋体"/>
          <w:sz w:val="32"/>
          <w:szCs w:val="32"/>
        </w:rPr>
        <w:t>三公</w:t>
      </w:r>
      <w:r>
        <w:rPr>
          <w:rFonts w:ascii="??_GB2312" w:hAnsi="??_GB2312" w:cs="??_GB2312"/>
          <w:sz w:val="32"/>
          <w:szCs w:val="32"/>
        </w:rPr>
        <w:t>”</w:t>
      </w:r>
      <w:r>
        <w:rPr>
          <w:rFonts w:hint="eastAsia" w:ascii="宋体" w:hAnsi="宋体" w:cs="宋体"/>
          <w:sz w:val="32"/>
          <w:szCs w:val="32"/>
        </w:rPr>
        <w:t>经费财政拨款支出决算中，因公出国（境）费支出决算</w:t>
      </w:r>
      <w:r>
        <w:rPr>
          <w:rFonts w:ascii="??_GB2312" w:hAnsi="??_GB2312" w:cs="??_GB2312"/>
          <w:sz w:val="32"/>
          <w:szCs w:val="32"/>
        </w:rPr>
        <w:t>0</w:t>
      </w:r>
      <w:r>
        <w:rPr>
          <w:rFonts w:hint="eastAsia" w:ascii="宋体" w:hAnsi="宋体" w:cs="宋体"/>
          <w:sz w:val="32"/>
          <w:szCs w:val="32"/>
        </w:rPr>
        <w:t>万元，</w:t>
      </w:r>
      <w:r>
        <w:rPr>
          <w:rFonts w:ascii="??_GB2312" w:hAnsi="??_GB2312" w:cs="??_GB2312"/>
          <w:sz w:val="32"/>
          <w:szCs w:val="32"/>
        </w:rPr>
        <w:t>2018</w:t>
      </w:r>
      <w:r>
        <w:rPr>
          <w:rFonts w:hint="eastAsia" w:ascii="宋体" w:hAnsi="宋体" w:cs="宋体"/>
          <w:sz w:val="32"/>
          <w:szCs w:val="32"/>
        </w:rPr>
        <w:t>年我局未安排因公出国（境）预算；公务用车购置及运行费支出决算</w:t>
      </w:r>
      <w:r>
        <w:rPr>
          <w:rFonts w:ascii="??_GB2312" w:hAnsi="??_GB2312" w:cs="??_GB2312"/>
          <w:sz w:val="32"/>
          <w:szCs w:val="32"/>
        </w:rPr>
        <w:t>0</w:t>
      </w:r>
      <w:r>
        <w:rPr>
          <w:rFonts w:hint="eastAsia" w:ascii="宋体" w:hAnsi="宋体" w:cs="宋体"/>
          <w:sz w:val="32"/>
          <w:szCs w:val="32"/>
        </w:rPr>
        <w:t>万元。公务接待费支出决算</w:t>
      </w:r>
      <w:r>
        <w:rPr>
          <w:rFonts w:ascii="??_GB2312" w:hAnsi="??_GB2312" w:cs="??_GB2312"/>
          <w:sz w:val="32"/>
          <w:szCs w:val="32"/>
        </w:rPr>
        <w:t>4</w:t>
      </w:r>
      <w:r>
        <w:rPr>
          <w:rFonts w:hint="eastAsia" w:ascii="宋体" w:hAnsi="宋体" w:cs="宋体"/>
          <w:sz w:val="32"/>
          <w:szCs w:val="32"/>
        </w:rPr>
        <w:t>万元，完成预算的</w:t>
      </w:r>
      <w:r>
        <w:rPr>
          <w:rFonts w:ascii="??_GB2312" w:hAnsi="??_GB2312" w:cs="??_GB2312"/>
          <w:sz w:val="32"/>
          <w:szCs w:val="32"/>
        </w:rPr>
        <w:t>100%</w:t>
      </w:r>
      <w:r>
        <w:rPr>
          <w:rFonts w:hint="eastAsia" w:ascii="宋体" w:hAnsi="宋体" w:cs="宋体"/>
          <w:sz w:val="32"/>
          <w:szCs w:val="32"/>
        </w:rPr>
        <w:t>，</w:t>
      </w:r>
      <w:r>
        <w:rPr>
          <w:rFonts w:hint="eastAsia" w:ascii="宋体" w:hAnsi="宋体" w:cs="宋体"/>
          <w:sz w:val="32"/>
          <w:szCs w:val="32"/>
          <w:lang w:val="en-US" w:eastAsia="zh-CN"/>
        </w:rPr>
        <w:t>占100%。</w:t>
      </w:r>
      <w:r>
        <w:rPr>
          <w:rFonts w:hint="eastAsia" w:ascii="宋体" w:hAnsi="宋体" w:cs="宋体"/>
          <w:sz w:val="32"/>
          <w:szCs w:val="32"/>
        </w:rPr>
        <w:t>具体情况如下：</w:t>
      </w:r>
    </w:p>
    <w:p>
      <w:pPr>
        <w:widowControl/>
        <w:spacing w:line="590" w:lineRule="exact"/>
        <w:ind w:firstLine="643" w:firstLineChars="200"/>
        <w:rPr>
          <w:rFonts w:ascii="??_GB2312" w:hAnsi="宋体" w:cs="Courier New"/>
          <w:sz w:val="32"/>
          <w:szCs w:val="32"/>
        </w:rPr>
      </w:pPr>
      <w:r>
        <w:rPr>
          <w:rFonts w:ascii="??_GB2312" w:hAnsi="??_GB2312" w:cs="??_GB2312"/>
          <w:b/>
          <w:bCs/>
          <w:sz w:val="32"/>
          <w:szCs w:val="32"/>
        </w:rPr>
        <w:t>1</w:t>
      </w:r>
      <w:r>
        <w:rPr>
          <w:rFonts w:hint="eastAsia" w:ascii="宋体" w:hAnsi="宋体" w:cs="宋体"/>
          <w:b/>
          <w:bCs/>
          <w:sz w:val="32"/>
          <w:szCs w:val="32"/>
        </w:rPr>
        <w:t>．</w:t>
      </w:r>
      <w:r>
        <w:rPr>
          <w:rFonts w:ascii="??_GB2312" w:hAnsi="宋体" w:eastAsia="Times New Roman"/>
          <w:b/>
          <w:bCs/>
          <w:sz w:val="32"/>
          <w:szCs w:val="32"/>
        </w:rPr>
        <w:t>因公出国（境）费</w:t>
      </w:r>
      <w:r>
        <w:rPr>
          <w:rFonts w:ascii="??_GB2312" w:hAnsi="宋体" w:eastAsia="Times New Roman" w:cs="Courier New"/>
          <w:sz w:val="32"/>
          <w:szCs w:val="32"/>
        </w:rPr>
        <w:t>支出0万元。全年安排机关单位因公出国（境）团组0个，累计0人次。</w:t>
      </w:r>
    </w:p>
    <w:p>
      <w:pPr>
        <w:widowControl/>
        <w:spacing w:line="590" w:lineRule="exact"/>
        <w:ind w:firstLine="643" w:firstLineChars="200"/>
        <w:rPr>
          <w:rFonts w:ascii="??_GB2312" w:hAnsi="??_GB2312" w:cs="??_GB2312"/>
          <w:sz w:val="32"/>
          <w:szCs w:val="32"/>
        </w:rPr>
      </w:pPr>
      <w:r>
        <w:rPr>
          <w:rFonts w:ascii="??_GB2312" w:hAnsi="??_GB2312" w:cs="??_GB2312"/>
          <w:b/>
          <w:bCs/>
          <w:sz w:val="32"/>
          <w:szCs w:val="32"/>
        </w:rPr>
        <w:t>2</w:t>
      </w:r>
      <w:r>
        <w:rPr>
          <w:rFonts w:hint="eastAsia" w:ascii="宋体" w:hAnsi="宋体" w:cs="宋体"/>
          <w:b/>
          <w:bCs/>
          <w:sz w:val="32"/>
          <w:szCs w:val="32"/>
        </w:rPr>
        <w:t>．公务用车购置及运行费</w:t>
      </w:r>
      <w:r>
        <w:rPr>
          <w:rFonts w:hint="eastAsia" w:ascii="宋体" w:hAnsi="宋体" w:cs="宋体"/>
          <w:sz w:val="32"/>
          <w:szCs w:val="32"/>
        </w:rPr>
        <w:t>年初预算为</w:t>
      </w:r>
      <w:r>
        <w:rPr>
          <w:rFonts w:ascii="??_GB2312" w:hAnsi="??_GB2312" w:cs="??_GB2312"/>
          <w:sz w:val="32"/>
          <w:szCs w:val="32"/>
        </w:rPr>
        <w:t>0</w:t>
      </w:r>
      <w:r>
        <w:rPr>
          <w:rFonts w:hint="eastAsia" w:ascii="宋体" w:hAnsi="宋体" w:cs="宋体"/>
          <w:sz w:val="32"/>
          <w:szCs w:val="32"/>
        </w:rPr>
        <w:t>万元，支出决算为</w:t>
      </w:r>
      <w:r>
        <w:rPr>
          <w:rFonts w:ascii="??_GB2312" w:hAnsi="??_GB2312" w:cs="??_GB2312"/>
          <w:sz w:val="32"/>
          <w:szCs w:val="32"/>
        </w:rPr>
        <w:t>0</w:t>
      </w:r>
      <w:r>
        <w:rPr>
          <w:rFonts w:hint="eastAsia" w:ascii="宋体" w:hAnsi="宋体" w:cs="宋体"/>
          <w:sz w:val="32"/>
          <w:szCs w:val="32"/>
        </w:rPr>
        <w:t>万元。</w:t>
      </w:r>
    </w:p>
    <w:p>
      <w:pPr>
        <w:widowControl/>
        <w:spacing w:line="590" w:lineRule="exact"/>
        <w:ind w:firstLine="643" w:firstLineChars="200"/>
        <w:rPr>
          <w:rFonts w:ascii="??_GB2312" w:hAnsi="??_GB2312" w:cs="??_GB2312"/>
          <w:sz w:val="32"/>
          <w:szCs w:val="32"/>
        </w:rPr>
      </w:pPr>
      <w:r>
        <w:rPr>
          <w:rFonts w:hint="eastAsia" w:ascii="宋体" w:hAnsi="宋体" w:cs="宋体"/>
          <w:b/>
          <w:bCs/>
          <w:sz w:val="32"/>
          <w:szCs w:val="32"/>
        </w:rPr>
        <w:t>公务用车购置支出</w:t>
      </w:r>
      <w:r>
        <w:rPr>
          <w:rFonts w:ascii="??_GB2312" w:hAnsi="??_GB2312" w:cs="??_GB2312"/>
          <w:b/>
          <w:bCs/>
          <w:sz w:val="32"/>
          <w:szCs w:val="32"/>
        </w:rPr>
        <w:t>0</w:t>
      </w:r>
      <w:r>
        <w:rPr>
          <w:rFonts w:hint="eastAsia" w:ascii="宋体" w:hAnsi="宋体" w:cs="宋体"/>
          <w:sz w:val="32"/>
          <w:szCs w:val="32"/>
        </w:rPr>
        <w:t>万元，购置车辆</w:t>
      </w:r>
      <w:r>
        <w:rPr>
          <w:rFonts w:ascii="??_GB2312" w:hAnsi="??_GB2312" w:cs="??_GB2312"/>
          <w:sz w:val="32"/>
          <w:szCs w:val="32"/>
        </w:rPr>
        <w:t>0</w:t>
      </w:r>
      <w:r>
        <w:rPr>
          <w:rFonts w:hint="eastAsia" w:ascii="宋体" w:hAnsi="宋体" w:cs="宋体"/>
          <w:sz w:val="32"/>
          <w:szCs w:val="32"/>
        </w:rPr>
        <w:t>辆。</w:t>
      </w:r>
    </w:p>
    <w:p>
      <w:pPr>
        <w:widowControl/>
        <w:spacing w:line="590" w:lineRule="exact"/>
        <w:ind w:firstLine="643" w:firstLineChars="200"/>
        <w:rPr>
          <w:rFonts w:ascii="??_GB2312" w:hAnsi="??_GB2312" w:cs="??_GB2312"/>
          <w:sz w:val="32"/>
          <w:szCs w:val="32"/>
        </w:rPr>
      </w:pPr>
      <w:r>
        <w:rPr>
          <w:rFonts w:hint="eastAsia" w:ascii="宋体" w:hAnsi="宋体" w:cs="宋体"/>
          <w:b/>
          <w:bCs/>
          <w:sz w:val="32"/>
          <w:szCs w:val="32"/>
        </w:rPr>
        <w:t>公务用车运行支出</w:t>
      </w:r>
      <w:r>
        <w:rPr>
          <w:rFonts w:ascii="??_GB2312" w:hAnsi="??_GB2312" w:cs="??_GB2312"/>
          <w:b/>
          <w:bCs/>
          <w:sz w:val="32"/>
          <w:szCs w:val="32"/>
        </w:rPr>
        <w:t>0</w:t>
      </w:r>
      <w:r>
        <w:rPr>
          <w:rFonts w:hint="eastAsia" w:ascii="宋体" w:hAnsi="宋体" w:cs="宋体"/>
          <w:sz w:val="32"/>
          <w:szCs w:val="32"/>
        </w:rPr>
        <w:t>万元。公车保有量为</w:t>
      </w:r>
      <w:r>
        <w:rPr>
          <w:rFonts w:ascii="宋体" w:cs="宋体"/>
          <w:sz w:val="32"/>
          <w:szCs w:val="32"/>
        </w:rPr>
        <w:t>0</w:t>
      </w:r>
      <w:r>
        <w:rPr>
          <w:rFonts w:hint="eastAsia" w:ascii="宋体" w:hAnsi="宋体" w:cs="宋体"/>
          <w:sz w:val="32"/>
          <w:szCs w:val="32"/>
        </w:rPr>
        <w:t>。</w:t>
      </w:r>
    </w:p>
    <w:p>
      <w:pPr>
        <w:widowControl/>
        <w:kinsoku w:val="0"/>
        <w:overflowPunct w:val="0"/>
        <w:autoSpaceDE w:val="0"/>
        <w:autoSpaceDN w:val="0"/>
        <w:adjustRightInd w:val="0"/>
        <w:snapToGrid w:val="0"/>
        <w:spacing w:line="540" w:lineRule="exact"/>
        <w:ind w:firstLine="643" w:firstLineChars="200"/>
        <w:rPr>
          <w:rFonts w:ascii="??_GB2312" w:hAnsi="??_GB2312" w:cs="??_GB2312"/>
          <w:sz w:val="32"/>
          <w:szCs w:val="32"/>
        </w:rPr>
      </w:pPr>
      <w:r>
        <w:rPr>
          <w:rFonts w:ascii="??_GB2312" w:hAnsi="??_GB2312" w:cs="??_GB2312"/>
          <w:b/>
          <w:bCs/>
          <w:sz w:val="32"/>
          <w:szCs w:val="32"/>
        </w:rPr>
        <w:t>3.</w:t>
      </w:r>
      <w:r>
        <w:rPr>
          <w:rFonts w:hint="eastAsia" w:ascii="宋体" w:hAnsi="宋体" w:cs="宋体"/>
          <w:b/>
          <w:bCs/>
          <w:sz w:val="32"/>
          <w:szCs w:val="32"/>
        </w:rPr>
        <w:t>公务接待费年</w:t>
      </w:r>
      <w:r>
        <w:rPr>
          <w:rFonts w:hint="eastAsia" w:ascii="宋体" w:hAnsi="宋体" w:cs="宋体"/>
          <w:sz w:val="32"/>
          <w:szCs w:val="32"/>
        </w:rPr>
        <w:t>初预算为</w:t>
      </w:r>
      <w:r>
        <w:rPr>
          <w:rFonts w:ascii="??_GB2312" w:hAnsi="??_GB2312" w:cs="??_GB2312"/>
          <w:sz w:val="32"/>
          <w:szCs w:val="32"/>
        </w:rPr>
        <w:t>4</w:t>
      </w:r>
      <w:r>
        <w:rPr>
          <w:rFonts w:hint="eastAsia" w:ascii="宋体" w:hAnsi="宋体" w:cs="宋体"/>
          <w:sz w:val="32"/>
          <w:szCs w:val="32"/>
        </w:rPr>
        <w:t>万元，支出决算为</w:t>
      </w:r>
      <w:r>
        <w:rPr>
          <w:rFonts w:ascii="??_GB2312" w:hAnsi="??_GB2312" w:cs="??_GB2312"/>
          <w:sz w:val="32"/>
          <w:szCs w:val="32"/>
        </w:rPr>
        <w:t>4</w:t>
      </w:r>
      <w:r>
        <w:rPr>
          <w:rFonts w:hint="eastAsia" w:ascii="宋体" w:hAnsi="宋体" w:cs="宋体"/>
          <w:sz w:val="32"/>
          <w:szCs w:val="32"/>
        </w:rPr>
        <w:t>万元，完成年初预算的</w:t>
      </w:r>
      <w:r>
        <w:rPr>
          <w:rFonts w:ascii="??_GB2312" w:hAnsi="??_GB2312" w:cs="??_GB2312"/>
          <w:sz w:val="32"/>
          <w:szCs w:val="32"/>
        </w:rPr>
        <w:t>100%</w:t>
      </w:r>
      <w:r>
        <w:rPr>
          <w:rFonts w:hint="eastAsia" w:ascii="宋体" w:hAnsi="宋体" w:cs="宋体"/>
          <w:sz w:val="32"/>
          <w:szCs w:val="32"/>
        </w:rPr>
        <w:t>。与去年保持持平。</w:t>
      </w:r>
    </w:p>
    <w:p>
      <w:pPr>
        <w:widowControl/>
        <w:kinsoku w:val="0"/>
        <w:overflowPunct w:val="0"/>
        <w:autoSpaceDE w:val="0"/>
        <w:autoSpaceDN w:val="0"/>
        <w:adjustRightInd w:val="0"/>
        <w:snapToGrid w:val="0"/>
        <w:spacing w:line="540" w:lineRule="exact"/>
        <w:ind w:firstLine="640" w:firstLineChars="200"/>
        <w:jc w:val="left"/>
        <w:rPr>
          <w:rFonts w:ascii="宋体" w:cs="宋体"/>
          <w:sz w:val="32"/>
          <w:szCs w:val="32"/>
        </w:rPr>
      </w:pPr>
      <w:r>
        <w:rPr>
          <w:rFonts w:hint="eastAsia" w:ascii="宋体" w:hAnsi="宋体" w:cs="宋体"/>
          <w:sz w:val="32"/>
          <w:szCs w:val="32"/>
        </w:rPr>
        <w:t>外宾接待支出</w:t>
      </w:r>
      <w:r>
        <w:rPr>
          <w:rFonts w:ascii="宋体" w:cs="宋体"/>
          <w:sz w:val="32"/>
          <w:szCs w:val="32"/>
        </w:rPr>
        <w:t>0</w:t>
      </w:r>
      <w:r>
        <w:rPr>
          <w:rFonts w:hint="eastAsia" w:ascii="宋体" w:hAnsi="宋体" w:cs="宋体"/>
          <w:sz w:val="32"/>
          <w:szCs w:val="32"/>
        </w:rPr>
        <w:t>万元。</w:t>
      </w:r>
      <w:r>
        <w:rPr>
          <w:rFonts w:ascii="宋体" w:hAnsi="宋体" w:cs="宋体"/>
          <w:sz w:val="32"/>
          <w:szCs w:val="32"/>
        </w:rPr>
        <w:t>2018</w:t>
      </w:r>
      <w:r>
        <w:rPr>
          <w:rFonts w:hint="eastAsia" w:ascii="宋体" w:hAnsi="宋体" w:cs="宋体"/>
          <w:sz w:val="32"/>
          <w:szCs w:val="32"/>
        </w:rPr>
        <w:t>年共接待国（境）外来访团组</w:t>
      </w:r>
      <w:r>
        <w:rPr>
          <w:rFonts w:ascii="宋体" w:cs="宋体"/>
          <w:sz w:val="32"/>
          <w:szCs w:val="32"/>
        </w:rPr>
        <w:t>0</w:t>
      </w:r>
      <w:r>
        <w:rPr>
          <w:rFonts w:hint="eastAsia" w:ascii="宋体" w:hAnsi="宋体" w:cs="宋体"/>
          <w:sz w:val="32"/>
          <w:szCs w:val="32"/>
        </w:rPr>
        <w:t>个、来访外宾</w:t>
      </w:r>
      <w:r>
        <w:rPr>
          <w:rFonts w:ascii="宋体" w:cs="宋体"/>
          <w:sz w:val="32"/>
          <w:szCs w:val="32"/>
        </w:rPr>
        <w:t>0</w:t>
      </w:r>
      <w:r>
        <w:rPr>
          <w:rFonts w:hint="eastAsia" w:ascii="宋体" w:hAnsi="宋体" w:cs="宋体"/>
          <w:sz w:val="32"/>
          <w:szCs w:val="32"/>
        </w:rPr>
        <w:t>人次（不包括陪同人员）。</w:t>
      </w:r>
    </w:p>
    <w:p>
      <w:pPr>
        <w:widowControl/>
        <w:spacing w:line="590" w:lineRule="exact"/>
        <w:ind w:firstLine="640" w:firstLineChars="200"/>
        <w:rPr>
          <w:rFonts w:ascii="??_GB2312" w:hAnsi="??_GB2312" w:cs="??_GB2312"/>
          <w:sz w:val="32"/>
          <w:szCs w:val="32"/>
        </w:rPr>
      </w:pPr>
      <w:r>
        <w:rPr>
          <w:rFonts w:hint="eastAsia" w:ascii="宋体" w:hAnsi="宋体" w:cs="宋体"/>
          <w:sz w:val="32"/>
          <w:szCs w:val="32"/>
        </w:rPr>
        <w:t>其他国内公务接待支出</w:t>
      </w:r>
      <w:r>
        <w:rPr>
          <w:rFonts w:ascii="??_GB2312" w:hAnsi="??_GB2312" w:cs="??_GB2312"/>
          <w:sz w:val="32"/>
          <w:szCs w:val="32"/>
        </w:rPr>
        <w:t>4</w:t>
      </w:r>
      <w:r>
        <w:rPr>
          <w:rFonts w:hint="eastAsia" w:ascii="宋体" w:hAnsi="宋体" w:cs="宋体"/>
          <w:sz w:val="32"/>
          <w:szCs w:val="32"/>
        </w:rPr>
        <w:t>万元。主要用于正常公务接待。</w:t>
      </w:r>
      <w:r>
        <w:rPr>
          <w:rFonts w:ascii="??_GB2312" w:hAnsi="??_GB2312" w:cs="??_GB2312"/>
          <w:sz w:val="32"/>
          <w:szCs w:val="32"/>
        </w:rPr>
        <w:t>2018</w:t>
      </w:r>
      <w:r>
        <w:rPr>
          <w:rFonts w:hint="eastAsia" w:ascii="宋体" w:hAnsi="宋体" w:cs="宋体"/>
          <w:sz w:val="32"/>
          <w:szCs w:val="32"/>
        </w:rPr>
        <w:t>年共接待国内来访团组</w:t>
      </w:r>
      <w:r>
        <w:rPr>
          <w:rFonts w:ascii="??_GB2312" w:hAnsi="??_GB2312" w:cs="??_GB2312"/>
          <w:sz w:val="32"/>
          <w:szCs w:val="32"/>
        </w:rPr>
        <w:t>81</w:t>
      </w:r>
      <w:r>
        <w:rPr>
          <w:rFonts w:hint="eastAsia" w:ascii="宋体" w:hAnsi="宋体" w:cs="宋体"/>
          <w:sz w:val="32"/>
          <w:szCs w:val="32"/>
        </w:rPr>
        <w:t>个、来宾</w:t>
      </w:r>
      <w:r>
        <w:rPr>
          <w:rFonts w:ascii="??_GB2312" w:hAnsi="??_GB2312" w:cs="??_GB2312"/>
          <w:sz w:val="32"/>
          <w:szCs w:val="32"/>
        </w:rPr>
        <w:t>396</w:t>
      </w:r>
      <w:r>
        <w:rPr>
          <w:rFonts w:hint="eastAsia" w:ascii="宋体" w:hAnsi="宋体" w:cs="宋体"/>
          <w:sz w:val="32"/>
          <w:szCs w:val="32"/>
        </w:rPr>
        <w:t>人次（不包括陪同人员）。</w:t>
      </w:r>
    </w:p>
    <w:p>
      <w:pPr>
        <w:widowControl/>
        <w:kinsoku w:val="0"/>
        <w:overflowPunct w:val="0"/>
        <w:autoSpaceDE w:val="0"/>
        <w:autoSpaceDN w:val="0"/>
        <w:adjustRightInd w:val="0"/>
        <w:snapToGrid w:val="0"/>
        <w:spacing w:line="540" w:lineRule="exact"/>
        <w:rPr>
          <w:rFonts w:ascii="??_GB2312" w:hAnsi="??_GB2312" w:cs="??_GB2312"/>
          <w:sz w:val="32"/>
          <w:szCs w:val="32"/>
        </w:rPr>
      </w:pPr>
    </w:p>
    <w:p>
      <w:pPr>
        <w:widowControl/>
        <w:numPr>
          <w:ilvl w:val="0"/>
          <w:numId w:val="8"/>
        </w:numPr>
        <w:kinsoku w:val="0"/>
        <w:overflowPunct w:val="0"/>
        <w:autoSpaceDE w:val="0"/>
        <w:autoSpaceDN w:val="0"/>
        <w:adjustRightInd w:val="0"/>
        <w:snapToGrid w:val="0"/>
        <w:spacing w:line="540" w:lineRule="exact"/>
        <w:ind w:firstLine="640" w:firstLineChars="200"/>
        <w:rPr>
          <w:rFonts w:ascii="??_GB2312" w:hAnsi="??_GB2312" w:cs="??_GB2312"/>
          <w:sz w:val="32"/>
          <w:szCs w:val="32"/>
        </w:rPr>
      </w:pPr>
      <w:r>
        <w:rPr>
          <w:rFonts w:hint="eastAsia" w:ascii="宋体" w:hAnsi="宋体" w:cs="宋体"/>
          <w:sz w:val="32"/>
          <w:szCs w:val="32"/>
        </w:rPr>
        <w:t>关于预算绩效情况说明</w:t>
      </w:r>
    </w:p>
    <w:p>
      <w:pPr>
        <w:widowControl/>
        <w:kinsoku w:val="0"/>
        <w:overflowPunct w:val="0"/>
        <w:autoSpaceDE w:val="0"/>
        <w:autoSpaceDN w:val="0"/>
        <w:adjustRightInd w:val="0"/>
        <w:snapToGrid w:val="0"/>
        <w:spacing w:line="540" w:lineRule="exact"/>
        <w:ind w:firstLine="640" w:firstLineChars="200"/>
        <w:rPr>
          <w:rFonts w:ascii="??_GB2312" w:hAnsi="??_GB2312" w:cs="??_GB2312"/>
          <w:sz w:val="32"/>
          <w:szCs w:val="32"/>
        </w:rPr>
      </w:pPr>
      <w:r>
        <w:rPr>
          <w:rFonts w:ascii="??_GB2312" w:hAnsi="??_GB2312" w:cs="??_GB2312"/>
          <w:sz w:val="32"/>
          <w:szCs w:val="32"/>
        </w:rPr>
        <w:t xml:space="preserve"> </w:t>
      </w:r>
      <w:r>
        <w:rPr>
          <w:rFonts w:hint="eastAsia" w:ascii="宋体" w:hAnsi="宋体" w:cs="宋体"/>
          <w:sz w:val="32"/>
          <w:szCs w:val="32"/>
          <w:lang w:eastAsia="zh-CN"/>
        </w:rPr>
        <w:t>信阳市浉河区旅游局</w:t>
      </w:r>
      <w:r>
        <w:rPr>
          <w:rFonts w:hint="eastAsia" w:ascii="宋体" w:hAnsi="宋体" w:cs="宋体"/>
          <w:sz w:val="32"/>
          <w:szCs w:val="32"/>
        </w:rPr>
        <w:t>对</w:t>
      </w:r>
      <w:r>
        <w:rPr>
          <w:rFonts w:ascii="??_GB2312" w:hAnsi="??_GB2312" w:cs="??_GB2312"/>
          <w:sz w:val="32"/>
          <w:szCs w:val="32"/>
        </w:rPr>
        <w:t>2018</w:t>
      </w:r>
      <w:r>
        <w:rPr>
          <w:rFonts w:hint="eastAsia" w:ascii="宋体" w:hAnsi="宋体" w:cs="宋体"/>
          <w:sz w:val="32"/>
          <w:szCs w:val="32"/>
        </w:rPr>
        <w:t>年度一般公共预算项目支出没有开展绩效自评。</w:t>
      </w:r>
    </w:p>
    <w:p>
      <w:pPr>
        <w:widowControl/>
        <w:tabs>
          <w:tab w:val="left" w:pos="848"/>
          <w:tab w:val="left" w:pos="1088"/>
        </w:tabs>
        <w:adjustRightInd w:val="0"/>
        <w:snapToGrid w:val="0"/>
        <w:spacing w:line="540" w:lineRule="exact"/>
        <w:ind w:firstLine="640" w:firstLineChars="200"/>
        <w:rPr>
          <w:rFonts w:ascii="??_GB2312" w:hAnsi="??_GB2312" w:cs="??_GB2312"/>
          <w:sz w:val="32"/>
          <w:szCs w:val="32"/>
        </w:rPr>
      </w:pPr>
      <w:r>
        <w:rPr>
          <w:rFonts w:hint="eastAsia" w:ascii="宋体" w:hAnsi="宋体" w:cs="宋体"/>
          <w:sz w:val="32"/>
          <w:szCs w:val="32"/>
        </w:rPr>
        <w:t>九、关于政府性基金预算财政拨款支出决算情况说明</w:t>
      </w:r>
    </w:p>
    <w:p>
      <w:pPr>
        <w:widowControl/>
        <w:kinsoku w:val="0"/>
        <w:overflowPunct w:val="0"/>
        <w:autoSpaceDE w:val="0"/>
        <w:autoSpaceDN w:val="0"/>
        <w:adjustRightInd w:val="0"/>
        <w:snapToGrid w:val="0"/>
        <w:spacing w:line="540" w:lineRule="exact"/>
        <w:ind w:firstLine="640" w:firstLineChars="200"/>
        <w:rPr>
          <w:rFonts w:ascii="??_GB2312" w:hAnsi="??_GB2312" w:cs="??_GB2312"/>
          <w:sz w:val="32"/>
          <w:szCs w:val="32"/>
        </w:rPr>
      </w:pPr>
      <w:r>
        <w:rPr>
          <w:rFonts w:ascii="??_GB2312" w:hAnsi="??_GB2312" w:cs="??_GB2312"/>
          <w:sz w:val="32"/>
          <w:szCs w:val="32"/>
        </w:rPr>
        <w:t>2018</w:t>
      </w:r>
      <w:r>
        <w:rPr>
          <w:rFonts w:hint="eastAsia" w:ascii="宋体" w:hAnsi="宋体" w:cs="宋体"/>
          <w:sz w:val="32"/>
          <w:szCs w:val="32"/>
        </w:rPr>
        <w:t>年度政府性基金预算财政拨款支出年初预算为</w:t>
      </w:r>
      <w:r>
        <w:rPr>
          <w:rFonts w:ascii="??_GB2312" w:hAnsi="??_GB2312" w:cs="??_GB2312"/>
          <w:sz w:val="32"/>
          <w:szCs w:val="32"/>
        </w:rPr>
        <w:t>0</w:t>
      </w:r>
      <w:r>
        <w:rPr>
          <w:rFonts w:hint="eastAsia" w:ascii="宋体" w:hAnsi="宋体" w:cs="宋体"/>
          <w:sz w:val="32"/>
          <w:szCs w:val="32"/>
        </w:rPr>
        <w:t>万元，支出决算为</w:t>
      </w:r>
      <w:r>
        <w:rPr>
          <w:rFonts w:ascii="??_GB2312" w:hAnsi="??_GB2312" w:cs="??_GB2312"/>
          <w:sz w:val="32"/>
          <w:szCs w:val="32"/>
        </w:rPr>
        <w:t>0</w:t>
      </w:r>
      <w:r>
        <w:rPr>
          <w:rFonts w:hint="eastAsia" w:ascii="宋体" w:hAnsi="宋体" w:cs="宋体"/>
          <w:sz w:val="32"/>
          <w:szCs w:val="32"/>
        </w:rPr>
        <w:t>万元，完成年初预算的</w:t>
      </w:r>
      <w:r>
        <w:rPr>
          <w:rFonts w:ascii="??_GB2312" w:hAnsi="??_GB2312" w:cs="??_GB2312"/>
          <w:sz w:val="32"/>
          <w:szCs w:val="32"/>
        </w:rPr>
        <w:t>100%</w:t>
      </w:r>
      <w:r>
        <w:rPr>
          <w:rFonts w:hint="eastAsia" w:ascii="宋体" w:hAnsi="宋体" w:cs="宋体"/>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ascii="??_GB2312" w:hAnsi="??_GB2312" w:cs="??_GB2312"/>
          <w:sz w:val="32"/>
          <w:szCs w:val="32"/>
        </w:rPr>
      </w:pPr>
      <w:r>
        <w:rPr>
          <w:rFonts w:ascii="??_GB2312" w:hAnsi="??_GB2312" w:cs="??_GB2312"/>
          <w:sz w:val="32"/>
          <w:szCs w:val="32"/>
        </w:rPr>
        <w:t>2018</w:t>
      </w:r>
      <w:r>
        <w:rPr>
          <w:rFonts w:hint="eastAsia" w:ascii="宋体" w:hAnsi="宋体" w:cs="宋体"/>
          <w:sz w:val="32"/>
          <w:szCs w:val="32"/>
        </w:rPr>
        <w:t>年度机关运行经费年初预算为</w:t>
      </w:r>
      <w:r>
        <w:rPr>
          <w:rFonts w:ascii="宋体" w:hAnsi="宋体" w:cs="宋体"/>
          <w:sz w:val="32"/>
          <w:szCs w:val="32"/>
        </w:rPr>
        <w:t>18.8</w:t>
      </w:r>
      <w:r>
        <w:rPr>
          <w:rFonts w:hint="eastAsia" w:ascii="宋体" w:hAnsi="宋体" w:cs="宋体"/>
          <w:sz w:val="32"/>
          <w:szCs w:val="32"/>
        </w:rPr>
        <w:t>万元，支出决算为</w:t>
      </w:r>
      <w:r>
        <w:rPr>
          <w:rFonts w:ascii="??_GB2312" w:hAnsi="??_GB2312" w:cs="??_GB2312"/>
          <w:sz w:val="32"/>
          <w:szCs w:val="32"/>
        </w:rPr>
        <w:t>45.48</w:t>
      </w:r>
      <w:r>
        <w:rPr>
          <w:rFonts w:hint="eastAsia" w:ascii="宋体" w:hAnsi="宋体" w:cs="宋体"/>
          <w:sz w:val="32"/>
          <w:szCs w:val="32"/>
        </w:rPr>
        <w:t>万元，完成年初预算的</w:t>
      </w:r>
      <w:r>
        <w:rPr>
          <w:rFonts w:ascii="宋体" w:hAnsi="宋体" w:cs="宋体"/>
          <w:sz w:val="32"/>
          <w:szCs w:val="32"/>
        </w:rPr>
        <w:t>142</w:t>
      </w:r>
      <w:r>
        <w:rPr>
          <w:rFonts w:ascii="??_GB2312" w:hAnsi="??_GB2312" w:cs="??_GB2312"/>
          <w:sz w:val="32"/>
          <w:szCs w:val="32"/>
        </w:rPr>
        <w:t>%</w:t>
      </w:r>
      <w:r>
        <w:rPr>
          <w:rFonts w:hint="eastAsia" w:ascii="宋体" w:hAnsi="宋体" w:cs="宋体"/>
          <w:sz w:val="32"/>
          <w:szCs w:val="32"/>
        </w:rPr>
        <w:t>。决算数与年初预算数存在差异的主要原因是上年部分费用在本年列支。</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ascii="??_GB2312" w:hAnsi="??_GB2312" w:cs="??_GB2312"/>
          <w:sz w:val="32"/>
          <w:szCs w:val="32"/>
        </w:rPr>
      </w:pPr>
      <w:r>
        <w:rPr>
          <w:rFonts w:ascii="??_GB2312" w:hAnsi="??_GB2312" w:cs="??_GB2312"/>
          <w:sz w:val="32"/>
          <w:szCs w:val="32"/>
        </w:rPr>
        <w:t>2018</w:t>
      </w:r>
      <w:r>
        <w:rPr>
          <w:rFonts w:hint="eastAsia" w:ascii="宋体" w:hAnsi="宋体" w:cs="宋体"/>
          <w:sz w:val="32"/>
          <w:szCs w:val="32"/>
        </w:rPr>
        <w:t>年度政府采购支出总额</w:t>
      </w:r>
      <w:r>
        <w:rPr>
          <w:rFonts w:ascii="??_GB2312" w:hAnsi="??_GB2312" w:cs="??_GB2312"/>
          <w:sz w:val="32"/>
          <w:szCs w:val="32"/>
        </w:rPr>
        <w:t>0</w:t>
      </w:r>
      <w:r>
        <w:rPr>
          <w:rFonts w:hint="eastAsia" w:ascii="宋体" w:hAnsi="宋体" w:cs="宋体"/>
          <w:sz w:val="32"/>
          <w:szCs w:val="32"/>
        </w:rPr>
        <w:t>万元，其中：政府采购货物支出</w:t>
      </w:r>
      <w:r>
        <w:rPr>
          <w:rFonts w:ascii="??_GB2312" w:hAnsi="??_GB2312" w:cs="??_GB2312"/>
          <w:sz w:val="32"/>
          <w:szCs w:val="32"/>
        </w:rPr>
        <w:t>0</w:t>
      </w:r>
      <w:r>
        <w:rPr>
          <w:rFonts w:hint="eastAsia" w:ascii="宋体" w:hAnsi="宋体" w:cs="宋体"/>
          <w:sz w:val="32"/>
          <w:szCs w:val="32"/>
        </w:rPr>
        <w:t>万元、政府采购工程支出</w:t>
      </w:r>
      <w:r>
        <w:rPr>
          <w:rFonts w:ascii="??_GB2312" w:hAnsi="??_GB2312" w:cs="??_GB2312"/>
          <w:sz w:val="32"/>
          <w:szCs w:val="32"/>
        </w:rPr>
        <w:t>0</w:t>
      </w:r>
      <w:r>
        <w:rPr>
          <w:rFonts w:hint="eastAsia" w:ascii="宋体" w:hAnsi="宋体" w:cs="宋体"/>
          <w:sz w:val="32"/>
          <w:szCs w:val="32"/>
        </w:rPr>
        <w:t>万元、政府采购服务支出</w:t>
      </w:r>
      <w:r>
        <w:rPr>
          <w:rFonts w:ascii="??_GB2312" w:hAnsi="??_GB2312" w:cs="??_GB2312"/>
          <w:sz w:val="32"/>
          <w:szCs w:val="32"/>
        </w:rPr>
        <w:t>0</w:t>
      </w:r>
      <w:r>
        <w:rPr>
          <w:rFonts w:hint="eastAsia" w:ascii="宋体" w:hAnsi="宋体" w:cs="宋体"/>
          <w:sz w:val="32"/>
          <w:szCs w:val="32"/>
        </w:rPr>
        <w:t>万元。授予中小企业合同金额</w:t>
      </w:r>
      <w:r>
        <w:rPr>
          <w:rFonts w:ascii="??_GB2312" w:hAnsi="??_GB2312" w:cs="??_GB2312"/>
          <w:sz w:val="32"/>
          <w:szCs w:val="32"/>
        </w:rPr>
        <w:t>0</w:t>
      </w:r>
      <w:r>
        <w:rPr>
          <w:rFonts w:hint="eastAsia" w:ascii="宋体" w:hAnsi="宋体" w:cs="宋体"/>
          <w:sz w:val="32"/>
          <w:szCs w:val="32"/>
        </w:rPr>
        <w:t>万元，占政府采购支出总额的</w:t>
      </w:r>
      <w:r>
        <w:rPr>
          <w:rFonts w:ascii="??_GB2312" w:hAnsi="??_GB2312" w:cs="??_GB2312"/>
          <w:sz w:val="32"/>
          <w:szCs w:val="32"/>
        </w:rPr>
        <w:t>0%</w:t>
      </w:r>
      <w:r>
        <w:rPr>
          <w:rFonts w:hint="eastAsia" w:ascii="宋体" w:hAnsi="宋体" w:cs="宋体"/>
          <w:sz w:val="32"/>
          <w:szCs w:val="32"/>
        </w:rPr>
        <w:t>，其中：授予小微企业合同金额</w:t>
      </w:r>
      <w:r>
        <w:rPr>
          <w:rFonts w:ascii="??_GB2312" w:hAnsi="??_GB2312" w:cs="??_GB2312"/>
          <w:sz w:val="32"/>
          <w:szCs w:val="32"/>
        </w:rPr>
        <w:t>0</w:t>
      </w:r>
      <w:r>
        <w:rPr>
          <w:rFonts w:hint="eastAsia" w:ascii="宋体" w:hAnsi="宋体" w:cs="宋体"/>
          <w:sz w:val="32"/>
          <w:szCs w:val="32"/>
        </w:rPr>
        <w:t>万元，占政府采购支出总额的</w:t>
      </w:r>
      <w:r>
        <w:rPr>
          <w:rFonts w:ascii="??_GB2312" w:hAnsi="??_GB2312" w:cs="??_GB2312"/>
          <w:sz w:val="32"/>
          <w:szCs w:val="32"/>
        </w:rPr>
        <w:t>0%</w:t>
      </w:r>
      <w:r>
        <w:rPr>
          <w:rFonts w:hint="eastAsia" w:ascii="宋体" w:hAnsi="宋体" w:cs="宋体"/>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ascii="??_GB2312" w:hAnsi="??_GB2312" w:cs="??_GB2312"/>
          <w:sz w:val="32"/>
          <w:szCs w:val="32"/>
        </w:rPr>
      </w:pPr>
      <w:r>
        <w:rPr>
          <w:rFonts w:ascii="??_GB2312" w:hAnsi="??_GB2312" w:cs="??_GB2312"/>
          <w:sz w:val="32"/>
          <w:szCs w:val="32"/>
        </w:rPr>
        <w:t>2018</w:t>
      </w:r>
      <w:r>
        <w:rPr>
          <w:rFonts w:hint="eastAsia" w:ascii="宋体" w:hAnsi="宋体" w:cs="宋体"/>
          <w:sz w:val="32"/>
          <w:szCs w:val="32"/>
        </w:rPr>
        <w:t>年期末，我部门共有车辆</w:t>
      </w:r>
      <w:r>
        <w:rPr>
          <w:rFonts w:ascii="??_GB2312" w:hAnsi="??_GB2312" w:cs="??_GB2312"/>
          <w:sz w:val="32"/>
          <w:szCs w:val="32"/>
        </w:rPr>
        <w:t>0</w:t>
      </w:r>
      <w:r>
        <w:rPr>
          <w:rFonts w:hint="eastAsia" w:ascii="宋体" w:hAnsi="宋体" w:cs="宋体"/>
          <w:sz w:val="32"/>
          <w:szCs w:val="32"/>
        </w:rPr>
        <w:t>辆，其中：省级领导干部用车</w:t>
      </w:r>
      <w:r>
        <w:rPr>
          <w:rFonts w:ascii="??_GB2312" w:hAnsi="??_GB2312" w:cs="??_GB2312"/>
          <w:sz w:val="32"/>
          <w:szCs w:val="32"/>
        </w:rPr>
        <w:t>0</w:t>
      </w:r>
      <w:r>
        <w:rPr>
          <w:rFonts w:hint="eastAsia" w:ascii="宋体" w:hAnsi="宋体" w:cs="宋体"/>
          <w:sz w:val="32"/>
          <w:szCs w:val="32"/>
        </w:rPr>
        <w:t>辆、主要领导干部用车</w:t>
      </w:r>
      <w:r>
        <w:rPr>
          <w:rFonts w:ascii="??_GB2312" w:hAnsi="??_GB2312" w:cs="??_GB2312"/>
          <w:sz w:val="32"/>
          <w:szCs w:val="32"/>
        </w:rPr>
        <w:t>0</w:t>
      </w:r>
      <w:r>
        <w:rPr>
          <w:rFonts w:hint="eastAsia" w:ascii="宋体" w:hAnsi="宋体" w:cs="宋体"/>
          <w:sz w:val="32"/>
          <w:szCs w:val="32"/>
        </w:rPr>
        <w:t>辆、机要通信用车</w:t>
      </w:r>
      <w:r>
        <w:rPr>
          <w:rFonts w:ascii="??_GB2312" w:hAnsi="??_GB2312" w:cs="??_GB2312"/>
          <w:sz w:val="32"/>
          <w:szCs w:val="32"/>
        </w:rPr>
        <w:t>0</w:t>
      </w:r>
      <w:r>
        <w:rPr>
          <w:rFonts w:hint="eastAsia" w:ascii="宋体" w:hAnsi="宋体" w:cs="宋体"/>
          <w:sz w:val="32"/>
          <w:szCs w:val="32"/>
        </w:rPr>
        <w:t>辆、应急保障车</w:t>
      </w:r>
      <w:r>
        <w:rPr>
          <w:rFonts w:ascii="??_GB2312" w:hAnsi="??_GB2312" w:cs="??_GB2312"/>
          <w:sz w:val="32"/>
          <w:szCs w:val="32"/>
        </w:rPr>
        <w:t>0</w:t>
      </w:r>
      <w:r>
        <w:rPr>
          <w:rFonts w:hint="eastAsia" w:ascii="宋体" w:hAnsi="宋体" w:cs="宋体"/>
          <w:sz w:val="32"/>
          <w:szCs w:val="32"/>
        </w:rPr>
        <w:t>辆、执法执勤用车</w:t>
      </w:r>
      <w:r>
        <w:rPr>
          <w:rFonts w:ascii="??_GB2312" w:hAnsi="??_GB2312" w:cs="??_GB2312"/>
          <w:sz w:val="32"/>
          <w:szCs w:val="32"/>
        </w:rPr>
        <w:t>0</w:t>
      </w:r>
      <w:r>
        <w:rPr>
          <w:rFonts w:hint="eastAsia" w:ascii="宋体" w:hAnsi="宋体" w:cs="宋体"/>
          <w:sz w:val="32"/>
          <w:szCs w:val="32"/>
        </w:rPr>
        <w:t>辆、特种专业技术用车</w:t>
      </w:r>
      <w:r>
        <w:rPr>
          <w:rFonts w:ascii="??_GB2312" w:hAnsi="??_GB2312" w:cs="??_GB2312"/>
          <w:sz w:val="32"/>
          <w:szCs w:val="32"/>
        </w:rPr>
        <w:t>0</w:t>
      </w:r>
      <w:r>
        <w:rPr>
          <w:rFonts w:hint="eastAsia" w:ascii="宋体" w:hAnsi="宋体" w:cs="宋体"/>
          <w:sz w:val="32"/>
          <w:szCs w:val="32"/>
        </w:rPr>
        <w:t>辆、离退休干部用车</w:t>
      </w:r>
      <w:r>
        <w:rPr>
          <w:rFonts w:ascii="??_GB2312" w:hAnsi="??_GB2312" w:cs="??_GB2312"/>
          <w:sz w:val="32"/>
          <w:szCs w:val="32"/>
        </w:rPr>
        <w:t>0</w:t>
      </w:r>
      <w:r>
        <w:rPr>
          <w:rFonts w:hint="eastAsia" w:ascii="宋体" w:hAnsi="宋体" w:cs="宋体"/>
          <w:sz w:val="32"/>
          <w:szCs w:val="32"/>
        </w:rPr>
        <w:t>辆、其他用车</w:t>
      </w:r>
      <w:r>
        <w:rPr>
          <w:rFonts w:ascii="??_GB2312" w:hAnsi="??_GB2312" w:cs="??_GB2312"/>
          <w:sz w:val="32"/>
          <w:szCs w:val="32"/>
        </w:rPr>
        <w:t>0</w:t>
      </w:r>
      <w:r>
        <w:rPr>
          <w:rFonts w:hint="eastAsia" w:ascii="宋体" w:hAnsi="宋体" w:cs="宋体"/>
          <w:sz w:val="32"/>
          <w:szCs w:val="32"/>
        </w:rPr>
        <w:t>辆；单位价值</w:t>
      </w:r>
      <w:r>
        <w:rPr>
          <w:rFonts w:ascii="??_GB2312" w:hAnsi="??_GB2312" w:cs="??_GB2312"/>
          <w:sz w:val="32"/>
          <w:szCs w:val="32"/>
        </w:rPr>
        <w:t>50</w:t>
      </w:r>
      <w:r>
        <w:rPr>
          <w:rFonts w:hint="eastAsia" w:ascii="宋体" w:hAnsi="宋体" w:cs="宋体"/>
          <w:sz w:val="32"/>
          <w:szCs w:val="32"/>
        </w:rPr>
        <w:t>万元以上通用设备</w:t>
      </w:r>
      <w:r>
        <w:rPr>
          <w:rFonts w:ascii="??_GB2312" w:hAnsi="??_GB2312" w:cs="??_GB2312"/>
          <w:sz w:val="32"/>
          <w:szCs w:val="32"/>
        </w:rPr>
        <w:t>0</w:t>
      </w:r>
      <w:r>
        <w:rPr>
          <w:rFonts w:hint="eastAsia" w:ascii="宋体" w:hAnsi="宋体" w:cs="宋体"/>
          <w:sz w:val="32"/>
          <w:szCs w:val="32"/>
        </w:rPr>
        <w:t>台（套），单位价值</w:t>
      </w:r>
      <w:r>
        <w:rPr>
          <w:rFonts w:ascii="??_GB2312" w:hAnsi="??_GB2312" w:cs="??_GB2312"/>
          <w:sz w:val="32"/>
          <w:szCs w:val="32"/>
        </w:rPr>
        <w:t>100</w:t>
      </w:r>
      <w:r>
        <w:rPr>
          <w:rFonts w:hint="eastAsia" w:ascii="宋体" w:hAnsi="宋体" w:cs="宋体"/>
          <w:sz w:val="32"/>
          <w:szCs w:val="32"/>
        </w:rPr>
        <w:t>万元以上专用设</w:t>
      </w:r>
      <w:r>
        <w:rPr>
          <w:rFonts w:ascii="??_GB2312" w:hAnsi="??_GB2312" w:cs="??_GB2312"/>
          <w:sz w:val="32"/>
          <w:szCs w:val="32"/>
        </w:rPr>
        <w:t>0</w:t>
      </w:r>
      <w:r>
        <w:rPr>
          <w:rFonts w:hint="eastAsia" w:ascii="宋体" w:hAnsi="宋体" w:cs="宋体"/>
          <w:sz w:val="32"/>
          <w:szCs w:val="32"/>
        </w:rPr>
        <w:t>台（套）。</w:t>
      </w:r>
    </w:p>
    <w:p>
      <w:pPr>
        <w:widowControl/>
        <w:kinsoku w:val="0"/>
        <w:overflowPunct w:val="0"/>
        <w:autoSpaceDE w:val="0"/>
        <w:autoSpaceDN w:val="0"/>
        <w:adjustRightInd w:val="0"/>
        <w:snapToGrid w:val="0"/>
        <w:spacing w:line="540" w:lineRule="exact"/>
        <w:rPr>
          <w:rFonts w:ascii="??_GB2312" w:hAnsi="??_GB2312" w:cs="??_GB2312"/>
          <w:sz w:val="32"/>
          <w:szCs w:val="32"/>
        </w:rPr>
        <w:sectPr>
          <w:pgSz w:w="11905" w:h="16840"/>
          <w:pgMar w:top="1580" w:right="1240" w:bottom="1180" w:left="1400" w:header="0" w:footer="982" w:gutter="0"/>
          <w:pgNumType w:fmt="numberInDash"/>
          <w:cols w:space="720" w:num="1"/>
        </w:sectPr>
      </w:pPr>
    </w:p>
    <w:p>
      <w:pPr>
        <w:tabs>
          <w:tab w:val="left" w:pos="1528"/>
          <w:tab w:val="center" w:pos="4153"/>
        </w:tabs>
        <w:ind w:firstLine="2880" w:firstLineChars="600"/>
        <w:jc w:val="left"/>
        <w:outlineLvl w:val="0"/>
        <w:rPr>
          <w:rFonts w:ascii="隶书" w:hAnsi="隶书" w:eastAsia="隶书" w:cs="隶书"/>
          <w:sz w:val="48"/>
          <w:szCs w:val="48"/>
        </w:rPr>
      </w:pPr>
    </w:p>
    <w:p>
      <w:pPr>
        <w:tabs>
          <w:tab w:val="left" w:pos="1528"/>
          <w:tab w:val="center" w:pos="4153"/>
        </w:tabs>
        <w:ind w:firstLine="2880" w:firstLineChars="600"/>
        <w:jc w:val="left"/>
        <w:outlineLvl w:val="0"/>
        <w:rPr>
          <w:rFonts w:ascii="隶书" w:hAnsi="隶书" w:eastAsia="隶书" w:cs="隶书"/>
          <w:sz w:val="48"/>
          <w:szCs w:val="48"/>
        </w:rPr>
      </w:pPr>
    </w:p>
    <w:p>
      <w:pPr>
        <w:tabs>
          <w:tab w:val="left" w:pos="1528"/>
          <w:tab w:val="center" w:pos="4153"/>
        </w:tabs>
        <w:ind w:firstLine="2880" w:firstLineChars="600"/>
        <w:jc w:val="left"/>
        <w:outlineLvl w:val="0"/>
        <w:rPr>
          <w:rFonts w:ascii="隶书" w:hAnsi="隶书" w:eastAsia="隶书" w:cs="隶书"/>
          <w:sz w:val="48"/>
          <w:szCs w:val="48"/>
        </w:rPr>
      </w:pPr>
    </w:p>
    <w:p>
      <w:pPr>
        <w:tabs>
          <w:tab w:val="left" w:pos="1528"/>
          <w:tab w:val="center" w:pos="4153"/>
        </w:tabs>
        <w:ind w:firstLine="2880" w:firstLineChars="600"/>
        <w:jc w:val="left"/>
        <w:outlineLvl w:val="0"/>
        <w:rPr>
          <w:rFonts w:ascii="隶书" w:hAnsi="隶书" w:eastAsia="隶书" w:cs="隶书"/>
          <w:sz w:val="48"/>
          <w:szCs w:val="48"/>
        </w:rPr>
      </w:pPr>
    </w:p>
    <w:p>
      <w:pPr>
        <w:tabs>
          <w:tab w:val="left" w:pos="1528"/>
          <w:tab w:val="center" w:pos="4153"/>
        </w:tabs>
        <w:ind w:firstLine="2880" w:firstLineChars="600"/>
        <w:jc w:val="left"/>
        <w:outlineLvl w:val="0"/>
        <w:rPr>
          <w:rFonts w:ascii="隶书" w:hAnsi="隶书" w:eastAsia="隶书" w:cs="隶书"/>
          <w:sz w:val="48"/>
          <w:szCs w:val="48"/>
        </w:rPr>
      </w:pPr>
      <w:r>
        <w:rPr>
          <w:rFonts w:hint="eastAsia" w:ascii="隶书" w:hAnsi="隶书" w:eastAsia="隶书" w:cs="隶书"/>
          <w:sz w:val="48"/>
          <w:szCs w:val="48"/>
        </w:rPr>
        <w:t>第</w:t>
      </w:r>
      <w:r>
        <w:rPr>
          <w:rFonts w:ascii="隶书" w:hAnsi="隶书" w:eastAsia="隶书" w:cs="隶书"/>
          <w:sz w:val="48"/>
          <w:szCs w:val="48"/>
        </w:rPr>
        <w:t xml:space="preserve"> </w:t>
      </w:r>
      <w:r>
        <w:rPr>
          <w:rFonts w:hint="eastAsia" w:ascii="隶书" w:hAnsi="隶书" w:eastAsia="隶书" w:cs="隶书"/>
          <w:sz w:val="48"/>
          <w:szCs w:val="48"/>
        </w:rPr>
        <w:t>三</w:t>
      </w:r>
      <w:r>
        <w:rPr>
          <w:rFonts w:ascii="隶书" w:hAnsi="隶书" w:eastAsia="隶书" w:cs="隶书"/>
          <w:sz w:val="48"/>
          <w:szCs w:val="48"/>
        </w:rPr>
        <w:t xml:space="preserve"> </w:t>
      </w:r>
      <w:r>
        <w:rPr>
          <w:rFonts w:hint="eastAsia" w:ascii="隶书" w:hAnsi="隶书" w:eastAsia="隶书" w:cs="隶书"/>
          <w:sz w:val="48"/>
          <w:szCs w:val="48"/>
        </w:rPr>
        <w:t>部</w:t>
      </w:r>
      <w:r>
        <w:rPr>
          <w:rFonts w:ascii="隶书" w:hAnsi="隶书" w:eastAsia="隶书" w:cs="隶书"/>
          <w:sz w:val="48"/>
          <w:szCs w:val="48"/>
        </w:rPr>
        <w:t xml:space="preserve"> </w:t>
      </w:r>
      <w:r>
        <w:rPr>
          <w:rFonts w:hint="eastAsia" w:ascii="隶书" w:hAnsi="隶书" w:eastAsia="隶书" w:cs="隶书"/>
          <w:sz w:val="48"/>
          <w:szCs w:val="48"/>
        </w:rPr>
        <w:t>分</w:t>
      </w:r>
      <w:r>
        <w:rPr>
          <w:rFonts w:ascii="隶书" w:hAnsi="隶书" w:eastAsia="隶书" w:cs="隶书"/>
          <w:sz w:val="48"/>
          <w:szCs w:val="48"/>
        </w:rPr>
        <w:t xml:space="preserve"> </w:t>
      </w:r>
    </w:p>
    <w:p>
      <w:pPr>
        <w:tabs>
          <w:tab w:val="left" w:pos="1528"/>
          <w:tab w:val="center" w:pos="4153"/>
        </w:tabs>
        <w:ind w:firstLine="2880" w:firstLineChars="600"/>
        <w:jc w:val="left"/>
        <w:outlineLvl w:val="0"/>
        <w:rPr>
          <w:rFonts w:ascii="隶书" w:hAnsi="隶书" w:eastAsia="隶书" w:cs="隶书"/>
          <w:sz w:val="48"/>
          <w:szCs w:val="48"/>
        </w:rPr>
      </w:pPr>
    </w:p>
    <w:p>
      <w:pPr>
        <w:tabs>
          <w:tab w:val="left" w:pos="1528"/>
          <w:tab w:val="center" w:pos="4153"/>
        </w:tabs>
        <w:ind w:firstLine="2880" w:firstLineChars="600"/>
        <w:jc w:val="left"/>
        <w:outlineLvl w:val="0"/>
        <w:rPr>
          <w:rFonts w:ascii="隶书" w:hAnsi="隶书" w:eastAsia="隶书" w:cs="隶书"/>
          <w:sz w:val="48"/>
          <w:szCs w:val="48"/>
        </w:rPr>
      </w:pPr>
      <w:r>
        <w:rPr>
          <w:rFonts w:hint="eastAsia" w:ascii="隶书" w:hAnsi="隶书" w:eastAsia="隶书" w:cs="隶书"/>
          <w:sz w:val="48"/>
          <w:szCs w:val="48"/>
        </w:rPr>
        <w:t>名</w:t>
      </w:r>
      <w:r>
        <w:rPr>
          <w:rFonts w:ascii="隶书" w:hAnsi="隶书" w:eastAsia="隶书" w:cs="隶书"/>
          <w:sz w:val="48"/>
          <w:szCs w:val="48"/>
        </w:rPr>
        <w:t xml:space="preserve"> </w:t>
      </w:r>
      <w:r>
        <w:rPr>
          <w:rFonts w:hint="eastAsia" w:ascii="隶书" w:hAnsi="隶书" w:eastAsia="隶书" w:cs="隶书"/>
          <w:sz w:val="48"/>
          <w:szCs w:val="48"/>
        </w:rPr>
        <w:t>词</w:t>
      </w:r>
      <w:r>
        <w:rPr>
          <w:rFonts w:ascii="隶书" w:hAnsi="隶书" w:eastAsia="隶书" w:cs="隶书"/>
          <w:sz w:val="48"/>
          <w:szCs w:val="48"/>
        </w:rPr>
        <w:t xml:space="preserve"> </w:t>
      </w:r>
      <w:r>
        <w:rPr>
          <w:rFonts w:hint="eastAsia" w:ascii="隶书" w:hAnsi="隶书" w:eastAsia="隶书" w:cs="隶书"/>
          <w:sz w:val="48"/>
          <w:szCs w:val="48"/>
        </w:rPr>
        <w:t>解</w:t>
      </w:r>
      <w:r>
        <w:rPr>
          <w:rFonts w:ascii="隶书" w:hAnsi="隶书" w:eastAsia="隶书" w:cs="隶书"/>
          <w:sz w:val="48"/>
          <w:szCs w:val="48"/>
        </w:rPr>
        <w:t xml:space="preserve"> </w:t>
      </w:r>
      <w:r>
        <w:rPr>
          <w:rFonts w:hint="eastAsia" w:ascii="隶书" w:hAnsi="隶书" w:eastAsia="隶书" w:cs="隶书"/>
          <w:sz w:val="48"/>
          <w:szCs w:val="48"/>
        </w:rPr>
        <w:t>释</w:t>
      </w:r>
    </w:p>
    <w:p>
      <w:pPr>
        <w:tabs>
          <w:tab w:val="left" w:pos="1528"/>
          <w:tab w:val="center" w:pos="4153"/>
        </w:tabs>
        <w:jc w:val="left"/>
        <w:outlineLvl w:val="0"/>
        <w:rPr>
          <w:rFonts w:ascii="隶书" w:hAnsi="隶书" w:eastAsia="隶书" w:cs="隶书"/>
          <w:sz w:val="48"/>
          <w:szCs w:val="48"/>
        </w:rPr>
      </w:pPr>
    </w:p>
    <w:p>
      <w:pPr>
        <w:widowControl/>
        <w:kinsoku w:val="0"/>
        <w:overflowPunct w:val="0"/>
        <w:autoSpaceDE w:val="0"/>
        <w:autoSpaceDN w:val="0"/>
        <w:adjustRightInd w:val="0"/>
        <w:snapToGrid w:val="0"/>
        <w:spacing w:line="560" w:lineRule="exact"/>
        <w:ind w:left="420" w:leftChars="200"/>
        <w:rPr>
          <w:rFonts w:ascii="??_GB2312" w:hAnsi="宋体" w:cs="Courier New"/>
          <w:b/>
          <w:bCs/>
          <w:sz w:val="32"/>
          <w:szCs w:val="32"/>
        </w:rPr>
      </w:pPr>
    </w:p>
    <w:p>
      <w:pPr>
        <w:widowControl/>
        <w:kinsoku w:val="0"/>
        <w:overflowPunct w:val="0"/>
        <w:autoSpaceDE w:val="0"/>
        <w:autoSpaceDN w:val="0"/>
        <w:adjustRightInd w:val="0"/>
        <w:snapToGrid w:val="0"/>
        <w:spacing w:line="560" w:lineRule="exact"/>
        <w:ind w:left="420" w:leftChars="200"/>
        <w:rPr>
          <w:rFonts w:ascii="??_GB2312" w:hAnsi="宋体" w:cs="Courier New"/>
          <w:b/>
          <w:bCs/>
          <w:sz w:val="32"/>
          <w:szCs w:val="32"/>
        </w:rPr>
      </w:pPr>
    </w:p>
    <w:p>
      <w:pPr>
        <w:widowControl/>
        <w:kinsoku w:val="0"/>
        <w:overflowPunct w:val="0"/>
        <w:autoSpaceDE w:val="0"/>
        <w:autoSpaceDN w:val="0"/>
        <w:adjustRightInd w:val="0"/>
        <w:snapToGrid w:val="0"/>
        <w:spacing w:line="560" w:lineRule="exact"/>
        <w:ind w:left="420" w:leftChars="200"/>
        <w:rPr>
          <w:rFonts w:ascii="??_GB2312" w:hAnsi="宋体" w:cs="Courier New"/>
          <w:b/>
          <w:bCs/>
          <w:sz w:val="32"/>
          <w:szCs w:val="32"/>
        </w:rPr>
      </w:pPr>
    </w:p>
    <w:p>
      <w:pPr>
        <w:widowControl/>
        <w:kinsoku w:val="0"/>
        <w:overflowPunct w:val="0"/>
        <w:autoSpaceDE w:val="0"/>
        <w:autoSpaceDN w:val="0"/>
        <w:adjustRightInd w:val="0"/>
        <w:snapToGrid w:val="0"/>
        <w:spacing w:line="560" w:lineRule="exact"/>
        <w:ind w:left="420" w:leftChars="200"/>
        <w:rPr>
          <w:rFonts w:ascii="??_GB2312" w:hAnsi="宋体" w:cs="Courier New"/>
          <w:b/>
          <w:bCs/>
          <w:sz w:val="32"/>
          <w:szCs w:val="32"/>
        </w:rPr>
      </w:pPr>
    </w:p>
    <w:p>
      <w:pPr>
        <w:widowControl/>
        <w:kinsoku w:val="0"/>
        <w:overflowPunct w:val="0"/>
        <w:autoSpaceDE w:val="0"/>
        <w:autoSpaceDN w:val="0"/>
        <w:adjustRightInd w:val="0"/>
        <w:snapToGrid w:val="0"/>
        <w:spacing w:line="560" w:lineRule="exact"/>
        <w:ind w:left="420" w:leftChars="200"/>
        <w:rPr>
          <w:rFonts w:ascii="??_GB2312" w:hAnsi="宋体" w:cs="Courier New"/>
          <w:b/>
          <w:bCs/>
          <w:sz w:val="32"/>
          <w:szCs w:val="32"/>
        </w:rPr>
      </w:pPr>
    </w:p>
    <w:p>
      <w:pPr>
        <w:widowControl/>
        <w:kinsoku w:val="0"/>
        <w:overflowPunct w:val="0"/>
        <w:autoSpaceDE w:val="0"/>
        <w:autoSpaceDN w:val="0"/>
        <w:adjustRightInd w:val="0"/>
        <w:snapToGrid w:val="0"/>
        <w:spacing w:line="560" w:lineRule="exact"/>
        <w:ind w:left="420" w:leftChars="200"/>
        <w:rPr>
          <w:rFonts w:ascii="??_GB2312" w:hAnsi="宋体" w:cs="Courier New"/>
          <w:b/>
          <w:bCs/>
          <w:sz w:val="32"/>
          <w:szCs w:val="32"/>
        </w:rPr>
      </w:pPr>
    </w:p>
    <w:p>
      <w:pPr>
        <w:widowControl/>
        <w:kinsoku w:val="0"/>
        <w:overflowPunct w:val="0"/>
        <w:autoSpaceDE w:val="0"/>
        <w:autoSpaceDN w:val="0"/>
        <w:adjustRightInd w:val="0"/>
        <w:snapToGrid w:val="0"/>
        <w:spacing w:line="560" w:lineRule="exact"/>
        <w:ind w:left="420" w:leftChars="200"/>
        <w:rPr>
          <w:rFonts w:ascii="??_GB2312" w:hAnsi="宋体" w:cs="Courier New"/>
          <w:b/>
          <w:bCs/>
          <w:sz w:val="32"/>
          <w:szCs w:val="32"/>
        </w:rPr>
      </w:pPr>
    </w:p>
    <w:p>
      <w:pPr>
        <w:widowControl/>
        <w:kinsoku w:val="0"/>
        <w:overflowPunct w:val="0"/>
        <w:autoSpaceDE w:val="0"/>
        <w:autoSpaceDN w:val="0"/>
        <w:adjustRightInd w:val="0"/>
        <w:snapToGrid w:val="0"/>
        <w:spacing w:line="560" w:lineRule="exact"/>
        <w:ind w:left="420" w:leftChars="200"/>
        <w:rPr>
          <w:rFonts w:ascii="??_GB2312" w:hAnsi="宋体" w:cs="Courier New"/>
          <w:b/>
          <w:bCs/>
          <w:sz w:val="32"/>
          <w:szCs w:val="32"/>
        </w:rPr>
      </w:pPr>
    </w:p>
    <w:p>
      <w:pPr>
        <w:widowControl/>
        <w:kinsoku w:val="0"/>
        <w:overflowPunct w:val="0"/>
        <w:autoSpaceDE w:val="0"/>
        <w:autoSpaceDN w:val="0"/>
        <w:adjustRightInd w:val="0"/>
        <w:snapToGrid w:val="0"/>
        <w:spacing w:line="560" w:lineRule="exact"/>
        <w:ind w:left="420" w:leftChars="200"/>
        <w:rPr>
          <w:rFonts w:ascii="??_GB2312" w:hAnsi="宋体" w:cs="Courier New"/>
          <w:b/>
          <w:bCs/>
          <w:sz w:val="32"/>
          <w:szCs w:val="32"/>
        </w:rPr>
      </w:pPr>
    </w:p>
    <w:p>
      <w:pPr>
        <w:widowControl/>
        <w:kinsoku w:val="0"/>
        <w:overflowPunct w:val="0"/>
        <w:autoSpaceDE w:val="0"/>
        <w:autoSpaceDN w:val="0"/>
        <w:adjustRightInd w:val="0"/>
        <w:snapToGrid w:val="0"/>
        <w:spacing w:line="560" w:lineRule="exact"/>
        <w:ind w:left="420" w:leftChars="200"/>
        <w:rPr>
          <w:rFonts w:ascii="??_GB2312" w:hAnsi="宋体" w:cs="Courier New"/>
          <w:b/>
          <w:bCs/>
          <w:sz w:val="32"/>
          <w:szCs w:val="32"/>
        </w:rPr>
      </w:pPr>
    </w:p>
    <w:p>
      <w:pPr>
        <w:widowControl/>
        <w:kinsoku w:val="0"/>
        <w:overflowPunct w:val="0"/>
        <w:autoSpaceDE w:val="0"/>
        <w:autoSpaceDN w:val="0"/>
        <w:adjustRightInd w:val="0"/>
        <w:snapToGrid w:val="0"/>
        <w:spacing w:line="560" w:lineRule="exact"/>
        <w:ind w:left="420" w:leftChars="200"/>
        <w:rPr>
          <w:rFonts w:ascii="??_GB2312" w:hAnsi="宋体" w:cs="Courier New"/>
          <w:b/>
          <w:bCs/>
          <w:sz w:val="32"/>
          <w:szCs w:val="32"/>
        </w:rPr>
      </w:pPr>
    </w:p>
    <w:p>
      <w:pPr>
        <w:widowControl/>
        <w:kinsoku w:val="0"/>
        <w:overflowPunct w:val="0"/>
        <w:autoSpaceDE w:val="0"/>
        <w:autoSpaceDN w:val="0"/>
        <w:adjustRightInd w:val="0"/>
        <w:snapToGrid w:val="0"/>
        <w:spacing w:line="560" w:lineRule="exact"/>
        <w:ind w:left="420" w:leftChars="200"/>
        <w:rPr>
          <w:rFonts w:ascii="??_GB2312" w:hAnsi="宋体" w:cs="Courier New"/>
          <w:b/>
          <w:bCs/>
          <w:sz w:val="32"/>
          <w:szCs w:val="32"/>
        </w:rPr>
      </w:pPr>
    </w:p>
    <w:p>
      <w:pPr>
        <w:widowControl/>
        <w:spacing w:line="590" w:lineRule="exact"/>
        <w:ind w:firstLine="640" w:firstLineChars="200"/>
        <w:jc w:val="left"/>
        <w:rPr>
          <w:rFonts w:ascii="??_GB2312" w:hAnsi="??_GB2312" w:cs="??_GB2312"/>
          <w:sz w:val="32"/>
          <w:szCs w:val="32"/>
        </w:rPr>
      </w:pPr>
      <w:r>
        <w:rPr>
          <w:rFonts w:hint="eastAsia" w:ascii="宋体" w:hAnsi="宋体" w:cs="宋体"/>
          <w:sz w:val="32"/>
          <w:szCs w:val="32"/>
        </w:rPr>
        <w:t>一、财政拨款收入：单位从同级政府财政部门取得的财政预算资金。</w:t>
      </w:r>
    </w:p>
    <w:p>
      <w:pPr>
        <w:widowControl/>
        <w:spacing w:line="590" w:lineRule="exact"/>
        <w:ind w:firstLine="640" w:firstLineChars="200"/>
        <w:jc w:val="left"/>
        <w:rPr>
          <w:rFonts w:ascii="??_GB2312" w:hAnsi="??_GB2312" w:cs="??_GB2312"/>
          <w:sz w:val="32"/>
          <w:szCs w:val="32"/>
        </w:rPr>
      </w:pPr>
      <w:r>
        <w:rPr>
          <w:rFonts w:hint="eastAsia" w:ascii="宋体" w:hAnsi="宋体" w:cs="宋体"/>
          <w:sz w:val="32"/>
          <w:szCs w:val="32"/>
        </w:rPr>
        <w:t>二、事业收入：事业单位开展专业业务活动及其辅助活动取得的收入。</w:t>
      </w:r>
    </w:p>
    <w:p>
      <w:pPr>
        <w:widowControl/>
        <w:spacing w:line="590" w:lineRule="exact"/>
        <w:ind w:firstLine="640" w:firstLineChars="200"/>
        <w:jc w:val="left"/>
        <w:rPr>
          <w:rFonts w:ascii="??_GB2312" w:hAnsi="??_GB2312" w:cs="??_GB2312"/>
          <w:sz w:val="32"/>
          <w:szCs w:val="32"/>
        </w:rPr>
      </w:pPr>
      <w:r>
        <w:rPr>
          <w:rFonts w:hint="eastAsia" w:ascii="宋体" w:hAnsi="宋体" w:cs="宋体"/>
          <w:sz w:val="32"/>
          <w:szCs w:val="32"/>
        </w:rPr>
        <w:t>三、上级补助收入：事业单位从主管部门和上级单位取得的非财政补助收入。</w:t>
      </w:r>
    </w:p>
    <w:p>
      <w:pPr>
        <w:widowControl/>
        <w:spacing w:line="590" w:lineRule="exact"/>
        <w:ind w:firstLine="640" w:firstLineChars="200"/>
        <w:jc w:val="left"/>
        <w:rPr>
          <w:rFonts w:ascii="??_GB2312" w:hAnsi="??_GB2312" w:cs="??_GB2312"/>
          <w:sz w:val="32"/>
          <w:szCs w:val="32"/>
        </w:rPr>
      </w:pPr>
      <w:r>
        <w:rPr>
          <w:rFonts w:hint="eastAsia" w:ascii="宋体" w:hAnsi="宋体" w:cs="宋体"/>
          <w:sz w:val="32"/>
          <w:szCs w:val="32"/>
        </w:rPr>
        <w:t>四、附属单位上缴收入：事业单位取得附属独立核算单位根据有关规定上缴的收入。</w:t>
      </w:r>
    </w:p>
    <w:p>
      <w:pPr>
        <w:widowControl/>
        <w:spacing w:line="590" w:lineRule="exact"/>
        <w:ind w:firstLine="640" w:firstLineChars="200"/>
        <w:jc w:val="left"/>
        <w:rPr>
          <w:rFonts w:ascii="??_GB2312" w:hAnsi="??_GB2312" w:cs="??_GB2312"/>
          <w:sz w:val="32"/>
          <w:szCs w:val="32"/>
        </w:rPr>
      </w:pPr>
      <w:r>
        <w:rPr>
          <w:rFonts w:hint="eastAsia" w:ascii="宋体" w:hAnsi="宋体" w:cs="宋体"/>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_GB2312" w:hAnsi="??_GB2312" w:cs="??_GB2312"/>
          <w:sz w:val="32"/>
          <w:szCs w:val="32"/>
        </w:rPr>
      </w:pPr>
      <w:r>
        <w:rPr>
          <w:rFonts w:hint="eastAsia" w:ascii="宋体" w:hAnsi="宋体" w:cs="宋体"/>
          <w:sz w:val="32"/>
          <w:szCs w:val="32"/>
        </w:rPr>
        <w:t>六、其他收入：单位取得的除</w:t>
      </w:r>
      <w:r>
        <w:rPr>
          <w:rFonts w:ascii="??_GB2312" w:hAnsi="??_GB2312" w:cs="??_GB2312"/>
          <w:sz w:val="32"/>
          <w:szCs w:val="32"/>
        </w:rPr>
        <w:t>“</w:t>
      </w:r>
      <w:r>
        <w:rPr>
          <w:rFonts w:hint="eastAsia" w:ascii="宋体" w:hAnsi="宋体" w:cs="宋体"/>
          <w:sz w:val="32"/>
          <w:szCs w:val="32"/>
        </w:rPr>
        <w:t>财政拨款收入</w:t>
      </w:r>
      <w:r>
        <w:rPr>
          <w:rFonts w:ascii="??_GB2312" w:hAnsi="??_GB2312" w:cs="??_GB2312"/>
          <w:sz w:val="32"/>
          <w:szCs w:val="32"/>
        </w:rPr>
        <w:t>”</w:t>
      </w:r>
      <w:r>
        <w:rPr>
          <w:rFonts w:hint="eastAsia" w:ascii="宋体" w:hAnsi="宋体" w:cs="宋体"/>
          <w:sz w:val="32"/>
          <w:szCs w:val="32"/>
        </w:rPr>
        <w:t>、</w:t>
      </w:r>
      <w:r>
        <w:rPr>
          <w:rFonts w:ascii="??_GB2312" w:hAnsi="??_GB2312" w:cs="??_GB2312"/>
          <w:sz w:val="32"/>
          <w:szCs w:val="32"/>
        </w:rPr>
        <w:t>“</w:t>
      </w:r>
      <w:r>
        <w:rPr>
          <w:rFonts w:hint="eastAsia" w:ascii="宋体" w:hAnsi="宋体" w:cs="宋体"/>
          <w:sz w:val="32"/>
          <w:szCs w:val="32"/>
        </w:rPr>
        <w:t>事业收入</w:t>
      </w:r>
      <w:r>
        <w:rPr>
          <w:rFonts w:ascii="??_GB2312" w:hAnsi="??_GB2312" w:cs="??_GB2312"/>
          <w:sz w:val="32"/>
          <w:szCs w:val="32"/>
        </w:rPr>
        <w:t>”</w:t>
      </w:r>
      <w:r>
        <w:rPr>
          <w:rFonts w:hint="eastAsia" w:ascii="宋体" w:hAnsi="宋体" w:cs="宋体"/>
          <w:sz w:val="32"/>
          <w:szCs w:val="32"/>
        </w:rPr>
        <w:t>、</w:t>
      </w:r>
      <w:r>
        <w:rPr>
          <w:rFonts w:ascii="??_GB2312" w:hAnsi="??_GB2312" w:cs="??_GB2312"/>
          <w:sz w:val="32"/>
          <w:szCs w:val="32"/>
        </w:rPr>
        <w:t>“</w:t>
      </w:r>
      <w:r>
        <w:rPr>
          <w:rFonts w:hint="eastAsia" w:ascii="宋体" w:hAnsi="宋体" w:cs="宋体"/>
          <w:sz w:val="32"/>
          <w:szCs w:val="32"/>
        </w:rPr>
        <w:t>上级补助收入</w:t>
      </w:r>
      <w:r>
        <w:rPr>
          <w:rFonts w:ascii="??_GB2312" w:hAnsi="??_GB2312" w:cs="??_GB2312"/>
          <w:sz w:val="32"/>
          <w:szCs w:val="32"/>
        </w:rPr>
        <w:t>”</w:t>
      </w:r>
      <w:r>
        <w:rPr>
          <w:rFonts w:hint="eastAsia" w:ascii="宋体" w:hAnsi="宋体" w:cs="宋体"/>
          <w:sz w:val="32"/>
          <w:szCs w:val="32"/>
        </w:rPr>
        <w:t>、</w:t>
      </w:r>
      <w:r>
        <w:rPr>
          <w:rFonts w:ascii="??_GB2312" w:hAnsi="??_GB2312" w:cs="??_GB2312"/>
          <w:sz w:val="32"/>
          <w:szCs w:val="32"/>
        </w:rPr>
        <w:t>“</w:t>
      </w:r>
      <w:r>
        <w:rPr>
          <w:rFonts w:hint="eastAsia" w:ascii="宋体" w:hAnsi="宋体" w:cs="宋体"/>
          <w:sz w:val="32"/>
          <w:szCs w:val="32"/>
        </w:rPr>
        <w:t>附属单位上缴收入</w:t>
      </w:r>
      <w:r>
        <w:rPr>
          <w:rFonts w:ascii="??_GB2312" w:hAnsi="??_GB2312" w:cs="??_GB2312"/>
          <w:sz w:val="32"/>
          <w:szCs w:val="32"/>
        </w:rPr>
        <w:t>”</w:t>
      </w:r>
      <w:r>
        <w:rPr>
          <w:rFonts w:hint="eastAsia" w:ascii="宋体" w:hAnsi="宋体" w:cs="宋体"/>
          <w:sz w:val="32"/>
          <w:szCs w:val="32"/>
        </w:rPr>
        <w:t>、</w:t>
      </w:r>
      <w:r>
        <w:rPr>
          <w:rFonts w:ascii="??_GB2312" w:hAnsi="??_GB2312" w:cs="??_GB2312"/>
          <w:sz w:val="32"/>
          <w:szCs w:val="32"/>
        </w:rPr>
        <w:t>“</w:t>
      </w:r>
      <w:r>
        <w:rPr>
          <w:rFonts w:hint="eastAsia" w:ascii="宋体" w:hAnsi="宋体" w:cs="宋体"/>
          <w:sz w:val="32"/>
          <w:szCs w:val="32"/>
        </w:rPr>
        <w:t>经营收入</w:t>
      </w:r>
      <w:r>
        <w:rPr>
          <w:rFonts w:ascii="??_GB2312" w:hAnsi="??_GB2312" w:cs="??_GB2312"/>
          <w:sz w:val="32"/>
          <w:szCs w:val="32"/>
        </w:rPr>
        <w:t>”</w:t>
      </w:r>
      <w:r>
        <w:rPr>
          <w:rFonts w:hint="eastAsia" w:ascii="宋体" w:hAnsi="宋体" w:cs="宋体"/>
          <w:sz w:val="32"/>
          <w:szCs w:val="32"/>
        </w:rPr>
        <w:t>以外的各项收入。</w:t>
      </w:r>
    </w:p>
    <w:p>
      <w:pPr>
        <w:widowControl/>
        <w:spacing w:line="590" w:lineRule="exact"/>
        <w:ind w:firstLine="640" w:firstLineChars="200"/>
        <w:jc w:val="left"/>
        <w:rPr>
          <w:rFonts w:ascii="??_GB2312" w:hAnsi="??_GB2312" w:cs="??_GB2312"/>
          <w:sz w:val="32"/>
          <w:szCs w:val="32"/>
        </w:rPr>
      </w:pPr>
      <w:r>
        <w:rPr>
          <w:rFonts w:hint="eastAsia" w:ascii="宋体" w:hAnsi="宋体" w:cs="宋体"/>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_GB2312" w:hAnsi="??_GB2312" w:cs="??_GB2312"/>
          <w:sz w:val="32"/>
          <w:szCs w:val="32"/>
        </w:rPr>
      </w:pPr>
      <w:r>
        <w:rPr>
          <w:rFonts w:hint="eastAsia" w:ascii="宋体" w:hAnsi="宋体" w:cs="宋体"/>
          <w:sz w:val="32"/>
          <w:szCs w:val="32"/>
        </w:rPr>
        <w:t>八、基本支出：为保障机构正常运转、完成日常工作任务而发生的人员支出和公用支出。</w:t>
      </w:r>
    </w:p>
    <w:p>
      <w:pPr>
        <w:widowControl/>
        <w:spacing w:line="590" w:lineRule="exact"/>
        <w:ind w:firstLine="640" w:firstLineChars="200"/>
        <w:jc w:val="left"/>
        <w:rPr>
          <w:rFonts w:ascii="??_GB2312" w:hAnsi="??_GB2312" w:cs="??_GB2312"/>
          <w:sz w:val="32"/>
          <w:szCs w:val="32"/>
        </w:rPr>
      </w:pPr>
      <w:r>
        <w:rPr>
          <w:rFonts w:hint="eastAsia" w:ascii="宋体" w:hAnsi="宋体" w:cs="宋体"/>
          <w:sz w:val="32"/>
          <w:szCs w:val="32"/>
        </w:rPr>
        <w:t>九、项目支出：基本支出之外为完成特定行政任务和事业发展目标所发生的支出。</w:t>
      </w:r>
    </w:p>
    <w:p>
      <w:pPr>
        <w:widowControl/>
        <w:spacing w:line="590" w:lineRule="exact"/>
        <w:ind w:firstLine="640" w:firstLineChars="200"/>
        <w:jc w:val="left"/>
        <w:rPr>
          <w:rFonts w:ascii="??_GB2312" w:hAnsi="??_GB2312" w:cs="??_GB2312"/>
          <w:sz w:val="32"/>
          <w:szCs w:val="32"/>
        </w:rPr>
      </w:pPr>
      <w:r>
        <w:rPr>
          <w:rFonts w:hint="eastAsia" w:ascii="宋体" w:hAnsi="宋体" w:cs="宋体"/>
          <w:sz w:val="32"/>
          <w:szCs w:val="32"/>
        </w:rPr>
        <w:t>十、</w:t>
      </w:r>
      <w:r>
        <w:rPr>
          <w:rFonts w:ascii="??_GB2312" w:hAnsi="??_GB2312" w:cs="??_GB2312"/>
          <w:sz w:val="32"/>
          <w:szCs w:val="32"/>
        </w:rPr>
        <w:t>“</w:t>
      </w:r>
      <w:r>
        <w:rPr>
          <w:rFonts w:hint="eastAsia" w:ascii="宋体" w:hAnsi="宋体" w:cs="宋体"/>
          <w:sz w:val="32"/>
          <w:szCs w:val="32"/>
        </w:rPr>
        <w:t>三公</w:t>
      </w:r>
      <w:r>
        <w:rPr>
          <w:rFonts w:ascii="??_GB2312" w:hAnsi="??_GB2312" w:cs="??_GB2312"/>
          <w:sz w:val="32"/>
          <w:szCs w:val="32"/>
        </w:rPr>
        <w:t>”</w:t>
      </w:r>
      <w:r>
        <w:rPr>
          <w:rFonts w:hint="eastAsia" w:ascii="宋体" w:hAnsi="宋体" w:cs="宋体"/>
          <w:sz w:val="32"/>
          <w:szCs w:val="32"/>
        </w:rPr>
        <w:t>经费：纳入同级财政预决算管理</w:t>
      </w:r>
      <w:r>
        <w:rPr>
          <w:rFonts w:ascii="??_GB2312" w:hAnsi="??_GB2312" w:cs="??_GB2312"/>
          <w:sz w:val="32"/>
          <w:szCs w:val="32"/>
        </w:rPr>
        <w:t>“</w:t>
      </w:r>
      <w:r>
        <w:rPr>
          <w:rFonts w:hint="eastAsia" w:ascii="宋体" w:hAnsi="宋体" w:cs="宋体"/>
          <w:sz w:val="32"/>
          <w:szCs w:val="32"/>
        </w:rPr>
        <w:t>三公</w:t>
      </w:r>
      <w:r>
        <w:rPr>
          <w:rFonts w:ascii="??_GB2312" w:hAnsi="??_GB2312" w:cs="??_GB2312"/>
          <w:sz w:val="32"/>
          <w:szCs w:val="32"/>
        </w:rPr>
        <w:t>”</w:t>
      </w:r>
      <w:r>
        <w:rPr>
          <w:rFonts w:hint="eastAsia" w:ascii="宋体" w:hAnsi="宋体" w:cs="宋体"/>
          <w:sz w:val="32"/>
          <w:szCs w:val="32"/>
        </w:rPr>
        <w:t>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_GB2312" w:hAnsi="??_GB2312" w:cs="??_GB2312"/>
          <w:sz w:val="32"/>
          <w:szCs w:val="32"/>
        </w:rPr>
      </w:pPr>
      <w:r>
        <w:rPr>
          <w:rFonts w:hint="eastAsia" w:ascii="宋体" w:hAnsi="宋体" w:cs="宋体"/>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_GB2312" w:hAnsi="??_GB2312" w:cs="??_GB2312"/>
          <w:sz w:val="32"/>
          <w:szCs w:val="32"/>
        </w:rPr>
      </w:pPr>
      <w:r>
        <w:rPr>
          <w:rFonts w:hint="eastAsia" w:ascii="宋体" w:hAnsi="宋体" w:cs="宋体"/>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_GB2312" w:hAnsi="??_GB2312" w:cs="??_GB2312"/>
          <w:sz w:val="32"/>
          <w:szCs w:val="32"/>
        </w:rPr>
      </w:pPr>
      <w:r>
        <w:rPr>
          <w:rFonts w:hint="eastAsia" w:ascii="宋体" w:hAnsi="宋体" w:cs="宋体"/>
          <w:sz w:val="32"/>
          <w:szCs w:val="32"/>
        </w:rPr>
        <w:t>十三、商品和服务支出：单位购买商品和服务的支出。</w:t>
      </w:r>
    </w:p>
    <w:p>
      <w:pPr>
        <w:widowControl/>
        <w:spacing w:line="590" w:lineRule="exact"/>
        <w:ind w:firstLine="640" w:firstLineChars="200"/>
        <w:jc w:val="left"/>
        <w:rPr>
          <w:rFonts w:ascii="??_GB2312" w:hAnsi="??_GB2312" w:cs="??_GB2312"/>
          <w:sz w:val="32"/>
          <w:szCs w:val="32"/>
        </w:rPr>
      </w:pPr>
      <w:r>
        <w:rPr>
          <w:rFonts w:hint="eastAsia" w:ascii="宋体" w:hAnsi="宋体" w:cs="宋体"/>
          <w:sz w:val="32"/>
          <w:szCs w:val="32"/>
        </w:rPr>
        <w:t>十四、对个人和家庭的补助支出：单位用于对个人和家庭的补助支出。</w:t>
      </w:r>
    </w:p>
    <w:p>
      <w:pPr>
        <w:widowControl/>
        <w:spacing w:line="590" w:lineRule="exact"/>
        <w:ind w:firstLine="640" w:firstLineChars="200"/>
        <w:jc w:val="left"/>
        <w:rPr>
          <w:rFonts w:ascii="??_GB2312" w:hAnsi="??_GB2312" w:cs="??_GB2312"/>
          <w:sz w:val="32"/>
          <w:szCs w:val="32"/>
        </w:rPr>
      </w:pPr>
      <w:r>
        <w:rPr>
          <w:rFonts w:hint="eastAsia" w:ascii="宋体" w:hAnsi="宋体" w:cs="宋体"/>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_GB2312" w:hAnsi="??_GB2312" w:cs="??_GB2312"/>
          <w:sz w:val="32"/>
          <w:szCs w:val="32"/>
        </w:rPr>
      </w:pPr>
      <w:r>
        <w:rPr>
          <w:rFonts w:hint="eastAsia" w:ascii="宋体" w:hAnsi="宋体" w:cs="宋体"/>
          <w:sz w:val="32"/>
          <w:szCs w:val="32"/>
        </w:rPr>
        <w:t>十六、年末结余：本年度或以前年度预算安排，已执行完毕或因客观条件发生变化无法按原预算安排实施，不需要再使用或无法按原预算安排继续使用的资金。</w:t>
      </w:r>
    </w:p>
    <w:sectPr>
      <w:footerReference r:id="rId8"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- 13 -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BEEB8"/>
    <w:multiLevelType w:val="singleLevel"/>
    <w:tmpl w:val="94ABEEB8"/>
    <w:lvl w:ilvl="0" w:tentative="0">
      <w:start w:val="1"/>
      <w:numFmt w:val="chineseCounting"/>
      <w:suff w:val="nothing"/>
      <w:lvlText w:val="%1、"/>
      <w:lvlJc w:val="left"/>
      <w:pPr>
        <w:ind w:left="321"/>
      </w:pPr>
      <w:rPr>
        <w:rFonts w:hint="eastAsia" w:cs="Times New Roman"/>
      </w:rPr>
    </w:lvl>
  </w:abstractNum>
  <w:abstractNum w:abstractNumId="1">
    <w:nsid w:val="C3F69895"/>
    <w:multiLevelType w:val="singleLevel"/>
    <w:tmpl w:val="C3F69895"/>
    <w:lvl w:ilvl="0" w:tentative="0">
      <w:start w:val="3"/>
      <w:numFmt w:val="chineseCounting"/>
      <w:suff w:val="nothing"/>
      <w:lvlText w:val="(%1）"/>
      <w:lvlJc w:val="left"/>
      <w:rPr>
        <w:rFonts w:hint="eastAsia" w:cs="Times New Roman"/>
      </w:rPr>
    </w:lvl>
  </w:abstractNum>
  <w:abstractNum w:abstractNumId="2">
    <w:nsid w:val="CA0EFA4B"/>
    <w:multiLevelType w:val="singleLevel"/>
    <w:tmpl w:val="CA0EFA4B"/>
    <w:lvl w:ilvl="0" w:tentative="0">
      <w:start w:val="3"/>
      <w:numFmt w:val="chineseCounting"/>
      <w:suff w:val="nothing"/>
      <w:lvlText w:val="第%1部分　"/>
      <w:lvlJc w:val="left"/>
      <w:rPr>
        <w:rFonts w:hint="eastAsia" w:cs="Times New Roman"/>
      </w:rPr>
    </w:lvl>
  </w:abstractNum>
  <w:abstractNum w:abstractNumId="3">
    <w:nsid w:val="FFC27528"/>
    <w:multiLevelType w:val="singleLevel"/>
    <w:tmpl w:val="FFC27528"/>
    <w:lvl w:ilvl="0" w:tentative="0">
      <w:start w:val="1"/>
      <w:numFmt w:val="chineseCounting"/>
      <w:suff w:val="nothing"/>
      <w:lvlText w:val="第%1部分　"/>
      <w:lvlJc w:val="left"/>
      <w:rPr>
        <w:rFonts w:hint="eastAsia" w:cs="Times New Roman"/>
      </w:rPr>
    </w:lvl>
  </w:abstractNum>
  <w:abstractNum w:abstractNumId="4">
    <w:nsid w:val="5971BE17"/>
    <w:multiLevelType w:val="singleLevel"/>
    <w:tmpl w:val="5971BE17"/>
    <w:lvl w:ilvl="0" w:tentative="0">
      <w:start w:val="1"/>
      <w:numFmt w:val="chineseCounting"/>
      <w:suff w:val="nothing"/>
      <w:lvlText w:val="%1、"/>
      <w:lvlJc w:val="left"/>
      <w:rPr>
        <w:rFonts w:cs="Times New Roman"/>
      </w:rPr>
    </w:lvl>
  </w:abstractNum>
  <w:abstractNum w:abstractNumId="5">
    <w:nsid w:val="5971C193"/>
    <w:multiLevelType w:val="singleLevel"/>
    <w:tmpl w:val="5971C193"/>
    <w:lvl w:ilvl="0" w:tentative="0">
      <w:start w:val="2"/>
      <w:numFmt w:val="chineseCounting"/>
      <w:suff w:val="nothing"/>
      <w:lvlText w:val="%1、"/>
      <w:lvlJc w:val="left"/>
      <w:rPr>
        <w:rFonts w:cs="Times New Roman"/>
      </w:rPr>
    </w:lvl>
  </w:abstractNum>
  <w:abstractNum w:abstractNumId="6">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7">
    <w:nsid w:val="7CBC503B"/>
    <w:multiLevelType w:val="singleLevel"/>
    <w:tmpl w:val="7CBC503B"/>
    <w:lvl w:ilvl="0" w:tentative="0">
      <w:start w:val="8"/>
      <w:numFmt w:val="chineseCounting"/>
      <w:suff w:val="nothing"/>
      <w:lvlText w:val="%1、"/>
      <w:lvlJc w:val="left"/>
      <w:rPr>
        <w:rFonts w:hint="eastAsia" w:cs="Times New Roman"/>
      </w:rPr>
    </w:lvl>
  </w:abstractNum>
  <w:num w:numId="1">
    <w:abstractNumId w:val="4"/>
  </w:num>
  <w:num w:numId="2">
    <w:abstractNumId w:val="2"/>
  </w:num>
  <w:num w:numId="3">
    <w:abstractNumId w:val="0"/>
  </w:num>
  <w:num w:numId="4">
    <w:abstractNumId w:val="3"/>
  </w:num>
  <w:num w:numId="5">
    <w:abstractNumId w:val="5"/>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2A85"/>
    <w:rsid w:val="000633B4"/>
    <w:rsid w:val="00087C64"/>
    <w:rsid w:val="00092801"/>
    <w:rsid w:val="000A1AF0"/>
    <w:rsid w:val="00115D95"/>
    <w:rsid w:val="00131A71"/>
    <w:rsid w:val="0017112E"/>
    <w:rsid w:val="00172A27"/>
    <w:rsid w:val="00182B3D"/>
    <w:rsid w:val="001B27FA"/>
    <w:rsid w:val="001E5528"/>
    <w:rsid w:val="00244CDE"/>
    <w:rsid w:val="002504AF"/>
    <w:rsid w:val="00253D82"/>
    <w:rsid w:val="00257A2B"/>
    <w:rsid w:val="002970EB"/>
    <w:rsid w:val="002C100F"/>
    <w:rsid w:val="002F602B"/>
    <w:rsid w:val="00343B95"/>
    <w:rsid w:val="003B33DE"/>
    <w:rsid w:val="00402C74"/>
    <w:rsid w:val="00474E19"/>
    <w:rsid w:val="00475AB4"/>
    <w:rsid w:val="004C11C3"/>
    <w:rsid w:val="004D36BB"/>
    <w:rsid w:val="0050293C"/>
    <w:rsid w:val="00503F16"/>
    <w:rsid w:val="00630D31"/>
    <w:rsid w:val="00684091"/>
    <w:rsid w:val="006A4A30"/>
    <w:rsid w:val="007115FD"/>
    <w:rsid w:val="00714AE9"/>
    <w:rsid w:val="00722A27"/>
    <w:rsid w:val="007E3287"/>
    <w:rsid w:val="00864BD4"/>
    <w:rsid w:val="00885313"/>
    <w:rsid w:val="00900575"/>
    <w:rsid w:val="00A215B0"/>
    <w:rsid w:val="00A32DC5"/>
    <w:rsid w:val="00AB7377"/>
    <w:rsid w:val="00AD1D03"/>
    <w:rsid w:val="00AF7B15"/>
    <w:rsid w:val="00B408E9"/>
    <w:rsid w:val="00B54309"/>
    <w:rsid w:val="00B67A63"/>
    <w:rsid w:val="00B84FB0"/>
    <w:rsid w:val="00BA37FF"/>
    <w:rsid w:val="00BE3874"/>
    <w:rsid w:val="00C57D7B"/>
    <w:rsid w:val="00C6444A"/>
    <w:rsid w:val="00CB01CF"/>
    <w:rsid w:val="00D03335"/>
    <w:rsid w:val="00D53403"/>
    <w:rsid w:val="00D9092F"/>
    <w:rsid w:val="00DA276F"/>
    <w:rsid w:val="00DB1C77"/>
    <w:rsid w:val="00DD5457"/>
    <w:rsid w:val="00E21B07"/>
    <w:rsid w:val="00E32E02"/>
    <w:rsid w:val="00EA2176"/>
    <w:rsid w:val="00EA386D"/>
    <w:rsid w:val="00ED38A5"/>
    <w:rsid w:val="00FB7A85"/>
    <w:rsid w:val="00FF5736"/>
    <w:rsid w:val="014E6FC3"/>
    <w:rsid w:val="01F21A60"/>
    <w:rsid w:val="026651AD"/>
    <w:rsid w:val="027033B1"/>
    <w:rsid w:val="03240ECA"/>
    <w:rsid w:val="039F513A"/>
    <w:rsid w:val="03EE1375"/>
    <w:rsid w:val="04453648"/>
    <w:rsid w:val="04815C56"/>
    <w:rsid w:val="07F31BEE"/>
    <w:rsid w:val="084D7413"/>
    <w:rsid w:val="08A93228"/>
    <w:rsid w:val="08FB3159"/>
    <w:rsid w:val="09BB2134"/>
    <w:rsid w:val="0A1828B8"/>
    <w:rsid w:val="0A621AA9"/>
    <w:rsid w:val="0B2F2152"/>
    <w:rsid w:val="0CCB4709"/>
    <w:rsid w:val="0CED2608"/>
    <w:rsid w:val="0F77102B"/>
    <w:rsid w:val="0FAB2FE6"/>
    <w:rsid w:val="0FEF0DE6"/>
    <w:rsid w:val="10B758AE"/>
    <w:rsid w:val="10BC3851"/>
    <w:rsid w:val="113E646F"/>
    <w:rsid w:val="117A0571"/>
    <w:rsid w:val="118F46EF"/>
    <w:rsid w:val="13070A58"/>
    <w:rsid w:val="13652465"/>
    <w:rsid w:val="147E551D"/>
    <w:rsid w:val="14D2458E"/>
    <w:rsid w:val="150B6848"/>
    <w:rsid w:val="15492582"/>
    <w:rsid w:val="17965762"/>
    <w:rsid w:val="17BE6092"/>
    <w:rsid w:val="184F4EC3"/>
    <w:rsid w:val="18DD5C34"/>
    <w:rsid w:val="1A624019"/>
    <w:rsid w:val="1C1F61CB"/>
    <w:rsid w:val="1C3B117F"/>
    <w:rsid w:val="1C657A49"/>
    <w:rsid w:val="1D5C194D"/>
    <w:rsid w:val="1D5D32B5"/>
    <w:rsid w:val="1D727095"/>
    <w:rsid w:val="1D7F41B4"/>
    <w:rsid w:val="1E2566FD"/>
    <w:rsid w:val="1E7D3B34"/>
    <w:rsid w:val="20F5460F"/>
    <w:rsid w:val="212E5315"/>
    <w:rsid w:val="216022AF"/>
    <w:rsid w:val="224B31CA"/>
    <w:rsid w:val="254B33D1"/>
    <w:rsid w:val="256D2254"/>
    <w:rsid w:val="25B11DCE"/>
    <w:rsid w:val="27507D70"/>
    <w:rsid w:val="28270281"/>
    <w:rsid w:val="29621C7E"/>
    <w:rsid w:val="2983760E"/>
    <w:rsid w:val="29B13F52"/>
    <w:rsid w:val="29ED2241"/>
    <w:rsid w:val="2ACE51FA"/>
    <w:rsid w:val="2BA4769A"/>
    <w:rsid w:val="2C654BE7"/>
    <w:rsid w:val="2C8F6BCF"/>
    <w:rsid w:val="2CC075DB"/>
    <w:rsid w:val="2CD06EF4"/>
    <w:rsid w:val="2D800348"/>
    <w:rsid w:val="2D9D4DA5"/>
    <w:rsid w:val="2DBF18D1"/>
    <w:rsid w:val="2DD25EE7"/>
    <w:rsid w:val="2F47056C"/>
    <w:rsid w:val="307652F7"/>
    <w:rsid w:val="30975F98"/>
    <w:rsid w:val="325F6EF2"/>
    <w:rsid w:val="32EF005E"/>
    <w:rsid w:val="32EF40CE"/>
    <w:rsid w:val="33A76F4E"/>
    <w:rsid w:val="34416F30"/>
    <w:rsid w:val="364D690A"/>
    <w:rsid w:val="36FA2471"/>
    <w:rsid w:val="372974AC"/>
    <w:rsid w:val="38262F47"/>
    <w:rsid w:val="387A603B"/>
    <w:rsid w:val="39637962"/>
    <w:rsid w:val="397510B0"/>
    <w:rsid w:val="39967F15"/>
    <w:rsid w:val="3AE7177F"/>
    <w:rsid w:val="3C5769C0"/>
    <w:rsid w:val="3D8B615C"/>
    <w:rsid w:val="3EA437AD"/>
    <w:rsid w:val="3EB258D2"/>
    <w:rsid w:val="3EEE22CD"/>
    <w:rsid w:val="3F081D17"/>
    <w:rsid w:val="3FCD07F4"/>
    <w:rsid w:val="41CF71DE"/>
    <w:rsid w:val="42271DDB"/>
    <w:rsid w:val="42563EC6"/>
    <w:rsid w:val="43E82B9D"/>
    <w:rsid w:val="457B1C96"/>
    <w:rsid w:val="468900BD"/>
    <w:rsid w:val="469E046B"/>
    <w:rsid w:val="477D716C"/>
    <w:rsid w:val="48B52937"/>
    <w:rsid w:val="48C00F7D"/>
    <w:rsid w:val="48E2066E"/>
    <w:rsid w:val="48EE3EF3"/>
    <w:rsid w:val="49E178D4"/>
    <w:rsid w:val="4B2D55EB"/>
    <w:rsid w:val="4C1E2F28"/>
    <w:rsid w:val="4CDE14E6"/>
    <w:rsid w:val="4D665E7A"/>
    <w:rsid w:val="4DC81D93"/>
    <w:rsid w:val="4DE20C7C"/>
    <w:rsid w:val="50406649"/>
    <w:rsid w:val="50C2787A"/>
    <w:rsid w:val="5115239B"/>
    <w:rsid w:val="541D6A82"/>
    <w:rsid w:val="544677EE"/>
    <w:rsid w:val="548F348C"/>
    <w:rsid w:val="54E71E1C"/>
    <w:rsid w:val="55EA1009"/>
    <w:rsid w:val="5651051D"/>
    <w:rsid w:val="56F333EF"/>
    <w:rsid w:val="57E961A8"/>
    <w:rsid w:val="581E77CF"/>
    <w:rsid w:val="58B06254"/>
    <w:rsid w:val="5AF25131"/>
    <w:rsid w:val="5BCA31AA"/>
    <w:rsid w:val="5DD56AC2"/>
    <w:rsid w:val="5EB57926"/>
    <w:rsid w:val="5F130DE5"/>
    <w:rsid w:val="5F8F5A67"/>
    <w:rsid w:val="5F964892"/>
    <w:rsid w:val="5FB578F9"/>
    <w:rsid w:val="600176AC"/>
    <w:rsid w:val="60B8378D"/>
    <w:rsid w:val="60F22670"/>
    <w:rsid w:val="617A16DC"/>
    <w:rsid w:val="627A693C"/>
    <w:rsid w:val="62D27395"/>
    <w:rsid w:val="63E47A19"/>
    <w:rsid w:val="64F806ED"/>
    <w:rsid w:val="664A46E0"/>
    <w:rsid w:val="671709B1"/>
    <w:rsid w:val="6796775E"/>
    <w:rsid w:val="67D84ED8"/>
    <w:rsid w:val="68500770"/>
    <w:rsid w:val="686B0051"/>
    <w:rsid w:val="687C156E"/>
    <w:rsid w:val="68E95CA0"/>
    <w:rsid w:val="68F315DE"/>
    <w:rsid w:val="69677DE2"/>
    <w:rsid w:val="69F84494"/>
    <w:rsid w:val="6A7274C4"/>
    <w:rsid w:val="6ABB6698"/>
    <w:rsid w:val="6AC30185"/>
    <w:rsid w:val="6C4D6241"/>
    <w:rsid w:val="6CF57DFC"/>
    <w:rsid w:val="6DC12C15"/>
    <w:rsid w:val="6F2D14A1"/>
    <w:rsid w:val="6F9D7DE0"/>
    <w:rsid w:val="6FDF24CC"/>
    <w:rsid w:val="705F045F"/>
    <w:rsid w:val="71490407"/>
    <w:rsid w:val="7156288B"/>
    <w:rsid w:val="72B61072"/>
    <w:rsid w:val="73F12465"/>
    <w:rsid w:val="74DF2EBF"/>
    <w:rsid w:val="75531EF6"/>
    <w:rsid w:val="755A7A11"/>
    <w:rsid w:val="75D0003D"/>
    <w:rsid w:val="76735E75"/>
    <w:rsid w:val="779A765F"/>
    <w:rsid w:val="783E1213"/>
    <w:rsid w:val="7A070B19"/>
    <w:rsid w:val="7A373FB9"/>
    <w:rsid w:val="7B743F46"/>
    <w:rsid w:val="7C2C4361"/>
    <w:rsid w:val="7CB2271D"/>
    <w:rsid w:val="7D5D694B"/>
    <w:rsid w:val="7D852AF4"/>
    <w:rsid w:val="7F274F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ocked="1"/>
    <w:lsdException w:qFormat="1" w:unhideWhenUsed="0" w:uiPriority="99" w:semiHidden="0" w:name="footnote text" w:locked="1"/>
    <w:lsdException w:unhideWhenUsed="0" w:uiPriority="99" w:semiHidden="0"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nhideWhenUsed="0" w:uiPriority="99" w:semiHidden="0"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locked/>
    <w:uiPriority w:val="99"/>
    <w:pPr>
      <w:jc w:val="left"/>
    </w:pPr>
  </w:style>
  <w:style w:type="paragraph" w:styleId="3">
    <w:name w:val="Body Text Indent"/>
    <w:basedOn w:val="1"/>
    <w:link w:val="11"/>
    <w:uiPriority w:val="99"/>
    <w:pPr>
      <w:ind w:firstLine="640" w:firstLineChars="200"/>
    </w:pPr>
  </w:style>
  <w:style w:type="paragraph" w:styleId="4">
    <w:name w:val="footer"/>
    <w:basedOn w:val="1"/>
    <w:link w:val="12"/>
    <w:uiPriority w:val="99"/>
    <w:pPr>
      <w:tabs>
        <w:tab w:val="center" w:pos="4153"/>
        <w:tab w:val="right" w:pos="8306"/>
      </w:tabs>
      <w:snapToGrid w:val="0"/>
      <w:jc w:val="left"/>
    </w:pPr>
    <w:rPr>
      <w:sz w:val="18"/>
    </w:rPr>
  </w:style>
  <w:style w:type="paragraph" w:styleId="5">
    <w:name w:val="header"/>
    <w:basedOn w:val="1"/>
    <w:link w:val="13"/>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link w:val="14"/>
    <w:qFormat/>
    <w:locked/>
    <w:uiPriority w:val="99"/>
    <w:pPr>
      <w:snapToGrid w:val="0"/>
      <w:jc w:val="left"/>
    </w:pPr>
    <w:rPr>
      <w:sz w:val="18"/>
    </w:rPr>
  </w:style>
  <w:style w:type="character" w:styleId="9">
    <w:name w:val="footnote reference"/>
    <w:locked/>
    <w:uiPriority w:val="99"/>
    <w:rPr>
      <w:rFonts w:cs="Times New Roman"/>
      <w:vertAlign w:val="superscript"/>
    </w:rPr>
  </w:style>
  <w:style w:type="character" w:customStyle="1" w:styleId="10">
    <w:name w:val="批注文字 Char"/>
    <w:link w:val="2"/>
    <w:semiHidden/>
    <w:qFormat/>
    <w:locked/>
    <w:uiPriority w:val="99"/>
    <w:rPr>
      <w:rFonts w:cs="Times New Roman"/>
      <w:sz w:val="24"/>
      <w:szCs w:val="24"/>
    </w:rPr>
  </w:style>
  <w:style w:type="character" w:customStyle="1" w:styleId="11">
    <w:name w:val="正文文本缩进 Char"/>
    <w:link w:val="3"/>
    <w:semiHidden/>
    <w:locked/>
    <w:uiPriority w:val="99"/>
    <w:rPr>
      <w:rFonts w:ascii="Calibri" w:hAnsi="Calibri" w:cs="Times New Roman"/>
      <w:sz w:val="24"/>
      <w:szCs w:val="24"/>
    </w:rPr>
  </w:style>
  <w:style w:type="character" w:customStyle="1" w:styleId="12">
    <w:name w:val="页脚 Char"/>
    <w:link w:val="4"/>
    <w:semiHidden/>
    <w:locked/>
    <w:uiPriority w:val="99"/>
    <w:rPr>
      <w:rFonts w:ascii="Calibri" w:hAnsi="Calibri" w:cs="Times New Roman"/>
      <w:sz w:val="18"/>
      <w:szCs w:val="18"/>
    </w:rPr>
  </w:style>
  <w:style w:type="character" w:customStyle="1" w:styleId="13">
    <w:name w:val="页眉 Char"/>
    <w:link w:val="5"/>
    <w:semiHidden/>
    <w:locked/>
    <w:uiPriority w:val="99"/>
    <w:rPr>
      <w:rFonts w:ascii="Calibri" w:hAnsi="Calibri" w:cs="Times New Roman"/>
      <w:sz w:val="18"/>
      <w:szCs w:val="18"/>
    </w:rPr>
  </w:style>
  <w:style w:type="character" w:customStyle="1" w:styleId="14">
    <w:name w:val="脚注文本 Char"/>
    <w:link w:val="6"/>
    <w:semiHidden/>
    <w:locked/>
    <w:uiPriority w:val="99"/>
    <w:rPr>
      <w:rFonts w:cs="Times New Roman"/>
      <w:sz w:val="18"/>
      <w:szCs w:val="18"/>
    </w:rPr>
  </w:style>
  <w:style w:type="character" w:customStyle="1" w:styleId="15">
    <w:name w:val="font31"/>
    <w:uiPriority w:val="99"/>
    <w:rPr>
      <w:rFonts w:ascii="Arial" w:hAnsi="Arial" w:cs="Arial"/>
      <w:color w:val="000000"/>
      <w:sz w:val="16"/>
      <w:szCs w:val="16"/>
      <w:u w:val="none"/>
    </w:rPr>
  </w:style>
  <w:style w:type="character" w:customStyle="1" w:styleId="16">
    <w:name w:val="font01"/>
    <w:qFormat/>
    <w:uiPriority w:val="99"/>
    <w:rPr>
      <w:rFonts w:ascii="Arial" w:hAnsi="Arial" w:cs="Arial"/>
      <w:color w:val="000000"/>
      <w:sz w:val="16"/>
      <w:szCs w:val="16"/>
      <w:u w:val="none"/>
    </w:rPr>
  </w:style>
  <w:style w:type="character" w:customStyle="1" w:styleId="17">
    <w:name w:val="font41"/>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790</Words>
  <Characters>4506</Characters>
  <Lines>37</Lines>
  <Paragraphs>10</Paragraphs>
  <TotalTime>4</TotalTime>
  <ScaleCrop>false</ScaleCrop>
  <LinksUpToDate>false</LinksUpToDate>
  <CharactersWithSpaces>5286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棒棒糖</cp:lastModifiedBy>
  <cp:lastPrinted>2017-11-01T07:22:00Z</cp:lastPrinted>
  <dcterms:modified xsi:type="dcterms:W3CDTF">2021-06-18T10:49:34Z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20805C6C2BD54F859A231CAF8DB314F9</vt:lpwstr>
  </property>
</Properties>
</file>