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黑体" w:hAnsi="黑体" w:eastAsia="黑体" w:cs="黑体"/>
          <w:sz w:val="52"/>
          <w:szCs w:val="52"/>
          <w:lang w:eastAsia="zh-CN"/>
        </w:rPr>
      </w:pPr>
      <w:r>
        <w:rPr>
          <w:rFonts w:hint="eastAsia" w:ascii="隶书" w:hAnsi="隶书" w:eastAsia="隶书" w:cs="隶书"/>
          <w:sz w:val="52"/>
          <w:szCs w:val="52"/>
          <w:lang w:eastAsia="zh-CN"/>
        </w:rPr>
        <w:t>信阳市浉河区</w:t>
      </w:r>
      <w:bookmarkStart w:id="0" w:name="_GoBack"/>
      <w:r>
        <w:rPr>
          <w:rFonts w:hint="eastAsia" w:ascii="隶书" w:hAnsi="隶书" w:eastAsia="隶书" w:cs="隶书"/>
          <w:sz w:val="52"/>
          <w:szCs w:val="52"/>
          <w:lang w:eastAsia="zh-CN"/>
        </w:rPr>
        <w:t>财政局</w:t>
      </w:r>
      <w:bookmarkEnd w:id="0"/>
    </w:p>
    <w:p>
      <w:pPr>
        <w:jc w:val="center"/>
        <w:rPr>
          <w:rFonts w:ascii="隶书" w:hAnsi="隶书" w:eastAsia="隶书" w:cs="隶书"/>
          <w:sz w:val="52"/>
          <w:szCs w:val="52"/>
        </w:rPr>
      </w:pPr>
      <w:r>
        <w:rPr>
          <w:rFonts w:hint="eastAsia" w:ascii="隶书" w:hAnsi="隶书" w:eastAsia="隶书" w:cs="隶书"/>
          <w:sz w:val="52"/>
          <w:szCs w:val="52"/>
        </w:rPr>
        <w:t>2018年度部门决算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rPr>
          <w:rFonts w:hint="eastAsia" w:ascii="仿宋" w:hAnsi="仿宋" w:eastAsia="仿宋" w:cs="隶书"/>
          <w:sz w:val="32"/>
          <w:szCs w:val="32"/>
        </w:rPr>
      </w:pPr>
      <w:r>
        <w:rPr>
          <w:rFonts w:hint="eastAsia" w:ascii="仿宋" w:hAnsi="仿宋" w:eastAsia="仿宋" w:cs="隶书"/>
          <w:sz w:val="32"/>
          <w:szCs w:val="32"/>
        </w:rPr>
        <w:t>公开单位联系人：曹媛柯          联系方式：6312799</w:t>
      </w:r>
    </w:p>
    <w:p>
      <w:pPr>
        <w:rPr>
          <w:rFonts w:hint="eastAsia" w:ascii="仿宋" w:hAnsi="仿宋" w:eastAsia="仿宋" w:cs="隶书"/>
          <w:sz w:val="32"/>
          <w:szCs w:val="32"/>
        </w:rPr>
      </w:pPr>
    </w:p>
    <w:p>
      <w:pPr>
        <w:rPr>
          <w:rFonts w:hint="eastAsia" w:ascii="仿宋" w:hAnsi="仿宋" w:eastAsia="仿宋" w:cs="隶书"/>
          <w:sz w:val="32"/>
          <w:szCs w:val="32"/>
        </w:rPr>
      </w:pPr>
    </w:p>
    <w:p>
      <w:pPr>
        <w:rPr>
          <w:rFonts w:hint="default" w:ascii="仿宋" w:hAnsi="仿宋" w:eastAsia="仿宋" w:cs="隶书"/>
          <w:sz w:val="32"/>
          <w:szCs w:val="32"/>
          <w:lang w:val="en-US" w:eastAsia="zh-CN"/>
        </w:rPr>
        <w:sectPr>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lang w:val="en-US" w:eastAsia="zh-CN"/>
        </w:rPr>
        <w:t xml:space="preserve">                   二〇一九年九月</w:t>
      </w:r>
    </w:p>
    <w:p>
      <w:pPr>
        <w:jc w:val="center"/>
        <w:rPr>
          <w:rFonts w:ascii="黑体" w:hAnsi="黑体" w:eastAsia="黑体" w:cs="黑体"/>
          <w:sz w:val="32"/>
          <w:szCs w:val="32"/>
        </w:rPr>
      </w:pPr>
      <w:r>
        <w:rPr>
          <w:rFonts w:hint="eastAsia" w:ascii="黑体" w:hAnsi="黑体" w:eastAsia="黑体" w:cs="黑体"/>
          <w:sz w:val="32"/>
          <w:szCs w:val="32"/>
        </w:rPr>
        <w:t>目　　录</w:t>
      </w:r>
    </w:p>
    <w:p>
      <w:pPr>
        <w:spacing w:line="360" w:lineRule="auto"/>
        <w:jc w:val="left"/>
        <w:rPr>
          <w:rFonts w:ascii="黑体" w:hAnsi="黑体" w:eastAsia="黑体" w:cs="黑体"/>
          <w:sz w:val="32"/>
          <w:szCs w:val="32"/>
        </w:rPr>
      </w:pPr>
      <w:r>
        <w:rPr>
          <w:rFonts w:hint="eastAsia" w:ascii="黑体" w:hAnsi="黑体" w:eastAsia="黑体" w:cs="黑体"/>
          <w:sz w:val="32"/>
          <w:szCs w:val="32"/>
        </w:rPr>
        <w:t>第一部分　　信阳市浉河区财政局概况</w:t>
      </w:r>
    </w:p>
    <w:p>
      <w:pPr>
        <w:numPr>
          <w:ilvl w:val="0"/>
          <w:numId w:val="1"/>
        </w:numPr>
        <w:spacing w:line="360" w:lineRule="auto"/>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spacing w:line="360" w:lineRule="auto"/>
        <w:jc w:val="left"/>
        <w:rPr>
          <w:rFonts w:ascii="宋体" w:hAnsi="宋体" w:eastAsia="宋体" w:cs="宋体"/>
          <w:sz w:val="32"/>
          <w:szCs w:val="32"/>
        </w:rPr>
      </w:pPr>
      <w:r>
        <w:rPr>
          <w:rFonts w:hint="eastAsia" w:ascii="宋体" w:hAnsi="宋体" w:eastAsia="宋体" w:cs="宋体"/>
          <w:sz w:val="32"/>
          <w:szCs w:val="32"/>
        </w:rPr>
        <w:t>部门决算单位构成</w:t>
      </w:r>
    </w:p>
    <w:p>
      <w:pPr>
        <w:spacing w:line="360" w:lineRule="auto"/>
        <w:ind w:left="2240" w:hanging="2240" w:hangingChars="700"/>
        <w:jc w:val="left"/>
        <w:rPr>
          <w:rFonts w:ascii="黑体" w:hAnsi="黑体" w:eastAsia="黑体" w:cs="黑体"/>
          <w:sz w:val="32"/>
          <w:szCs w:val="32"/>
        </w:rPr>
      </w:pPr>
      <w:r>
        <w:rPr>
          <w:rFonts w:hint="eastAsia" w:ascii="黑体" w:hAnsi="黑体" w:eastAsia="黑体" w:cs="黑体"/>
          <w:sz w:val="32"/>
          <w:szCs w:val="32"/>
        </w:rPr>
        <w:t>第二部分　　信阳市浉河区财政局2018年度部门决算情况说明</w:t>
      </w:r>
    </w:p>
    <w:p>
      <w:pPr>
        <w:spacing w:line="360" w:lineRule="auto"/>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spacing w:line="360" w:lineRule="auto"/>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spacing w:line="360" w:lineRule="auto"/>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spacing w:line="360" w:lineRule="auto"/>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spacing w:line="360" w:lineRule="auto"/>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spacing w:line="360" w:lineRule="auto"/>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spacing w:line="360" w:lineRule="auto"/>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spacing w:line="360" w:lineRule="auto"/>
        <w:jc w:val="left"/>
        <w:rPr>
          <w:rFonts w:ascii="宋体" w:hAnsi="宋体" w:eastAsia="宋体" w:cs="宋体"/>
          <w:sz w:val="32"/>
          <w:szCs w:val="32"/>
        </w:rPr>
      </w:pPr>
      <w:r>
        <w:rPr>
          <w:rFonts w:hint="eastAsia" w:ascii="宋体" w:hAnsi="宋体" w:eastAsia="宋体" w:cs="宋体"/>
          <w:sz w:val="32"/>
          <w:szCs w:val="32"/>
        </w:rPr>
        <w:t>八、关于政府性基金预算财政拨款收入支出决算情况说明</w:t>
      </w:r>
    </w:p>
    <w:p>
      <w:pPr>
        <w:spacing w:line="360" w:lineRule="auto"/>
        <w:jc w:val="left"/>
        <w:rPr>
          <w:rFonts w:ascii="宋体" w:hAnsi="宋体" w:eastAsia="宋体" w:cs="宋体"/>
          <w:sz w:val="32"/>
          <w:szCs w:val="32"/>
        </w:rPr>
      </w:pPr>
      <w:r>
        <w:rPr>
          <w:rFonts w:hint="eastAsia" w:ascii="宋体" w:hAnsi="宋体" w:eastAsia="宋体" w:cs="宋体"/>
          <w:sz w:val="32"/>
          <w:szCs w:val="32"/>
        </w:rPr>
        <w:t>九、其他重要事项情况说明</w:t>
      </w:r>
    </w:p>
    <w:p>
      <w:pPr>
        <w:spacing w:line="360" w:lineRule="auto"/>
        <w:jc w:val="left"/>
        <w:rPr>
          <w:rFonts w:hint="eastAsia" w:ascii="黑体" w:hAnsi="黑体" w:eastAsia="黑体" w:cs="黑体"/>
          <w:sz w:val="32"/>
          <w:szCs w:val="32"/>
        </w:rPr>
      </w:pPr>
      <w:r>
        <w:rPr>
          <w:rFonts w:hint="eastAsia" w:ascii="黑体" w:hAnsi="黑体" w:eastAsia="黑体" w:cs="黑体"/>
          <w:sz w:val="32"/>
          <w:szCs w:val="32"/>
        </w:rPr>
        <w:t>第三部分　　名词解释</w:t>
      </w:r>
    </w:p>
    <w:p>
      <w:pPr>
        <w:spacing w:line="360" w:lineRule="auto"/>
        <w:jc w:val="left"/>
        <w:rPr>
          <w:rFonts w:hint="eastAsia" w:ascii="黑体" w:hAnsi="黑体" w:eastAsia="黑体" w:cs="黑体"/>
          <w:sz w:val="32"/>
          <w:szCs w:val="32"/>
        </w:rPr>
      </w:pPr>
    </w:p>
    <w:p>
      <w:pPr>
        <w:spacing w:line="360" w:lineRule="auto"/>
        <w:jc w:val="left"/>
        <w:rPr>
          <w:rFonts w:hint="eastAsia" w:ascii="黑体" w:hAnsi="黑体" w:eastAsia="黑体" w:cs="黑体"/>
          <w:sz w:val="32"/>
          <w:szCs w:val="32"/>
        </w:rPr>
      </w:pPr>
      <w:r>
        <w:rPr>
          <w:rFonts w:hint="eastAsia" w:ascii="黑体" w:hAnsi="黑体" w:eastAsia="黑体" w:cs="黑体"/>
          <w:sz w:val="32"/>
          <w:szCs w:val="32"/>
        </w:rPr>
        <w:t>附表  2018年部门决算表（Excel表格）</w:t>
      </w:r>
    </w:p>
    <w:p>
      <w:pPr>
        <w:spacing w:line="360" w:lineRule="auto"/>
        <w:jc w:val="left"/>
        <w:rPr>
          <w:rFonts w:hint="eastAsia" w:ascii="黑体" w:hAnsi="黑体" w:eastAsia="黑体" w:cs="黑体"/>
          <w:sz w:val="32"/>
          <w:szCs w:val="32"/>
        </w:rPr>
      </w:pPr>
      <w:r>
        <w:rPr>
          <w:rFonts w:hint="eastAsia" w:ascii="黑体" w:hAnsi="黑体" w:eastAsia="黑体" w:cs="黑体"/>
          <w:sz w:val="32"/>
          <w:szCs w:val="32"/>
        </w:rPr>
        <w:t>一、收入支出决算总表</w:t>
      </w:r>
    </w:p>
    <w:p>
      <w:pPr>
        <w:spacing w:line="360" w:lineRule="auto"/>
        <w:jc w:val="left"/>
        <w:rPr>
          <w:rFonts w:hint="eastAsia" w:ascii="黑体" w:hAnsi="黑体" w:eastAsia="黑体" w:cs="黑体"/>
          <w:sz w:val="32"/>
          <w:szCs w:val="32"/>
        </w:rPr>
      </w:pPr>
      <w:r>
        <w:rPr>
          <w:rFonts w:hint="eastAsia" w:ascii="黑体" w:hAnsi="黑体" w:eastAsia="黑体" w:cs="黑体"/>
          <w:sz w:val="32"/>
          <w:szCs w:val="32"/>
        </w:rPr>
        <w:t>二、收入决算表</w:t>
      </w:r>
    </w:p>
    <w:p>
      <w:pPr>
        <w:spacing w:line="360" w:lineRule="auto"/>
        <w:jc w:val="left"/>
        <w:rPr>
          <w:rFonts w:hint="eastAsia" w:ascii="黑体" w:hAnsi="黑体" w:eastAsia="黑体" w:cs="黑体"/>
          <w:sz w:val="32"/>
          <w:szCs w:val="32"/>
        </w:rPr>
      </w:pPr>
      <w:r>
        <w:rPr>
          <w:rFonts w:hint="eastAsia" w:ascii="黑体" w:hAnsi="黑体" w:eastAsia="黑体" w:cs="黑体"/>
          <w:sz w:val="32"/>
          <w:szCs w:val="32"/>
        </w:rPr>
        <w:t>三、支出决算表</w:t>
      </w:r>
    </w:p>
    <w:p>
      <w:pPr>
        <w:spacing w:line="360" w:lineRule="auto"/>
        <w:jc w:val="left"/>
        <w:rPr>
          <w:rFonts w:hint="eastAsia" w:ascii="黑体" w:hAnsi="黑体" w:eastAsia="黑体" w:cs="黑体"/>
          <w:sz w:val="32"/>
          <w:szCs w:val="32"/>
        </w:rPr>
      </w:pPr>
      <w:r>
        <w:rPr>
          <w:rFonts w:hint="eastAsia" w:ascii="黑体" w:hAnsi="黑体" w:eastAsia="黑体" w:cs="黑体"/>
          <w:sz w:val="32"/>
          <w:szCs w:val="32"/>
        </w:rPr>
        <w:t>四、财政拨款收入支出决算总表</w:t>
      </w:r>
    </w:p>
    <w:p>
      <w:pPr>
        <w:spacing w:line="360" w:lineRule="auto"/>
        <w:jc w:val="left"/>
        <w:rPr>
          <w:rFonts w:hint="eastAsia" w:ascii="黑体" w:hAnsi="黑体" w:eastAsia="黑体" w:cs="黑体"/>
          <w:sz w:val="32"/>
          <w:szCs w:val="32"/>
        </w:rPr>
      </w:pPr>
      <w:r>
        <w:rPr>
          <w:rFonts w:hint="eastAsia" w:ascii="黑体" w:hAnsi="黑体" w:eastAsia="黑体" w:cs="黑体"/>
          <w:sz w:val="32"/>
          <w:szCs w:val="32"/>
        </w:rPr>
        <w:t>五、一般公共预算财政拨款支出决算表</w:t>
      </w:r>
    </w:p>
    <w:p>
      <w:pPr>
        <w:spacing w:line="360" w:lineRule="auto"/>
        <w:jc w:val="left"/>
        <w:rPr>
          <w:rFonts w:hint="eastAsia" w:ascii="黑体" w:hAnsi="黑体" w:eastAsia="黑体" w:cs="黑体"/>
          <w:sz w:val="32"/>
          <w:szCs w:val="32"/>
        </w:rPr>
      </w:pPr>
      <w:r>
        <w:rPr>
          <w:rFonts w:hint="eastAsia" w:ascii="黑体" w:hAnsi="黑体" w:eastAsia="黑体" w:cs="黑体"/>
          <w:sz w:val="32"/>
          <w:szCs w:val="32"/>
        </w:rPr>
        <w:t>六、一般公共预算财政拨款基本支出决算表</w:t>
      </w:r>
    </w:p>
    <w:p>
      <w:pPr>
        <w:spacing w:line="360" w:lineRule="auto"/>
        <w:jc w:val="left"/>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七、一般公共预算财政拨款“三公”经费支出决算表</w:t>
      </w:r>
    </w:p>
    <w:p>
      <w:pPr>
        <w:spacing w:line="360" w:lineRule="auto"/>
        <w:jc w:val="left"/>
        <w:rPr>
          <w:rFonts w:hint="eastAsia" w:ascii="黑体" w:hAnsi="黑体" w:eastAsia="黑体" w:cs="黑体"/>
          <w:sz w:val="32"/>
          <w:szCs w:val="32"/>
        </w:rPr>
      </w:pPr>
      <w:r>
        <w:rPr>
          <w:rFonts w:hint="eastAsia" w:ascii="黑体" w:hAnsi="黑体" w:eastAsia="黑体" w:cs="黑体"/>
          <w:sz w:val="32"/>
          <w:szCs w:val="32"/>
        </w:rPr>
        <w:t>八、政府性基金预算财政拨款收入支出决算表</w:t>
      </w:r>
    </w:p>
    <w:p>
      <w:pPr>
        <w:spacing w:line="360" w:lineRule="auto"/>
        <w:jc w:val="left"/>
        <w:rPr>
          <w:rFonts w:hint="eastAsia"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信阳市浉河区财政局概况</w:t>
      </w:r>
    </w:p>
    <w:p>
      <w:pPr>
        <w:spacing w:line="360" w:lineRule="auto"/>
        <w:ind w:left="142" w:firstLine="643" w:firstLineChars="200"/>
        <w:rPr>
          <w:rFonts w:ascii="仿宋" w:hAnsi="仿宋" w:eastAsia="仿宋"/>
          <w:b/>
          <w:bCs/>
          <w:sz w:val="32"/>
          <w:szCs w:val="32"/>
        </w:rPr>
      </w:pPr>
      <w:r>
        <w:rPr>
          <w:rFonts w:hint="eastAsia" w:ascii="仿宋" w:hAnsi="仿宋" w:eastAsia="仿宋"/>
          <w:b/>
          <w:bCs/>
          <w:sz w:val="32"/>
          <w:szCs w:val="32"/>
        </w:rPr>
        <w:t>一、部门基本情况</w:t>
      </w:r>
    </w:p>
    <w:p>
      <w:pPr>
        <w:spacing w:line="360" w:lineRule="auto"/>
        <w:ind w:firstLine="640" w:firstLineChars="200"/>
        <w:rPr>
          <w:rFonts w:ascii="仿宋" w:hAnsi="仿宋" w:eastAsia="仿宋"/>
          <w:b/>
          <w:bCs/>
          <w:sz w:val="32"/>
          <w:szCs w:val="32"/>
        </w:rPr>
      </w:pPr>
      <w:r>
        <w:rPr>
          <w:rFonts w:hint="eastAsia" w:ascii="仿宋" w:hAnsi="仿宋" w:eastAsia="仿宋"/>
          <w:sz w:val="32"/>
          <w:szCs w:val="32"/>
        </w:rPr>
        <w:t>（一）部门机构设置、职能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职责是：</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 1)</w:instrText>
      </w:r>
      <w:r>
        <w:rPr>
          <w:rFonts w:hint="eastAsia" w:ascii="仿宋" w:hAnsi="仿宋" w:eastAsia="仿宋" w:cs="仿宋"/>
          <w:sz w:val="32"/>
          <w:szCs w:val="32"/>
        </w:rPr>
        <w:fldChar w:fldCharType="end"/>
      </w:r>
      <w:r>
        <w:rPr>
          <w:rFonts w:hint="eastAsia" w:ascii="仿宋" w:hAnsi="仿宋" w:eastAsia="仿宋" w:cs="仿宋"/>
          <w:sz w:val="32"/>
          <w:szCs w:val="32"/>
        </w:rPr>
        <w:t>拟定和执行全区财政税收的发展战略、中长期规划、改革方案；提出运用财税政策实施宏观调控和综合平衡社会财力的建议；拟定和执行区与乡镇、国家与企业的分配政策。</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,2)</w:instrText>
      </w:r>
      <w:r>
        <w:rPr>
          <w:rFonts w:hint="eastAsia" w:ascii="仿宋" w:hAnsi="仿宋" w:eastAsia="仿宋" w:cs="仿宋"/>
          <w:sz w:val="32"/>
          <w:szCs w:val="32"/>
        </w:rPr>
        <w:fldChar w:fldCharType="end"/>
      </w:r>
      <w:r>
        <w:rPr>
          <w:rFonts w:hint="eastAsia" w:ascii="仿宋" w:hAnsi="仿宋" w:eastAsia="仿宋" w:cs="仿宋"/>
          <w:sz w:val="32"/>
          <w:szCs w:val="32"/>
        </w:rPr>
        <w:t>编制年度区级预决算草案并组织实施；受区政府委托向区人民代表大会报告全区预算及其执行情况，向区人大常委会报告决算；管理区级各项财政收入、非税收入和财政专户；管理区级政府性基金；会同有关部门办理行政事业性收费、政府性基金申报工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,3)</w:instrText>
      </w:r>
      <w:r>
        <w:rPr>
          <w:rFonts w:hint="eastAsia" w:ascii="仿宋" w:hAnsi="仿宋" w:eastAsia="仿宋" w:cs="仿宋"/>
          <w:sz w:val="32"/>
          <w:szCs w:val="32"/>
        </w:rPr>
        <w:fldChar w:fldCharType="end"/>
      </w:r>
      <w:r>
        <w:rPr>
          <w:rFonts w:hint="eastAsia" w:ascii="仿宋" w:hAnsi="仿宋" w:eastAsia="仿宋" w:cs="仿宋"/>
          <w:sz w:val="32"/>
          <w:szCs w:val="32"/>
        </w:rPr>
        <w:t>管理区级财政公共支出；制定需要全区统一规定的开支标准和管理办法；贯彻执行政府采购政策；监督执行《行政单位财务规则》、《事业单位财务规则》。</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,4)</w:instrText>
      </w:r>
      <w:r>
        <w:rPr>
          <w:rFonts w:hint="eastAsia" w:ascii="仿宋" w:hAnsi="仿宋" w:eastAsia="仿宋" w:cs="仿宋"/>
          <w:sz w:val="32"/>
          <w:szCs w:val="32"/>
        </w:rPr>
        <w:fldChar w:fldCharType="end"/>
      </w:r>
      <w:r>
        <w:rPr>
          <w:rFonts w:hint="eastAsia" w:ascii="仿宋" w:hAnsi="仿宋" w:eastAsia="仿宋" w:cs="仿宋"/>
          <w:sz w:val="32"/>
          <w:szCs w:val="32"/>
        </w:rPr>
        <w:t>根据区级预算安排，协同税务部门确定财政税收收入计划；在国家规定的权限内，提出地方性税率调整和对全区财政影响较大的临时特案减免税的建议。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,5)</w:instrText>
      </w:r>
      <w:r>
        <w:rPr>
          <w:rFonts w:hint="eastAsia" w:ascii="仿宋" w:hAnsi="仿宋" w:eastAsia="仿宋" w:cs="仿宋"/>
          <w:sz w:val="32"/>
          <w:szCs w:val="32"/>
        </w:rPr>
        <w:fldChar w:fldCharType="end"/>
      </w:r>
      <w:r>
        <w:rPr>
          <w:rFonts w:hint="eastAsia" w:ascii="仿宋" w:hAnsi="仿宋" w:eastAsia="仿宋" w:cs="仿宋"/>
          <w:sz w:val="32"/>
          <w:szCs w:val="32"/>
        </w:rPr>
        <w:t>负责全区企业财务制度的监督和管理，监督执行《企业财务通则》；负责组织实施企业的清产核资、产权界定和登记，负责国有企业资产的管理，指导资产评估业务；管理监督公物拍卖和国有资产产权交易市场；负责区属企业国有资产收益的收缴和使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,6)</w:instrText>
      </w:r>
      <w:r>
        <w:rPr>
          <w:rFonts w:hint="eastAsia" w:ascii="仿宋" w:hAnsi="仿宋" w:eastAsia="仿宋" w:cs="仿宋"/>
          <w:sz w:val="32"/>
          <w:szCs w:val="32"/>
        </w:rPr>
        <w:fldChar w:fldCharType="end"/>
      </w:r>
      <w:r>
        <w:rPr>
          <w:rFonts w:hint="eastAsia" w:ascii="仿宋" w:hAnsi="仿宋" w:eastAsia="仿宋" w:cs="仿宋"/>
          <w:sz w:val="32"/>
          <w:szCs w:val="32"/>
        </w:rPr>
        <w:t>指导全区乡镇财税所建设工作。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,7)</w:instrText>
      </w:r>
      <w:r>
        <w:rPr>
          <w:rFonts w:hint="eastAsia" w:ascii="仿宋" w:hAnsi="仿宋" w:eastAsia="仿宋" w:cs="仿宋"/>
          <w:sz w:val="32"/>
          <w:szCs w:val="32"/>
        </w:rPr>
        <w:fldChar w:fldCharType="end"/>
      </w:r>
      <w:r>
        <w:rPr>
          <w:rFonts w:hint="eastAsia" w:ascii="仿宋" w:hAnsi="仿宋" w:eastAsia="仿宋" w:cs="仿宋"/>
          <w:sz w:val="32"/>
          <w:szCs w:val="32"/>
        </w:rPr>
        <w:t>拟定全区基本建设财务制度，管理区级财政基本建设支出；指导政府投资的基建投标工作；负责小城镇建设资金与财务管理。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,8)</w:instrText>
      </w:r>
      <w:r>
        <w:rPr>
          <w:rFonts w:hint="eastAsia" w:ascii="仿宋" w:hAnsi="仿宋" w:eastAsia="仿宋" w:cs="仿宋"/>
          <w:sz w:val="32"/>
          <w:szCs w:val="32"/>
        </w:rPr>
        <w:fldChar w:fldCharType="end"/>
      </w:r>
      <w:r>
        <w:rPr>
          <w:rFonts w:hint="eastAsia" w:ascii="仿宋" w:hAnsi="仿宋" w:eastAsia="仿宋" w:cs="仿宋"/>
          <w:sz w:val="32"/>
          <w:szCs w:val="32"/>
        </w:rPr>
        <w:t>贯彻和执行国家社会保障资金的财务管理制度，管理区级财政社会保障支出；组织实施对社会保障资金使用的财政监督。</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,9)</w:instrText>
      </w:r>
      <w:r>
        <w:rPr>
          <w:rFonts w:hint="eastAsia" w:ascii="仿宋" w:hAnsi="仿宋" w:eastAsia="仿宋" w:cs="仿宋"/>
          <w:sz w:val="32"/>
          <w:szCs w:val="32"/>
        </w:rPr>
        <w:fldChar w:fldCharType="end"/>
      </w:r>
      <w:r>
        <w:rPr>
          <w:rFonts w:hint="eastAsia" w:ascii="仿宋" w:hAnsi="仿宋" w:eastAsia="仿宋" w:cs="仿宋"/>
          <w:sz w:val="32"/>
          <w:szCs w:val="32"/>
        </w:rPr>
        <w:t>贯彻执行国家国内、国外债务管理的方针政策和国债发行计划，组织参加政府债务的谈判与磋商，管理政府债务。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,10)</w:instrText>
      </w:r>
      <w:r>
        <w:rPr>
          <w:rFonts w:hint="eastAsia" w:ascii="仿宋" w:hAnsi="仿宋" w:eastAsia="仿宋" w:cs="仿宋"/>
          <w:sz w:val="32"/>
          <w:szCs w:val="32"/>
        </w:rPr>
        <w:fldChar w:fldCharType="end"/>
      </w:r>
      <w:r>
        <w:rPr>
          <w:rFonts w:hint="eastAsia" w:ascii="仿宋" w:hAnsi="仿宋" w:eastAsia="仿宋" w:cs="仿宋"/>
          <w:sz w:val="32"/>
          <w:szCs w:val="32"/>
        </w:rPr>
        <w:t>参与全区住房制度和土地使用制度改革，拟定并监督执行住房资金、国有土地出让金收益财务管理、会计核算办法，指导和监督有关部门管理住房资金。</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,11)</w:instrText>
      </w:r>
      <w:r>
        <w:rPr>
          <w:rFonts w:hint="eastAsia" w:ascii="仿宋" w:hAnsi="仿宋" w:eastAsia="仿宋" w:cs="仿宋"/>
          <w:sz w:val="32"/>
          <w:szCs w:val="32"/>
        </w:rPr>
        <w:fldChar w:fldCharType="end"/>
      </w:r>
      <w:r>
        <w:rPr>
          <w:rFonts w:hint="eastAsia" w:ascii="仿宋" w:hAnsi="仿宋" w:eastAsia="仿宋" w:cs="仿宋"/>
          <w:sz w:val="32"/>
          <w:szCs w:val="32"/>
        </w:rPr>
        <w:t>管理全区会计工作，监督执行会计规章制度、《企业会计准则》，监督执行政府总预算、行政和事业单位及分行业的会计制度；指导和监督注册会计师和会计师事务所的业务；指导和管理社会审计；指导和管理会计委派试点工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,12)</w:instrText>
      </w:r>
      <w:r>
        <w:rPr>
          <w:rFonts w:hint="eastAsia" w:ascii="仿宋" w:hAnsi="仿宋" w:eastAsia="仿宋" w:cs="仿宋"/>
          <w:sz w:val="32"/>
          <w:szCs w:val="32"/>
        </w:rPr>
        <w:fldChar w:fldCharType="end"/>
      </w:r>
      <w:r>
        <w:rPr>
          <w:rFonts w:hint="eastAsia" w:ascii="仿宋" w:hAnsi="仿宋" w:eastAsia="仿宋" w:cs="仿宋"/>
          <w:sz w:val="32"/>
          <w:szCs w:val="32"/>
        </w:rPr>
        <w:t>监督财税方针政策、法律法规、行政规章的执行情况；检查反映财政收支管理中的重大问题；提出加强财政管理的政策建议；负责对经中介机构审计的国有企业年度会计报表的核查工作。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,13)</w:instrText>
      </w:r>
      <w:r>
        <w:rPr>
          <w:rFonts w:hint="eastAsia" w:ascii="仿宋" w:hAnsi="仿宋" w:eastAsia="仿宋" w:cs="仿宋"/>
          <w:sz w:val="32"/>
          <w:szCs w:val="32"/>
        </w:rPr>
        <w:fldChar w:fldCharType="end"/>
      </w:r>
      <w:r>
        <w:rPr>
          <w:rFonts w:hint="eastAsia" w:ascii="仿宋" w:hAnsi="仿宋" w:eastAsia="仿宋" w:cs="仿宋"/>
          <w:sz w:val="32"/>
          <w:szCs w:val="32"/>
        </w:rPr>
        <w:t>制定全区财政科学研究和教育规划，组织财政人才培训，负责财政信息和财政宣传工作。</w:t>
      </w:r>
    </w:p>
    <w:p>
      <w:pPr>
        <w:spacing w:line="360" w:lineRule="auto"/>
        <w:ind w:firstLine="480" w:firstLineChars="15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（二）人员编制基本情况：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信阳市浉河区财政局共有编制229人，其中：行政编制69人，事业编制160人。实有人数327人，其中在职职工229人，退休人员98人。</w:t>
      </w:r>
    </w:p>
    <w:p>
      <w:pPr>
        <w:pStyle w:val="10"/>
        <w:ind w:firstLine="0" w:firstLineChars="0"/>
        <w:rPr>
          <w:rFonts w:ascii="仿宋" w:hAnsi="仿宋" w:eastAsia="仿宋"/>
          <w:b/>
          <w:sz w:val="32"/>
          <w:szCs w:val="32"/>
        </w:rPr>
      </w:pPr>
    </w:p>
    <w:p>
      <w:pPr>
        <w:spacing w:line="360" w:lineRule="auto"/>
        <w:ind w:left="640"/>
        <w:jc w:val="left"/>
        <w:outlineLvl w:val="1"/>
        <w:rPr>
          <w:rFonts w:ascii="仿宋" w:hAnsi="仿宋" w:eastAsia="仿宋" w:cs="黑体"/>
          <w:b/>
          <w:bCs/>
          <w:sz w:val="32"/>
          <w:szCs w:val="32"/>
        </w:rPr>
      </w:pPr>
      <w:r>
        <w:rPr>
          <w:rFonts w:hint="eastAsia" w:ascii="仿宋" w:hAnsi="仿宋" w:eastAsia="仿宋" w:cs="黑体"/>
          <w:b/>
          <w:bCs/>
          <w:sz w:val="32"/>
          <w:szCs w:val="32"/>
        </w:rPr>
        <w:t>二、部门决算单位构成</w:t>
      </w:r>
    </w:p>
    <w:p>
      <w:pPr>
        <w:spacing w:line="360" w:lineRule="auto"/>
        <w:ind w:firstLine="640" w:firstLineChars="200"/>
        <w:jc w:val="left"/>
        <w:rPr>
          <w:rFonts w:ascii="仿宋" w:hAnsi="仿宋" w:eastAsia="仿宋" w:cs="??_GB2312"/>
          <w:sz w:val="32"/>
          <w:szCs w:val="32"/>
        </w:rPr>
      </w:pPr>
      <w:r>
        <w:rPr>
          <w:rFonts w:hint="eastAsia" w:ascii="仿宋" w:hAnsi="仿宋" w:eastAsia="仿宋" w:cs="宋体"/>
          <w:sz w:val="32"/>
          <w:szCs w:val="32"/>
        </w:rPr>
        <w:t>纳入信阳市浉河区财政局</w:t>
      </w:r>
      <w:r>
        <w:rPr>
          <w:rFonts w:ascii="仿宋" w:hAnsi="仿宋" w:eastAsia="仿宋" w:cs="??_GB2312"/>
          <w:sz w:val="32"/>
          <w:szCs w:val="32"/>
        </w:rPr>
        <w:t>201</w:t>
      </w:r>
      <w:r>
        <w:rPr>
          <w:rFonts w:hint="eastAsia" w:ascii="仿宋" w:hAnsi="仿宋" w:eastAsia="仿宋" w:cs="??_GB2312"/>
          <w:sz w:val="32"/>
          <w:szCs w:val="32"/>
        </w:rPr>
        <w:t>8</w:t>
      </w:r>
      <w:r>
        <w:rPr>
          <w:rFonts w:hint="eastAsia" w:ascii="仿宋" w:hAnsi="仿宋" w:eastAsia="仿宋" w:cs="宋体"/>
          <w:sz w:val="32"/>
          <w:szCs w:val="32"/>
        </w:rPr>
        <w:t>年度部门决算编制范围的单位包括：</w:t>
      </w:r>
    </w:p>
    <w:p>
      <w:pPr>
        <w:numPr>
          <w:ilvl w:val="0"/>
          <w:numId w:val="2"/>
        </w:numPr>
        <w:spacing w:line="360" w:lineRule="auto"/>
        <w:ind w:left="-10" w:leftChars="0" w:firstLine="640" w:firstLineChars="0"/>
        <w:jc w:val="left"/>
        <w:rPr>
          <w:rFonts w:ascii="仿宋" w:hAnsi="仿宋" w:eastAsia="仿宋" w:cs="??_GB2312"/>
          <w:sz w:val="32"/>
          <w:szCs w:val="32"/>
        </w:rPr>
      </w:pPr>
      <w:r>
        <w:rPr>
          <w:rFonts w:hint="eastAsia" w:ascii="仿宋" w:hAnsi="仿宋" w:eastAsia="仿宋" w:cs="宋体"/>
          <w:sz w:val="32"/>
          <w:szCs w:val="32"/>
        </w:rPr>
        <w:t>信阳市浉河区财政局机关</w:t>
      </w:r>
    </w:p>
    <w:p>
      <w:pPr>
        <w:numPr>
          <w:ilvl w:val="0"/>
          <w:numId w:val="3"/>
        </w:num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信阳市浉河区财政局机关内设办公室、人事科、机关党委、机关财务管理科、监察室、预算科、国库科、教科文科、农业科、社保科、会计科、综合科、财政监督检查科、政府采购监督管理科、企业科、金贸科、农村综合改革办公室、行政政法科、经济建设科、信息中心、政府采购中心、政府与社会资本合作中心。</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3、下属3个二级机构，包括非税局、支付中心、评审中心，全部纳入2018年部门决算编制范围。</w:t>
      </w:r>
    </w:p>
    <w:p>
      <w:pPr>
        <w:jc w:val="left"/>
        <w:rPr>
          <w:rFonts w:ascii="仿宋" w:hAnsi="仿宋" w:eastAsia="仿宋" w:cs="黑体"/>
          <w:sz w:val="32"/>
          <w:szCs w:val="32"/>
        </w:rPr>
      </w:pPr>
    </w:p>
    <w:p>
      <w:pPr>
        <w:spacing w:line="360" w:lineRule="auto"/>
        <w:ind w:firstLine="640" w:firstLineChars="200"/>
        <w:rPr>
          <w:rFonts w:ascii="仿宋_GB2312" w:hAnsi="仿宋_GB2312" w:eastAsia="仿宋_GB2312" w:cs="仿宋_GB2312"/>
          <w:sz w:val="32"/>
          <w:szCs w:val="32"/>
        </w:rPr>
      </w:pPr>
    </w:p>
    <w:p>
      <w:pPr>
        <w:spacing w:line="360" w:lineRule="auto"/>
        <w:ind w:firstLine="640" w:firstLineChars="200"/>
        <w:jc w:val="left"/>
        <w:rPr>
          <w:rFonts w:ascii="仿宋_GB2312" w:hAnsi="仿宋_GB2312" w:eastAsia="仿宋_GB2312" w:cs="仿宋_GB2312"/>
          <w:sz w:val="32"/>
          <w:szCs w:val="32"/>
        </w:rPr>
      </w:pPr>
    </w:p>
    <w:p>
      <w:pPr>
        <w:spacing w:line="360" w:lineRule="auto"/>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sectPr>
          <w:pgSz w:w="11906" w:h="16838"/>
          <w:pgMar w:top="1440" w:right="1800" w:bottom="1440" w:left="1800" w:header="851" w:footer="992" w:gutter="0"/>
          <w:pgNumType w:fmt="numberInDash"/>
          <w:cols w:space="0" w:num="1"/>
          <w:docGrid w:type="lines" w:linePitch="312" w:charSpace="0"/>
        </w:sectPr>
      </w:pPr>
      <w:r>
        <w:rPr>
          <w:rFonts w:hint="eastAsia" w:ascii="隶书" w:hAnsi="隶书" w:eastAsia="隶书" w:cs="隶书"/>
          <w:sz w:val="48"/>
          <w:szCs w:val="48"/>
          <w:lang w:eastAsia="zh-CN"/>
        </w:rPr>
        <w:t>信阳市浉河区财政局</w:t>
      </w:r>
      <w:r>
        <w:rPr>
          <w:rFonts w:hint="eastAsia" w:ascii="隶书" w:hAnsi="隶书" w:eastAsia="隶书" w:cs="隶书"/>
          <w:sz w:val="48"/>
          <w:szCs w:val="48"/>
        </w:rPr>
        <w:t>2018年度部门决算情况说明</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收入总计2746.41万元，其中：本年收入2733万元，年初结转和结余13.41万元；支出总计2746.41万元，其中：本年支出2735.1万元，年,末结转和结余11.31万元。与2017年相比，收入总计增加197.34万元，增长7.78%，支出总计增加177.07万元，增长6.92%。增加的主要原因：有人员增加，人员经费也增加。</w:t>
      </w:r>
    </w:p>
    <w:p>
      <w:pPr>
        <w:adjustRightInd w:val="0"/>
        <w:snapToGrid w:val="0"/>
        <w:spacing w:line="360" w:lineRule="auto"/>
        <w:rPr>
          <w:rFonts w:ascii="仿宋_GB2312" w:hAnsi="宋体" w:eastAsia="仿宋_GB2312" w:cs="Courier New"/>
          <w:sz w:val="32"/>
          <w:szCs w:val="32"/>
        </w:rPr>
      </w:pP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二、关于收入决算情况说明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2018年度</w:t>
      </w:r>
      <w:r>
        <w:rPr>
          <w:rFonts w:hint="eastAsia" w:ascii="仿宋_GB2312" w:hAnsi="Times New Roman" w:eastAsia="仿宋_GB2312"/>
          <w:sz w:val="32"/>
          <w:szCs w:val="32"/>
        </w:rPr>
        <w:t>收入合计2733万元，其中：财政拨款收入2733万元，占100</w:t>
      </w:r>
      <w:r>
        <w:rPr>
          <w:rFonts w:ascii="仿宋_GB2312" w:hAnsi="Times New Roman" w:eastAsia="仿宋_GB2312"/>
          <w:sz w:val="32"/>
          <w:szCs w:val="32"/>
        </w:rPr>
        <w:t>%</w:t>
      </w:r>
      <w:r>
        <w:rPr>
          <w:rFonts w:hint="eastAsia" w:ascii="仿宋_GB2312" w:hAnsi="Times New Roman" w:eastAsia="仿宋_GB2312"/>
          <w:sz w:val="32"/>
          <w:szCs w:val="32"/>
        </w:rPr>
        <w:t>；事业收入0万元，占0</w:t>
      </w:r>
      <w:r>
        <w:rPr>
          <w:rFonts w:ascii="仿宋_GB2312" w:hAnsi="Times New Roman" w:eastAsia="仿宋_GB2312"/>
          <w:sz w:val="32"/>
          <w:szCs w:val="32"/>
        </w:rPr>
        <w:t>%</w:t>
      </w:r>
      <w:r>
        <w:rPr>
          <w:rFonts w:hint="eastAsia" w:ascii="仿宋_GB2312" w:hAnsi="Times New Roman" w:eastAsia="仿宋_GB2312"/>
          <w:sz w:val="32"/>
          <w:szCs w:val="32"/>
        </w:rPr>
        <w:t>；经营收入0万元，占0</w:t>
      </w:r>
      <w:r>
        <w:rPr>
          <w:rFonts w:ascii="仿宋_GB2312" w:hAnsi="Times New Roman" w:eastAsia="仿宋_GB2312"/>
          <w:sz w:val="32"/>
          <w:szCs w:val="32"/>
        </w:rPr>
        <w:t>%</w:t>
      </w:r>
      <w:r>
        <w:rPr>
          <w:rFonts w:hint="eastAsia" w:ascii="仿宋_GB2312" w:hAnsi="Times New Roman" w:eastAsia="仿宋_GB2312"/>
          <w:sz w:val="32"/>
          <w:szCs w:val="32"/>
        </w:rPr>
        <w:t>；其他收入0万元，占0</w:t>
      </w:r>
      <w:r>
        <w:rPr>
          <w:rFonts w:ascii="仿宋_GB2312" w:hAnsi="Times New Roman" w:eastAsia="仿宋_GB2312"/>
          <w:sz w:val="32"/>
          <w:szCs w:val="32"/>
        </w:rPr>
        <w:t>%</w:t>
      </w:r>
      <w:r>
        <w:rPr>
          <w:rFonts w:hint="eastAsia" w:ascii="仿宋_GB2312" w:hAnsi="Times New Roman" w:eastAsia="仿宋_GB2312"/>
          <w:sz w:val="32"/>
          <w:szCs w:val="32"/>
        </w:rPr>
        <w:t>。</w:t>
      </w: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left="420" w:leftChars="200" w:firstLine="320" w:firstLineChars="100"/>
        <w:outlineLvl w:val="1"/>
        <w:rPr>
          <w:rFonts w:ascii="黑体" w:hAnsi="黑体" w:eastAsia="黑体"/>
          <w:sz w:val="32"/>
          <w:szCs w:val="32"/>
        </w:rPr>
      </w:pPr>
      <w:r>
        <w:rPr>
          <w:rFonts w:hint="eastAsia" w:ascii="黑体" w:hAnsi="黑体" w:eastAsia="黑体"/>
          <w:sz w:val="32"/>
          <w:szCs w:val="32"/>
        </w:rPr>
        <w:t>三、关于支出决算情况说明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2018年度支出合计2735.1万元，其中：基本支出2735.1万元，占100</w:t>
      </w:r>
      <w:r>
        <w:rPr>
          <w:rFonts w:ascii="仿宋_GB2312" w:hAnsi="宋体" w:eastAsia="仿宋_GB2312" w:cs="Courier New"/>
          <w:sz w:val="32"/>
          <w:szCs w:val="32"/>
        </w:rPr>
        <w:t>%</w:t>
      </w:r>
      <w:r>
        <w:rPr>
          <w:rFonts w:hint="eastAsia" w:ascii="仿宋_GB2312" w:hAnsi="宋体" w:eastAsia="仿宋_GB2312" w:cs="Courier New"/>
          <w:sz w:val="32"/>
          <w:szCs w:val="32"/>
        </w:rPr>
        <w:t>；项目支出0万元，占0%；经营支出0万元，占0%。</w:t>
      </w:r>
    </w:p>
    <w:p>
      <w:pPr>
        <w:adjustRightInd w:val="0"/>
        <w:snapToGrid w:val="0"/>
        <w:spacing w:line="360" w:lineRule="auto"/>
        <w:rPr>
          <w:rFonts w:ascii="宋体" w:hAnsi="宋体" w:eastAsia="宋体" w:cs="宋体"/>
          <w:sz w:val="24"/>
        </w:rPr>
      </w:pPr>
    </w:p>
    <w:p>
      <w:pPr>
        <w:adjustRightInd w:val="0"/>
        <w:snapToGrid w:val="0"/>
        <w:spacing w:line="360" w:lineRule="auto"/>
        <w:ind w:left="420" w:leftChars="200" w:firstLine="320" w:firstLineChars="100"/>
        <w:outlineLvl w:val="1"/>
        <w:rPr>
          <w:rFonts w:ascii="黑体" w:hAnsi="黑体" w:eastAsia="黑体"/>
          <w:sz w:val="32"/>
          <w:szCs w:val="32"/>
        </w:rPr>
      </w:pPr>
      <w:r>
        <w:rPr>
          <w:rFonts w:hint="eastAsia" w:ascii="黑体" w:hAnsi="黑体" w:eastAsia="黑体"/>
          <w:sz w:val="32"/>
          <w:szCs w:val="32"/>
        </w:rPr>
        <w:t>四、关于财政拨款收入支出决算总体情况说明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2018年财政拨款收入总决算总计</w:t>
      </w:r>
      <w:r>
        <w:rPr>
          <w:rFonts w:ascii="仿宋_GB2312" w:hAnsi="宋体" w:eastAsia="仿宋_GB2312" w:cs="Courier New"/>
          <w:sz w:val="32"/>
          <w:szCs w:val="32"/>
        </w:rPr>
        <w:t>2,746.41</w:t>
      </w:r>
      <w:r>
        <w:rPr>
          <w:rFonts w:hint="eastAsia" w:ascii="仿宋_GB2312" w:hAnsi="宋体" w:eastAsia="仿宋_GB2312" w:cs="Courier New"/>
          <w:sz w:val="32"/>
          <w:szCs w:val="32"/>
        </w:rPr>
        <w:t>万元，支出总决算总计</w:t>
      </w:r>
      <w:r>
        <w:rPr>
          <w:rFonts w:ascii="仿宋_GB2312" w:hAnsi="宋体" w:eastAsia="仿宋_GB2312" w:cs="Courier New"/>
          <w:sz w:val="32"/>
          <w:szCs w:val="32"/>
        </w:rPr>
        <w:t>2,746.41</w:t>
      </w:r>
      <w:r>
        <w:rPr>
          <w:rFonts w:hint="eastAsia" w:ascii="仿宋_GB2312" w:hAnsi="宋体" w:eastAsia="仿宋_GB2312" w:cs="Courier New"/>
          <w:sz w:val="32"/>
          <w:szCs w:val="32"/>
        </w:rPr>
        <w:t>万元。与2017年相比，财政拨款收入总计增加</w:t>
      </w:r>
      <w:r>
        <w:rPr>
          <w:rFonts w:ascii="仿宋_GB2312" w:hAnsi="宋体" w:eastAsia="仿宋_GB2312" w:cs="Courier New"/>
          <w:sz w:val="32"/>
          <w:szCs w:val="32"/>
        </w:rPr>
        <w:t>174.98</w:t>
      </w:r>
      <w:r>
        <w:rPr>
          <w:rFonts w:hint="eastAsia" w:ascii="仿宋_GB2312" w:hAnsi="宋体" w:eastAsia="仿宋_GB2312" w:cs="Courier New"/>
          <w:sz w:val="32"/>
          <w:szCs w:val="32"/>
        </w:rPr>
        <w:t>万元，增长</w:t>
      </w:r>
      <w:r>
        <w:rPr>
          <w:rFonts w:ascii="仿宋_GB2312" w:hAnsi="宋体" w:eastAsia="仿宋_GB2312" w:cs="Courier New"/>
          <w:sz w:val="32"/>
          <w:szCs w:val="32"/>
        </w:rPr>
        <w:t>6.80%</w:t>
      </w:r>
      <w:r>
        <w:rPr>
          <w:rFonts w:hint="eastAsia" w:ascii="仿宋_GB2312" w:hAnsi="宋体" w:eastAsia="仿宋_GB2312" w:cs="Courier New"/>
          <w:sz w:val="32"/>
          <w:szCs w:val="32"/>
        </w:rPr>
        <w:t>，财政拨款支出总计增加</w:t>
      </w:r>
      <w:r>
        <w:rPr>
          <w:rFonts w:ascii="仿宋_GB2312" w:hAnsi="宋体" w:eastAsia="仿宋_GB2312" w:cs="Courier New"/>
          <w:sz w:val="32"/>
          <w:szCs w:val="32"/>
        </w:rPr>
        <w:t>174.98</w:t>
      </w:r>
      <w:r>
        <w:rPr>
          <w:rFonts w:hint="eastAsia" w:ascii="仿宋_GB2312" w:hAnsi="宋体" w:eastAsia="仿宋_GB2312" w:cs="Courier New"/>
          <w:sz w:val="32"/>
          <w:szCs w:val="32"/>
        </w:rPr>
        <w:t>万元，增长</w:t>
      </w:r>
      <w:r>
        <w:rPr>
          <w:rFonts w:ascii="仿宋_GB2312" w:hAnsi="宋体" w:eastAsia="仿宋_GB2312" w:cs="Courier New"/>
          <w:sz w:val="32"/>
          <w:szCs w:val="32"/>
        </w:rPr>
        <w:t>6.80%</w:t>
      </w:r>
      <w:r>
        <w:rPr>
          <w:rFonts w:hint="eastAsia" w:ascii="仿宋_GB2312" w:hAnsi="宋体" w:eastAsia="仿宋_GB2312" w:cs="Courier New"/>
          <w:sz w:val="32"/>
          <w:szCs w:val="32"/>
        </w:rPr>
        <w:t>。</w:t>
      </w:r>
      <w:r>
        <w:rPr>
          <w:rFonts w:hint="eastAsia" w:ascii="仿宋_GB2312" w:eastAsia="仿宋_GB2312"/>
          <w:sz w:val="32"/>
          <w:szCs w:val="32"/>
        </w:rPr>
        <w:t>主要</w:t>
      </w:r>
      <w:r>
        <w:rPr>
          <w:rFonts w:hint="eastAsia" w:ascii="仿宋_GB2312" w:hAnsi="宋体" w:eastAsia="仿宋_GB2312" w:cs="Courier New"/>
          <w:sz w:val="32"/>
          <w:szCs w:val="32"/>
        </w:rPr>
        <w:t>原因是有新增人员。</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left="420" w:leftChars="200" w:firstLine="320" w:firstLineChars="100"/>
        <w:outlineLvl w:val="1"/>
        <w:rPr>
          <w:rFonts w:ascii="黑体" w:hAnsi="黑体" w:eastAsia="黑体"/>
          <w:sz w:val="32"/>
          <w:szCs w:val="32"/>
        </w:rPr>
      </w:pPr>
      <w:r>
        <w:rPr>
          <w:rFonts w:hint="eastAsia" w:ascii="黑体" w:hAnsi="黑体" w:eastAsia="黑体"/>
          <w:sz w:val="32"/>
          <w:szCs w:val="32"/>
        </w:rPr>
        <w:t>五、关于一般公共预算财政拨款支出决算情况说明</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2018年一般公共预算财政拨款支出2735.1万元，占支出合计的100%。与2017年相比，一般公共预算财政拨款支出增长177.07万元，增长6.92%。</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一般公共预算财政拨款支出2735.1万元，主要用于以下方面：一般公共服务支出2655.94万元，占97.1%；外交支出0万元，占0%；社会保障和就业支出79.15万元，占2.9%；医疗卫生与计划生育支出0万元，占0%；住房保障支出0万元，占0%。</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2018年度一般公共预算财政拨款支出年初预算为2422.7万元，支出决算为2735.1万元，完成年初预算的112.89%。决算数大于预算数的主要原因：有人员增加，人员经费也增加。其中：</w:t>
      </w:r>
    </w:p>
    <w:p>
      <w:pPr>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1、一般公共服务（类）财政事务（款）行政运行（项）。</w:t>
      </w:r>
      <w:r>
        <w:rPr>
          <w:rFonts w:hint="eastAsia" w:ascii="仿宋_GB2312" w:hAnsi="宋体" w:eastAsia="仿宋_GB2312" w:cs="Courier New"/>
          <w:sz w:val="32"/>
          <w:szCs w:val="32"/>
        </w:rPr>
        <w:t>年初预算为435万元，支出决算为558.55万元，完成年初预算的128.4%。决算数大于预算数的主要原因是人员增加，人员经费也增加。</w:t>
      </w:r>
    </w:p>
    <w:p>
      <w:pPr>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eastAsia="仿宋_GB2312"/>
          <w:b/>
          <w:bCs/>
          <w:sz w:val="32"/>
          <w:szCs w:val="32"/>
        </w:rPr>
        <w:t>2、一般公共服务支出（类）财政事务（款）事业运行（项）。</w:t>
      </w:r>
      <w:r>
        <w:rPr>
          <w:rFonts w:hint="eastAsia" w:ascii="仿宋_GB2312" w:eastAsia="仿宋_GB2312"/>
          <w:sz w:val="32"/>
          <w:szCs w:val="32"/>
        </w:rPr>
        <w:t>年初预算为1197.7万元，支出决算为2097.4万元，完成年初预算的175.1%。</w:t>
      </w:r>
      <w:r>
        <w:rPr>
          <w:rFonts w:hint="eastAsia" w:ascii="仿宋_GB2312" w:hAnsi="宋体" w:eastAsia="仿宋_GB2312" w:cs="Courier New"/>
          <w:sz w:val="32"/>
          <w:szCs w:val="32"/>
        </w:rPr>
        <w:t>决算数大于预算数的主要原因是人员增加，人员经费也增加。</w:t>
      </w:r>
    </w:p>
    <w:p>
      <w:pPr>
        <w:pStyle w:val="4"/>
        <w:autoSpaceDE w:val="0"/>
        <w:spacing w:before="0" w:beforeAutospacing="0" w:line="360" w:lineRule="auto"/>
        <w:ind w:firstLine="643" w:firstLineChars="200"/>
        <w:jc w:val="both"/>
        <w:rPr>
          <w:rFonts w:ascii="仿宋_GB2312" w:eastAsia="仿宋_GB2312"/>
          <w:kern w:val="2"/>
          <w:sz w:val="32"/>
          <w:szCs w:val="32"/>
        </w:rPr>
      </w:pPr>
      <w:r>
        <w:rPr>
          <w:rFonts w:hint="eastAsia" w:ascii="仿宋_GB2312" w:eastAsia="仿宋_GB2312"/>
          <w:b/>
          <w:bCs/>
          <w:kern w:val="2"/>
          <w:sz w:val="32"/>
          <w:szCs w:val="32"/>
        </w:rPr>
        <w:t>3、社会保障和就业支出（类）行政事业单位离退休（款）  归口管理的行政单位离退休（项）。</w:t>
      </w:r>
      <w:r>
        <w:rPr>
          <w:rFonts w:hint="eastAsia" w:ascii="仿宋_GB2312" w:eastAsia="仿宋_GB2312"/>
          <w:kern w:val="2"/>
          <w:sz w:val="32"/>
          <w:szCs w:val="32"/>
        </w:rPr>
        <w:t>年初预算为43万元，支出决算为78.82万元，完成年初预算的183.3%。决算数与年初预算数存在差异的主要原因是退休人员增加。</w:t>
      </w:r>
    </w:p>
    <w:p>
      <w:pPr>
        <w:pStyle w:val="4"/>
        <w:autoSpaceDE w:val="0"/>
        <w:spacing w:before="0" w:beforeAutospacing="0" w:line="360" w:lineRule="auto"/>
        <w:ind w:firstLine="643" w:firstLineChars="200"/>
        <w:jc w:val="both"/>
        <w:rPr>
          <w:rFonts w:ascii="仿宋_GB2312" w:eastAsia="仿宋_GB2312"/>
          <w:kern w:val="2"/>
          <w:sz w:val="32"/>
          <w:szCs w:val="32"/>
        </w:rPr>
      </w:pPr>
      <w:r>
        <w:rPr>
          <w:rFonts w:hint="eastAsia" w:ascii="仿宋_GB2312" w:eastAsia="仿宋_GB2312"/>
          <w:b/>
          <w:bCs/>
          <w:kern w:val="2"/>
          <w:sz w:val="32"/>
          <w:szCs w:val="32"/>
        </w:rPr>
        <w:t>4、社会保障和就业支出（类）抚恤（款）死亡抚恤（项）。</w:t>
      </w:r>
      <w:r>
        <w:rPr>
          <w:rFonts w:hint="eastAsia" w:ascii="仿宋_GB2312" w:eastAsia="仿宋_GB2312"/>
          <w:kern w:val="2"/>
          <w:sz w:val="32"/>
          <w:szCs w:val="32"/>
        </w:rPr>
        <w:t>年初预算为1万元，支出决算为0.34万元，完成年初预算的34%。决算数与年初预算数存在差异的主要原因是严格按照标准执行。</w:t>
      </w:r>
    </w:p>
    <w:p>
      <w:pPr>
        <w:pStyle w:val="4"/>
        <w:autoSpaceDE w:val="0"/>
        <w:spacing w:before="0" w:beforeAutospacing="0" w:line="360" w:lineRule="auto"/>
        <w:ind w:firstLine="640" w:firstLineChars="200"/>
        <w:jc w:val="both"/>
        <w:rPr>
          <w:rFonts w:ascii="仿宋_GB2312" w:eastAsia="仿宋_GB2312"/>
          <w:kern w:val="2"/>
          <w:sz w:val="32"/>
          <w:szCs w:val="32"/>
        </w:rPr>
      </w:pP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六、关于一般公共预算财政拨款基本支出决算情况说明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2018年一般公共预算财政拨款基本支出2735.1万元，其中：</w:t>
      </w:r>
      <w:r>
        <w:rPr>
          <w:rFonts w:hint="eastAsia" w:ascii="仿宋_GB2312" w:hAnsi="Times New Roman" w:eastAsia="仿宋_GB2312" w:cs="仿宋_GB2312"/>
          <w:b/>
          <w:spacing w:val="-1"/>
          <w:kern w:val="0"/>
          <w:sz w:val="32"/>
          <w:szCs w:val="32"/>
        </w:rPr>
        <w:t>人员经费</w:t>
      </w:r>
      <w:r>
        <w:rPr>
          <w:rFonts w:hint="eastAsia" w:ascii="仿宋_GB2312" w:hAnsi="Times New Roman" w:eastAsia="仿宋_GB2312" w:cs="仿宋_GB2312"/>
          <w:bCs/>
          <w:spacing w:val="-1"/>
          <w:kern w:val="0"/>
          <w:sz w:val="32"/>
          <w:szCs w:val="32"/>
        </w:rPr>
        <w:t>2441.35万元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主要包括：基本工资、津贴补贴、奖金、其他社会保障缴费、绩效工资、机关事业单位基本养老保险缴费、职业年金缴费、其他工资福利支出、退休费、奖励金、住房公积金、其他对个人和家庭的补助支出；</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bCs/>
          <w:spacing w:val="-1"/>
          <w:kern w:val="0"/>
          <w:sz w:val="32"/>
          <w:szCs w:val="32"/>
        </w:rPr>
        <w:t>293.75</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，主要包括：办公费、印刷费、水电费、邮电费、物业管理费、差旅费、维修（护）费、会议费、培训费、公务接待费、业务费、工会经费、其他交通费用、其他商品和服务支出、办公设备购置。</w:t>
      </w:r>
    </w:p>
    <w:p>
      <w:pPr>
        <w:adjustRightInd w:val="0"/>
        <w:snapToGrid w:val="0"/>
        <w:spacing w:line="360" w:lineRule="auto"/>
        <w:rPr>
          <w:rFonts w:ascii="仿宋_GB2312" w:hAnsi="宋体" w:eastAsia="仿宋_GB2312" w:cs="Courier New"/>
          <w:sz w:val="32"/>
          <w:szCs w:val="32"/>
        </w:rPr>
      </w:pP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七、关于一般公共预算财政拨款“三公”经费支出决算情况说明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三公”经费财政拨款支出预算为22万元，支出决算为5.58万元，完成预算的25.36%，其中：因公出国（境）费支出决算为0万元，完成预算的0%；公务用车购置及运行费支出决算为0万元，完成预算的0%；公务接待费支出决算为5.58万元，完成预算的25.36%。2018年度“三公”经费支出决算数小于预算数的主要原因是：取消了公务用车，公务接待严格按照各级纪检部门的要求，大大减少了公务接待费用。</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三公”经费财政拨款支出决算数比2017年减少16.7万元，下降74.96%，其中：因公出国（境）费支出决算均为0元；公务用车购置及运行费支出决算为0万元；公务接待费支出决算减少16.7万元，下降74.96%。公务用车购置及运行费支出减少的主要原因是取消了公务用车；公务接待费支出减少的主要原因是公务接待严格按照各级纪检部门的要求，大大减少了公务接待费用。</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2018年度“三公”经费财政拨款支出决算中，因公出国（境）费支出决算0万元，占0%；公务用车购置及运行费支出决算0万元，占0%；公务接待费支出决算5.58万元，占100%。具体情况如下：</w:t>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因公出国（境）费</w:t>
      </w:r>
      <w:r>
        <w:rPr>
          <w:rFonts w:hint="eastAsia" w:ascii="仿宋_GB2312" w:hAnsi="仿宋_GB2312" w:eastAsia="仿宋_GB2312" w:cs="仿宋_GB2312"/>
          <w:sz w:val="32"/>
          <w:szCs w:val="32"/>
        </w:rPr>
        <w:t>年初预算为0万元，支出决算为0万元</w:t>
      </w:r>
      <w:r>
        <w:rPr>
          <w:rFonts w:hint="eastAsia" w:ascii="仿宋_GB2312" w:hAnsi="宋体" w:eastAsia="仿宋_GB2312" w:cs="Courier New"/>
          <w:sz w:val="32"/>
          <w:szCs w:val="32"/>
        </w:rPr>
        <w:t>。全年安排局机关、和单位因公出国（境）团组0个，累计0人次。</w:t>
      </w:r>
    </w:p>
    <w:p>
      <w:pPr>
        <w:pStyle w:val="4"/>
        <w:autoSpaceDE w:val="0"/>
        <w:spacing w:before="0" w:beforeAutospacing="0" w:line="360" w:lineRule="auto"/>
        <w:ind w:left="420" w:leftChars="200" w:firstLine="643" w:firstLineChars="200"/>
        <w:jc w:val="both"/>
        <w:rPr>
          <w:rFonts w:ascii="仿宋_GB2312" w:eastAsia="仿宋_GB2312"/>
          <w:kern w:val="2"/>
          <w:sz w:val="32"/>
          <w:szCs w:val="32"/>
        </w:rPr>
      </w:pPr>
      <w:r>
        <w:rPr>
          <w:rFonts w:hint="eastAsia" w:ascii="仿宋_GB2312" w:eastAsia="仿宋_GB2312"/>
          <w:b/>
          <w:bCs/>
          <w:kern w:val="2"/>
          <w:sz w:val="32"/>
          <w:szCs w:val="32"/>
        </w:rPr>
        <w:t>2、公务用车购置及运行费</w:t>
      </w:r>
      <w:r>
        <w:rPr>
          <w:rFonts w:hint="eastAsia" w:ascii="仿宋_GB2312" w:hAnsi="仿宋_GB2312" w:eastAsia="仿宋_GB2312" w:cs="仿宋_GB2312"/>
          <w:sz w:val="32"/>
          <w:szCs w:val="32"/>
        </w:rPr>
        <w:t>年初预算为0万元，支出决算为0万元</w:t>
      </w:r>
      <w:r>
        <w:rPr>
          <w:rFonts w:hint="eastAsia" w:ascii="仿宋_GB2312" w:eastAsia="仿宋_GB2312"/>
          <w:kern w:val="2"/>
          <w:sz w:val="32"/>
          <w:szCs w:val="32"/>
        </w:rPr>
        <w:t>，完成预算的0%。其中：</w:t>
      </w:r>
    </w:p>
    <w:p>
      <w:pPr>
        <w:pStyle w:val="4"/>
        <w:autoSpaceDE w:val="0"/>
        <w:spacing w:before="0" w:beforeAutospacing="0" w:line="360" w:lineRule="auto"/>
        <w:ind w:left="420" w:leftChars="200" w:firstLine="643" w:firstLineChars="200"/>
        <w:jc w:val="both"/>
        <w:rPr>
          <w:rFonts w:ascii="仿宋_GB2312" w:eastAsia="仿宋_GB2312"/>
          <w:kern w:val="2"/>
          <w:sz w:val="32"/>
          <w:szCs w:val="32"/>
        </w:rPr>
      </w:pPr>
      <w:r>
        <w:rPr>
          <w:rFonts w:hint="eastAsia" w:ascii="仿宋_GB2312" w:eastAsia="仿宋_GB2312"/>
          <w:b/>
          <w:bCs/>
          <w:kern w:val="2"/>
          <w:sz w:val="32"/>
          <w:szCs w:val="32"/>
        </w:rPr>
        <w:t>公务用车购置支出</w:t>
      </w:r>
      <w:r>
        <w:rPr>
          <w:rFonts w:hint="eastAsia" w:ascii="仿宋_GB2312" w:eastAsia="仿宋_GB2312"/>
          <w:kern w:val="2"/>
          <w:sz w:val="32"/>
          <w:szCs w:val="32"/>
        </w:rPr>
        <w:t>为0万元，购置车辆0辆。</w:t>
      </w:r>
    </w:p>
    <w:p>
      <w:pPr>
        <w:pStyle w:val="4"/>
        <w:autoSpaceDE w:val="0"/>
        <w:spacing w:before="0" w:beforeAutospacing="0" w:line="360" w:lineRule="auto"/>
        <w:ind w:left="420" w:leftChars="200" w:firstLine="643" w:firstLineChars="200"/>
        <w:jc w:val="both"/>
      </w:pPr>
      <w:r>
        <w:rPr>
          <w:rFonts w:hint="eastAsia" w:ascii="仿宋_GB2312" w:eastAsia="仿宋_GB2312"/>
          <w:b/>
          <w:bCs/>
          <w:kern w:val="2"/>
          <w:sz w:val="32"/>
          <w:szCs w:val="32"/>
        </w:rPr>
        <w:t>公务用车运行支出</w:t>
      </w:r>
      <w:r>
        <w:rPr>
          <w:rFonts w:hint="eastAsia" w:ascii="仿宋_GB2312" w:eastAsia="仿宋_GB2312"/>
          <w:sz w:val="32"/>
          <w:szCs w:val="32"/>
        </w:rPr>
        <w:t>0</w:t>
      </w:r>
      <w:r>
        <w:rPr>
          <w:rFonts w:hint="eastAsia" w:ascii="仿宋_GB2312" w:eastAsia="仿宋_GB2312"/>
          <w:kern w:val="2"/>
          <w:sz w:val="32"/>
          <w:szCs w:val="32"/>
        </w:rPr>
        <w:t>万元。2018年期末，部门开支财政拨款的公务用车保有量为0辆。</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3、公务接待费</w:t>
      </w:r>
      <w:r>
        <w:rPr>
          <w:rFonts w:hint="eastAsia" w:ascii="仿宋_GB2312" w:hAnsi="宋体" w:eastAsia="仿宋_GB2312" w:cs="Courier New"/>
          <w:bCs/>
          <w:sz w:val="32"/>
          <w:szCs w:val="32"/>
        </w:rPr>
        <w:t>年初预算为</w:t>
      </w:r>
      <w:r>
        <w:rPr>
          <w:rFonts w:ascii="仿宋_GB2312" w:hAnsi="宋体" w:eastAsia="仿宋_GB2312" w:cs="Courier New"/>
          <w:bCs/>
          <w:sz w:val="32"/>
          <w:szCs w:val="32"/>
        </w:rPr>
        <w:t>22</w:t>
      </w:r>
      <w:r>
        <w:rPr>
          <w:rFonts w:hint="eastAsia" w:ascii="仿宋_GB2312" w:hAnsi="宋体" w:eastAsia="仿宋_GB2312" w:cs="Courier New"/>
          <w:bCs/>
          <w:sz w:val="32"/>
          <w:szCs w:val="32"/>
        </w:rPr>
        <w:t>万元，支出决算为</w:t>
      </w:r>
      <w:r>
        <w:rPr>
          <w:rFonts w:hint="eastAsia" w:ascii="仿宋_GB2312" w:hAnsi="宋体" w:eastAsia="仿宋_GB2312" w:cs="Courier New"/>
          <w:sz w:val="32"/>
          <w:szCs w:val="32"/>
        </w:rPr>
        <w:t>5.58</w:t>
      </w:r>
      <w:r>
        <w:rPr>
          <w:rFonts w:hint="eastAsia" w:ascii="仿宋_GB2312" w:hAnsi="宋体" w:eastAsia="仿宋_GB2312" w:cs="Courier New"/>
          <w:bCs/>
          <w:sz w:val="32"/>
          <w:szCs w:val="32"/>
        </w:rPr>
        <w:t>万元，</w:t>
      </w:r>
      <w:r>
        <w:rPr>
          <w:rFonts w:ascii="仿宋_GB2312" w:hAnsi="宋体" w:eastAsia="仿宋_GB2312" w:cs="Courier New"/>
          <w:bCs/>
          <w:sz w:val="32"/>
          <w:szCs w:val="32"/>
        </w:rPr>
        <w:t>完成预算的25.36%</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其中：</w:t>
      </w:r>
    </w:p>
    <w:p>
      <w:pPr>
        <w:pStyle w:val="4"/>
        <w:autoSpaceDE w:val="0"/>
        <w:spacing w:before="0" w:beforeAutospacing="0" w:line="360" w:lineRule="auto"/>
        <w:ind w:firstLine="643" w:firstLineChars="200"/>
        <w:jc w:val="both"/>
        <w:rPr>
          <w:rFonts w:ascii="仿宋_GB2312" w:eastAsia="仿宋_GB2312" w:cs="Courier New"/>
          <w:sz w:val="32"/>
          <w:szCs w:val="32"/>
        </w:rPr>
      </w:pPr>
      <w:r>
        <w:rPr>
          <w:rFonts w:hint="eastAsia" w:ascii="仿宋_GB2312" w:eastAsia="仿宋_GB2312" w:cs="Courier New"/>
          <w:b/>
          <w:bCs/>
          <w:sz w:val="32"/>
          <w:szCs w:val="32"/>
        </w:rPr>
        <w:t>外宾接待</w:t>
      </w:r>
      <w:r>
        <w:rPr>
          <w:rFonts w:hint="eastAsia" w:ascii="仿宋_GB2312" w:eastAsia="仿宋_GB2312" w:cs="Courier New"/>
          <w:sz w:val="32"/>
          <w:szCs w:val="32"/>
        </w:rPr>
        <w:t>支出为0万元。</w:t>
      </w:r>
      <w:r>
        <w:rPr>
          <w:rFonts w:hint="eastAsia" w:ascii="仿宋_GB2312" w:eastAsia="仿宋_GB2312"/>
          <w:kern w:val="2"/>
          <w:sz w:val="32"/>
          <w:szCs w:val="32"/>
        </w:rPr>
        <w:t>2019年共接待国（境）外来访团组0个、来访外宾0人次（不包括陪同人员）。</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支出为5.58万元。主要用于主要用于信阳市浉河区财政局日常的公务接待和加班餐。信阳市浉河区财政局2018年度共计接待35次，280人。</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八、关于政府性基金预算财政拨款支出决算情况说明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2018年度政府性基金预算财政拨款支出年初预算为0万元，支出决算为0万元，完成年初预算的0%。</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九、其他重要事项的情况说明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2018年度机关运行经费支出293.75万元，比2017年减少21.55万元，下降6.83</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2018年度政府采购支出总额11.17万元，其中：政府采购货物支出11.17万元，占比100</w:t>
      </w:r>
      <w:r>
        <w:rPr>
          <w:rFonts w:ascii="仿宋_GB2312" w:hAnsi="宋体" w:eastAsia="仿宋_GB2312" w:cs="Courier New"/>
          <w:sz w:val="32"/>
          <w:szCs w:val="32"/>
        </w:rPr>
        <w:t>%</w:t>
      </w:r>
      <w:r>
        <w:rPr>
          <w:rFonts w:hint="eastAsia" w:ascii="仿宋_GB2312" w:hAnsi="宋体" w:eastAsia="仿宋_GB2312" w:cs="Courier New"/>
          <w:sz w:val="32"/>
          <w:szCs w:val="32"/>
        </w:rPr>
        <w:t>，政府采购工程支出0万元，政府采购服务支出0万元。授予中小企业合同金额0万元，占政府采购支出总额的0%，其中：授予小微企业合同金额0万元，占政府采购支出总额的0%。</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r>
        <w:rPr>
          <w:rFonts w:hint="eastAsia" w:ascii="仿宋_GB2312" w:hAnsi="宋体" w:eastAsia="仿宋_GB2312" w:cs="Courier New"/>
          <w:sz w:val="32"/>
          <w:szCs w:val="32"/>
        </w:rPr>
        <w:t>2018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是指ＸＸ厅（局）用于保障机构正常运行、开展日常工作的基本支出。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360" w:lineRule="auto"/>
        <w:ind w:firstLine="640" w:firstLineChars="200"/>
        <w:rPr>
          <w:rFonts w:ascii="仿宋_GB2312" w:hAnsi="Times New Roman" w:eastAsia="仿宋_GB2312"/>
          <w:sz w:val="32"/>
          <w:szCs w:val="32"/>
        </w:rPr>
      </w:pPr>
    </w:p>
    <w:p>
      <w:pPr>
        <w:spacing w:line="360" w:lineRule="auto"/>
        <w:ind w:firstLine="960" w:firstLineChars="200"/>
        <w:rPr>
          <w:rFonts w:ascii="隶书" w:hAnsi="隶书" w:eastAsia="隶书" w:cs="隶书"/>
          <w:sz w:val="48"/>
          <w:szCs w:val="48"/>
        </w:rPr>
      </w:pPr>
    </w:p>
    <w:p>
      <w:pPr>
        <w:spacing w:line="360" w:lineRule="auto"/>
        <w:ind w:firstLine="960" w:firstLineChars="200"/>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- 15 -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6A25E"/>
    <w:multiLevelType w:val="singleLevel"/>
    <w:tmpl w:val="A9D6A25E"/>
    <w:lvl w:ilvl="0" w:tentative="0">
      <w:start w:val="2"/>
      <w:numFmt w:val="decimal"/>
      <w:suff w:val="nothing"/>
      <w:lvlText w:val="%1、"/>
      <w:lvlJc w:val="left"/>
    </w:lvl>
  </w:abstractNum>
  <w:abstractNum w:abstractNumId="1">
    <w:nsid w:val="5971BE17"/>
    <w:multiLevelType w:val="singleLevel"/>
    <w:tmpl w:val="5971BE17"/>
    <w:lvl w:ilvl="0" w:tentative="0">
      <w:start w:val="1"/>
      <w:numFmt w:val="chineseCounting"/>
      <w:suff w:val="nothing"/>
      <w:lvlText w:val="%1、"/>
      <w:lvlJc w:val="left"/>
    </w:lvl>
  </w:abstractNum>
  <w:abstractNum w:abstractNumId="2">
    <w:nsid w:val="5971C2CF"/>
    <w:multiLevelType w:val="singleLevel"/>
    <w:tmpl w:val="5971C2CF"/>
    <w:lvl w:ilvl="0" w:tentative="0">
      <w:start w:val="1"/>
      <w:numFmt w:val="decimal"/>
      <w:suff w:val="nothing"/>
      <w:lvlText w:val="%1．"/>
      <w:lvlJc w:val="left"/>
      <w:pPr>
        <w:ind w:left="-10" w:firstLine="400"/>
      </w:pPr>
      <w:rPr>
        <w:rFonts w:hint="default" w:cs="Times New Roman"/>
      </w:rPr>
    </w:lvl>
  </w:abstractNum>
  <w:abstractNum w:abstractNumId="3">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4">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5">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6">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7">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8">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40339"/>
    <w:rsid w:val="00172A27"/>
    <w:rsid w:val="001F7981"/>
    <w:rsid w:val="003E4D7F"/>
    <w:rsid w:val="0044253A"/>
    <w:rsid w:val="004D7414"/>
    <w:rsid w:val="004F20F9"/>
    <w:rsid w:val="005F0420"/>
    <w:rsid w:val="00630D31"/>
    <w:rsid w:val="00765419"/>
    <w:rsid w:val="007E2F78"/>
    <w:rsid w:val="007E56C6"/>
    <w:rsid w:val="00B54309"/>
    <w:rsid w:val="00B84FB0"/>
    <w:rsid w:val="00BE0230"/>
    <w:rsid w:val="00D172D7"/>
    <w:rsid w:val="00E7719E"/>
    <w:rsid w:val="00EF0E82"/>
    <w:rsid w:val="02C24883"/>
    <w:rsid w:val="03083FCB"/>
    <w:rsid w:val="04453648"/>
    <w:rsid w:val="0594109C"/>
    <w:rsid w:val="063D436E"/>
    <w:rsid w:val="07D344B8"/>
    <w:rsid w:val="087F16AF"/>
    <w:rsid w:val="09BB2134"/>
    <w:rsid w:val="0AF241D9"/>
    <w:rsid w:val="0B573885"/>
    <w:rsid w:val="0DA0453C"/>
    <w:rsid w:val="0DA7372B"/>
    <w:rsid w:val="0DB62C91"/>
    <w:rsid w:val="0DEE73A4"/>
    <w:rsid w:val="0E660AF9"/>
    <w:rsid w:val="113D12D8"/>
    <w:rsid w:val="15492582"/>
    <w:rsid w:val="15A62EDD"/>
    <w:rsid w:val="161B69EA"/>
    <w:rsid w:val="1724484A"/>
    <w:rsid w:val="192E42A3"/>
    <w:rsid w:val="1AD3679C"/>
    <w:rsid w:val="1B9E2819"/>
    <w:rsid w:val="1C1746C0"/>
    <w:rsid w:val="1CF176C9"/>
    <w:rsid w:val="1E330EA8"/>
    <w:rsid w:val="1E7D3B34"/>
    <w:rsid w:val="1F0826A2"/>
    <w:rsid w:val="222550CC"/>
    <w:rsid w:val="247403BE"/>
    <w:rsid w:val="24AB09EA"/>
    <w:rsid w:val="26536B97"/>
    <w:rsid w:val="299643FA"/>
    <w:rsid w:val="29DD18DC"/>
    <w:rsid w:val="2BA4769A"/>
    <w:rsid w:val="2BCC10E8"/>
    <w:rsid w:val="2C852676"/>
    <w:rsid w:val="2C9620ED"/>
    <w:rsid w:val="2CD06EF4"/>
    <w:rsid w:val="2DD53DBA"/>
    <w:rsid w:val="2F655CF4"/>
    <w:rsid w:val="31B360E0"/>
    <w:rsid w:val="326E567F"/>
    <w:rsid w:val="32B57537"/>
    <w:rsid w:val="32C256AA"/>
    <w:rsid w:val="32EF40CE"/>
    <w:rsid w:val="357E731D"/>
    <w:rsid w:val="358C07BE"/>
    <w:rsid w:val="35F609B5"/>
    <w:rsid w:val="362238F6"/>
    <w:rsid w:val="363217CB"/>
    <w:rsid w:val="36B27FF7"/>
    <w:rsid w:val="36D260D7"/>
    <w:rsid w:val="372974AC"/>
    <w:rsid w:val="37623FFE"/>
    <w:rsid w:val="38124B7C"/>
    <w:rsid w:val="386D68C9"/>
    <w:rsid w:val="3AC5100B"/>
    <w:rsid w:val="3B4B61A3"/>
    <w:rsid w:val="3BDE2C02"/>
    <w:rsid w:val="3CDF4EC3"/>
    <w:rsid w:val="3D7D1554"/>
    <w:rsid w:val="3FB02FA3"/>
    <w:rsid w:val="40584BAB"/>
    <w:rsid w:val="42271DDB"/>
    <w:rsid w:val="431B09A7"/>
    <w:rsid w:val="43322A6F"/>
    <w:rsid w:val="44141F45"/>
    <w:rsid w:val="44414BA9"/>
    <w:rsid w:val="44CA23C7"/>
    <w:rsid w:val="46683F21"/>
    <w:rsid w:val="48B52937"/>
    <w:rsid w:val="48EE3EF3"/>
    <w:rsid w:val="492C0B28"/>
    <w:rsid w:val="4A0F2EB7"/>
    <w:rsid w:val="4C1E2F28"/>
    <w:rsid w:val="4C5A7CE2"/>
    <w:rsid w:val="4C7E1426"/>
    <w:rsid w:val="4DB618D5"/>
    <w:rsid w:val="4EB5789C"/>
    <w:rsid w:val="50305A4E"/>
    <w:rsid w:val="51E83DD5"/>
    <w:rsid w:val="521A268A"/>
    <w:rsid w:val="5651051D"/>
    <w:rsid w:val="570559A2"/>
    <w:rsid w:val="570F7880"/>
    <w:rsid w:val="57493756"/>
    <w:rsid w:val="57E961A8"/>
    <w:rsid w:val="581E77CF"/>
    <w:rsid w:val="58B06254"/>
    <w:rsid w:val="58BA6662"/>
    <w:rsid w:val="5952246D"/>
    <w:rsid w:val="5AF25131"/>
    <w:rsid w:val="5AFF482E"/>
    <w:rsid w:val="5B350FE4"/>
    <w:rsid w:val="5B9F7825"/>
    <w:rsid w:val="5E14656F"/>
    <w:rsid w:val="5E9C320A"/>
    <w:rsid w:val="5EC701C1"/>
    <w:rsid w:val="5EEB4597"/>
    <w:rsid w:val="5FA34750"/>
    <w:rsid w:val="600176AC"/>
    <w:rsid w:val="60AF4DBB"/>
    <w:rsid w:val="642B5617"/>
    <w:rsid w:val="64EC5325"/>
    <w:rsid w:val="65162A32"/>
    <w:rsid w:val="65343A2F"/>
    <w:rsid w:val="657D6700"/>
    <w:rsid w:val="664A46E0"/>
    <w:rsid w:val="668C5089"/>
    <w:rsid w:val="668F5D70"/>
    <w:rsid w:val="66E657D9"/>
    <w:rsid w:val="67EA34FC"/>
    <w:rsid w:val="69066DF3"/>
    <w:rsid w:val="692D717E"/>
    <w:rsid w:val="6DAA253F"/>
    <w:rsid w:val="6FFC32CC"/>
    <w:rsid w:val="70A5203F"/>
    <w:rsid w:val="70E73767"/>
    <w:rsid w:val="72A37383"/>
    <w:rsid w:val="73907D12"/>
    <w:rsid w:val="73EE47A6"/>
    <w:rsid w:val="74846068"/>
    <w:rsid w:val="751119D4"/>
    <w:rsid w:val="75531EF6"/>
    <w:rsid w:val="75D0003D"/>
    <w:rsid w:val="77C2101A"/>
    <w:rsid w:val="79445E57"/>
    <w:rsid w:val="796337B5"/>
    <w:rsid w:val="79B619E3"/>
    <w:rsid w:val="7A511DAE"/>
    <w:rsid w:val="7DE751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font31"/>
    <w:basedOn w:val="6"/>
    <w:qFormat/>
    <w:uiPriority w:val="0"/>
    <w:rPr>
      <w:rFonts w:ascii="Arial" w:hAnsi="Arial" w:cs="Arial"/>
      <w:color w:val="000000"/>
      <w:sz w:val="16"/>
      <w:szCs w:val="16"/>
      <w:u w:val="none"/>
    </w:rPr>
  </w:style>
  <w:style w:type="character" w:customStyle="1" w:styleId="8">
    <w:name w:val="font01"/>
    <w:basedOn w:val="6"/>
    <w:qFormat/>
    <w:uiPriority w:val="0"/>
    <w:rPr>
      <w:rFonts w:hint="default" w:ascii="Arial" w:hAnsi="Arial" w:cs="Arial"/>
      <w:color w:val="000000"/>
      <w:sz w:val="16"/>
      <w:szCs w:val="16"/>
      <w:u w:val="none"/>
    </w:rPr>
  </w:style>
  <w:style w:type="character" w:customStyle="1" w:styleId="9">
    <w:name w:val="font41"/>
    <w:basedOn w:val="6"/>
    <w:qFormat/>
    <w:uiPriority w:val="0"/>
    <w:rPr>
      <w:rFonts w:hint="eastAsia" w:ascii="宋体" w:hAnsi="宋体" w:eastAsia="宋体" w:cs="宋体"/>
      <w:color w:val="000000"/>
      <w:sz w:val="16"/>
      <w:szCs w:val="16"/>
      <w:u w:val="none"/>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867</Words>
  <Characters>4948</Characters>
  <Lines>41</Lines>
  <Paragraphs>11</Paragraphs>
  <TotalTime>1</TotalTime>
  <ScaleCrop>false</ScaleCrop>
  <LinksUpToDate>false</LinksUpToDate>
  <CharactersWithSpaces>5804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棒棒糖</cp:lastModifiedBy>
  <cp:lastPrinted>2019-09-11T07:43:00Z</cp:lastPrinted>
  <dcterms:modified xsi:type="dcterms:W3CDTF">2021-06-19T03:10:44Z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904767408FF74D6CB0CCF9A459873FF2</vt:lpwstr>
  </property>
</Properties>
</file>