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both"/>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仿宋_GB2312" w:hAnsi="仿宋_GB2312" w:eastAsia="仿宋_GB2312" w:cs="仿宋_GB2312"/>
          <w:sz w:val="44"/>
          <w:szCs w:val="44"/>
        </w:rPr>
      </w:pPr>
      <w:r>
        <w:rPr>
          <w:rFonts w:hint="eastAsia" w:ascii="隶书" w:hAnsi="隶书" w:eastAsia="隶书" w:cs="隶书"/>
          <w:sz w:val="52"/>
          <w:szCs w:val="52"/>
          <w:lang w:val="en-US" w:eastAsia="zh-CN"/>
        </w:rPr>
        <w:t>信阳市浉河</w:t>
      </w:r>
      <w:r>
        <w:rPr>
          <w:rFonts w:hint="eastAsia" w:ascii="隶书" w:hAnsi="隶书" w:eastAsia="隶书" w:cs="隶书"/>
          <w:sz w:val="52"/>
          <w:szCs w:val="52"/>
        </w:rPr>
        <w:t>区审计局</w:t>
      </w:r>
    </w:p>
    <w:p>
      <w:pPr>
        <w:jc w:val="center"/>
        <w:rPr>
          <w:rFonts w:ascii="黑体" w:hAnsi="黑体" w:eastAsia="黑体" w:cs="黑体"/>
          <w:sz w:val="52"/>
          <w:szCs w:val="52"/>
        </w:rPr>
      </w:pPr>
    </w:p>
    <w:p>
      <w:pPr>
        <w:jc w:val="center"/>
        <w:rPr>
          <w:rFonts w:ascii="隶书" w:hAnsi="隶书" w:eastAsia="隶书" w:cs="隶书"/>
          <w:sz w:val="52"/>
          <w:szCs w:val="52"/>
        </w:rPr>
      </w:pPr>
      <w:r>
        <w:rPr>
          <w:rFonts w:hint="eastAsia" w:ascii="隶书" w:hAnsi="隶书" w:eastAsia="隶书" w:cs="隶书"/>
          <w:sz w:val="52"/>
          <w:szCs w:val="52"/>
        </w:rPr>
        <w:t>2018年度部门决算</w:t>
      </w:r>
    </w:p>
    <w:p>
      <w:pPr>
        <w:jc w:val="center"/>
        <w:rPr>
          <w:rFonts w:ascii="隶书" w:hAnsi="隶书" w:eastAsia="隶书" w:cs="隶书"/>
          <w:sz w:val="52"/>
          <w:szCs w:val="52"/>
        </w:rPr>
      </w:pPr>
    </w:p>
    <w:p>
      <w:pPr>
        <w:jc w:val="center"/>
        <w:rPr>
          <w:rFonts w:ascii="隶书" w:hAnsi="隶书" w:eastAsia="隶书" w:cs="隶书"/>
          <w:sz w:val="52"/>
          <w:szCs w:val="52"/>
        </w:rPr>
      </w:pPr>
    </w:p>
    <w:p>
      <w:pPr>
        <w:jc w:val="center"/>
        <w:rPr>
          <w:rFonts w:ascii="隶书" w:hAnsi="隶书" w:eastAsia="隶书" w:cs="隶书"/>
          <w:sz w:val="52"/>
          <w:szCs w:val="52"/>
        </w:rPr>
      </w:pPr>
    </w:p>
    <w:p>
      <w:pPr>
        <w:rPr>
          <w:rFonts w:hint="eastAsia" w:ascii="仿宋" w:hAnsi="仿宋" w:eastAsia="仿宋" w:cs="隶书"/>
          <w:sz w:val="32"/>
          <w:szCs w:val="32"/>
        </w:rPr>
      </w:pPr>
      <w:r>
        <w:rPr>
          <w:rFonts w:hint="eastAsia" w:ascii="仿宋" w:hAnsi="仿宋" w:eastAsia="仿宋" w:cs="隶书"/>
          <w:sz w:val="32"/>
          <w:szCs w:val="32"/>
        </w:rPr>
        <w:t>公开单位联系人： 周进          联系方式：0376-6652310</w:t>
      </w:r>
    </w:p>
    <w:p>
      <w:pPr>
        <w:rPr>
          <w:rFonts w:hint="eastAsia" w:ascii="仿宋" w:hAnsi="仿宋" w:eastAsia="仿宋" w:cs="隶书"/>
          <w:sz w:val="32"/>
          <w:szCs w:val="32"/>
        </w:rPr>
      </w:pPr>
    </w:p>
    <w:p>
      <w:pPr>
        <w:rPr>
          <w:rFonts w:hint="eastAsia" w:ascii="仿宋" w:hAnsi="仿宋" w:eastAsia="仿宋" w:cs="隶书"/>
          <w:sz w:val="32"/>
          <w:szCs w:val="32"/>
        </w:rPr>
      </w:pPr>
    </w:p>
    <w:p>
      <w:pPr>
        <w:rPr>
          <w:rFonts w:hint="eastAsia" w:ascii="仿宋" w:hAnsi="仿宋" w:eastAsia="仿宋" w:cs="隶书"/>
          <w:sz w:val="32"/>
          <w:szCs w:val="32"/>
        </w:rPr>
      </w:pPr>
    </w:p>
    <w:p>
      <w:pPr>
        <w:rPr>
          <w:rFonts w:hint="default" w:ascii="仿宋" w:hAnsi="仿宋" w:eastAsia="仿宋" w:cs="隶书"/>
          <w:sz w:val="32"/>
          <w:szCs w:val="32"/>
          <w:lang w:val="en-US" w:eastAsia="zh-CN"/>
        </w:rPr>
        <w:sectPr>
          <w:pgSz w:w="11906" w:h="16838"/>
          <w:pgMar w:top="1440" w:right="1800" w:bottom="1440" w:left="1800" w:header="851" w:footer="992" w:gutter="0"/>
          <w:pgNumType w:fmt="numberInDash" w:start="1"/>
          <w:cols w:space="425" w:num="1"/>
          <w:docGrid w:type="lines" w:linePitch="312" w:charSpace="0"/>
        </w:sectPr>
      </w:pPr>
      <w:r>
        <w:rPr>
          <w:rFonts w:hint="eastAsia" w:ascii="仿宋" w:hAnsi="仿宋" w:eastAsia="仿宋" w:cs="隶书"/>
          <w:sz w:val="32"/>
          <w:szCs w:val="32"/>
          <w:lang w:val="en-US" w:eastAsia="zh-CN"/>
        </w:rPr>
        <w:t xml:space="preserve">               二〇一九年九月</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信阳市浉河区审计局概况</w:t>
      </w:r>
    </w:p>
    <w:p>
      <w:pPr>
        <w:jc w:val="left"/>
        <w:rPr>
          <w:rFonts w:ascii="宋体" w:hAnsi="宋体" w:eastAsia="宋体" w:cs="宋体"/>
          <w:sz w:val="32"/>
          <w:szCs w:val="32"/>
        </w:rPr>
      </w:pPr>
      <w:r>
        <w:rPr>
          <w:rFonts w:hint="eastAsia" w:ascii="宋体" w:hAnsi="宋体" w:eastAsia="宋体" w:cs="宋体"/>
          <w:sz w:val="32"/>
          <w:szCs w:val="32"/>
        </w:rPr>
        <w:t>一、机构设置</w:t>
      </w:r>
    </w:p>
    <w:p>
      <w:pPr>
        <w:jc w:val="left"/>
        <w:rPr>
          <w:rFonts w:ascii="宋体" w:hAnsi="宋体" w:eastAsia="宋体" w:cs="宋体"/>
          <w:sz w:val="32"/>
          <w:szCs w:val="32"/>
        </w:rPr>
      </w:pPr>
      <w:r>
        <w:rPr>
          <w:rFonts w:hint="eastAsia" w:ascii="宋体" w:hAnsi="宋体" w:eastAsia="宋体" w:cs="宋体"/>
          <w:sz w:val="32"/>
          <w:szCs w:val="32"/>
        </w:rPr>
        <w:t>二、主要职能</w:t>
      </w:r>
    </w:p>
    <w:p>
      <w:pPr>
        <w:jc w:val="left"/>
        <w:rPr>
          <w:rFonts w:ascii="宋体" w:hAnsi="宋体" w:eastAsia="宋体" w:cs="宋体"/>
          <w:sz w:val="32"/>
          <w:szCs w:val="32"/>
        </w:rPr>
      </w:pPr>
      <w:r>
        <w:rPr>
          <w:rFonts w:hint="eastAsia" w:ascii="宋体" w:hAnsi="宋体" w:eastAsia="宋体" w:cs="宋体"/>
          <w:sz w:val="32"/>
          <w:szCs w:val="32"/>
        </w:rPr>
        <w:t>三、部门决算单位构成</w:t>
      </w:r>
    </w:p>
    <w:p>
      <w:pPr>
        <w:jc w:val="left"/>
        <w:rPr>
          <w:rFonts w:ascii="黑体" w:hAnsi="黑体" w:eastAsia="黑体" w:cs="黑体"/>
          <w:sz w:val="32"/>
          <w:szCs w:val="32"/>
        </w:rPr>
      </w:pPr>
      <w:r>
        <w:rPr>
          <w:rFonts w:hint="eastAsia" w:ascii="黑体" w:hAnsi="黑体" w:eastAsia="黑体" w:cs="黑体"/>
          <w:sz w:val="32"/>
          <w:szCs w:val="32"/>
        </w:rPr>
        <w:t>第二部分　　信阳市浉河区审计局2018年度部门决算情况说明</w:t>
      </w:r>
    </w:p>
    <w:p>
      <w:pPr>
        <w:jc w:val="left"/>
        <w:rPr>
          <w:rFonts w:ascii="宋体" w:hAnsi="宋体" w:eastAsia="宋体" w:cs="宋体"/>
          <w:sz w:val="32"/>
          <w:szCs w:val="32"/>
        </w:rPr>
      </w:pPr>
      <w:r>
        <w:rPr>
          <w:rFonts w:hint="eastAsia" w:ascii="宋体" w:hAnsi="宋体" w:eastAsia="宋体" w:cs="宋体"/>
          <w:sz w:val="32"/>
          <w:szCs w:val="32"/>
        </w:rPr>
        <w:t>一、关于收入支出决算总体情况说明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二、关于收入决算表情况说明</w:t>
      </w:r>
    </w:p>
    <w:p>
      <w:pPr>
        <w:jc w:val="left"/>
        <w:rPr>
          <w:rFonts w:ascii="宋体" w:hAnsi="宋体" w:eastAsia="宋体" w:cs="宋体"/>
          <w:sz w:val="32"/>
          <w:szCs w:val="32"/>
        </w:rPr>
      </w:pPr>
      <w:r>
        <w:rPr>
          <w:rFonts w:hint="eastAsia" w:ascii="宋体" w:hAnsi="宋体" w:eastAsia="宋体" w:cs="宋体"/>
          <w:sz w:val="32"/>
          <w:szCs w:val="32"/>
        </w:rPr>
        <w:t>三、关于支出决算表情况说明</w:t>
      </w:r>
    </w:p>
    <w:p>
      <w:pPr>
        <w:jc w:val="left"/>
        <w:rPr>
          <w:rFonts w:ascii="宋体" w:hAnsi="宋体" w:eastAsia="宋体" w:cs="宋体"/>
          <w:sz w:val="32"/>
          <w:szCs w:val="32"/>
        </w:rPr>
      </w:pPr>
      <w:r>
        <w:rPr>
          <w:rFonts w:hint="eastAsia" w:ascii="宋体" w:hAnsi="宋体" w:eastAsia="宋体" w:cs="宋体"/>
          <w:sz w:val="32"/>
          <w:szCs w:val="32"/>
        </w:rPr>
        <w:t>四、关于财政拨款收入支出决算总体情况说明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五、关于一般公共预算财政拨款支出决算情况说明</w:t>
      </w:r>
    </w:p>
    <w:p>
      <w:pPr>
        <w:jc w:val="left"/>
        <w:rPr>
          <w:rFonts w:ascii="宋体" w:hAnsi="宋体" w:eastAsia="宋体" w:cs="宋体"/>
          <w:sz w:val="32"/>
          <w:szCs w:val="32"/>
        </w:rPr>
      </w:pPr>
      <w:r>
        <w:rPr>
          <w:rFonts w:hint="eastAsia" w:ascii="宋体" w:hAnsi="宋体" w:eastAsia="宋体" w:cs="宋体"/>
          <w:sz w:val="32"/>
          <w:szCs w:val="32"/>
        </w:rPr>
        <w:t>六、关于一般公共预算财政拨款基本支出决算情况说明</w:t>
      </w:r>
    </w:p>
    <w:p>
      <w:pPr>
        <w:jc w:val="left"/>
        <w:rPr>
          <w:rFonts w:ascii="宋体" w:hAnsi="宋体" w:eastAsia="宋体" w:cs="宋体"/>
          <w:sz w:val="32"/>
          <w:szCs w:val="32"/>
        </w:rPr>
      </w:pPr>
      <w:r>
        <w:rPr>
          <w:rFonts w:hint="eastAsia" w:ascii="宋体" w:hAnsi="宋体" w:eastAsia="宋体" w:cs="宋体"/>
          <w:sz w:val="32"/>
          <w:szCs w:val="32"/>
        </w:rPr>
        <w:t>七、关于一般公共预算财政拨款“三公”经费支出决算情况说明</w:t>
      </w:r>
    </w:p>
    <w:p>
      <w:pPr>
        <w:jc w:val="left"/>
        <w:rPr>
          <w:rFonts w:ascii="宋体" w:hAnsi="宋体" w:eastAsia="宋体" w:cs="宋体"/>
          <w:sz w:val="32"/>
          <w:szCs w:val="32"/>
        </w:rPr>
      </w:pPr>
      <w:r>
        <w:rPr>
          <w:rFonts w:hint="eastAsia" w:ascii="宋体" w:hAnsi="宋体" w:eastAsia="宋体" w:cs="宋体"/>
          <w:sz w:val="32"/>
          <w:szCs w:val="32"/>
        </w:rPr>
        <w:t>八、关于预算绩效情况说明</w:t>
      </w:r>
    </w:p>
    <w:p>
      <w:pPr>
        <w:jc w:val="left"/>
        <w:rPr>
          <w:rFonts w:ascii="宋体" w:hAnsi="宋体" w:eastAsia="宋体" w:cs="宋体"/>
          <w:sz w:val="32"/>
          <w:szCs w:val="32"/>
        </w:rPr>
      </w:pPr>
      <w:r>
        <w:rPr>
          <w:rFonts w:hint="eastAsia" w:ascii="宋体" w:hAnsi="宋体" w:eastAsia="宋体" w:cs="宋体"/>
          <w:sz w:val="32"/>
          <w:szCs w:val="32"/>
        </w:rPr>
        <w:t>九、关于政府性基金预算财政拨款收入支出决算情况说明</w:t>
      </w:r>
    </w:p>
    <w:p>
      <w:pPr>
        <w:jc w:val="left"/>
        <w:rPr>
          <w:rFonts w:hint="eastAsia" w:ascii="宋体" w:hAnsi="宋体" w:cs="宋体"/>
          <w:sz w:val="32"/>
          <w:szCs w:val="32"/>
        </w:rPr>
      </w:pPr>
      <w:r>
        <w:rPr>
          <w:rFonts w:hint="eastAsia" w:ascii="宋体" w:hAnsi="宋体" w:cs="宋体"/>
          <w:sz w:val="32"/>
          <w:szCs w:val="32"/>
        </w:rPr>
        <w:t>十、机关运行经费支出情况说明</w:t>
      </w:r>
    </w:p>
    <w:p>
      <w:pPr>
        <w:jc w:val="left"/>
        <w:rPr>
          <w:rFonts w:hint="eastAsia" w:ascii="宋体" w:hAnsi="宋体" w:cs="宋体"/>
          <w:sz w:val="32"/>
          <w:szCs w:val="32"/>
        </w:rPr>
      </w:pPr>
      <w:r>
        <w:rPr>
          <w:rFonts w:hint="eastAsia" w:ascii="宋体" w:hAnsi="宋体" w:cs="宋体"/>
          <w:sz w:val="32"/>
          <w:szCs w:val="32"/>
        </w:rPr>
        <w:t>十一、政府采购支出情况说明</w:t>
      </w:r>
    </w:p>
    <w:p>
      <w:pPr>
        <w:jc w:val="left"/>
        <w:rPr>
          <w:rFonts w:hint="eastAsia" w:ascii="宋体" w:hAnsi="宋体" w:cs="宋体"/>
          <w:sz w:val="32"/>
          <w:szCs w:val="32"/>
        </w:rPr>
      </w:pPr>
      <w:r>
        <w:rPr>
          <w:rFonts w:hint="eastAsia" w:ascii="宋体" w:hAnsi="宋体" w:cs="宋体"/>
          <w:sz w:val="32"/>
          <w:szCs w:val="32"/>
        </w:rPr>
        <w:t>十二、国有资产占用情况说明</w:t>
      </w:r>
    </w:p>
    <w:p>
      <w:pPr>
        <w:jc w:val="left"/>
        <w:rPr>
          <w:rFonts w:hint="eastAsia" w:ascii="黑体" w:hAnsi="黑体" w:eastAsia="黑体" w:cs="黑体"/>
          <w:sz w:val="32"/>
          <w:szCs w:val="32"/>
        </w:rPr>
      </w:pPr>
      <w:r>
        <w:rPr>
          <w:rFonts w:hint="eastAsia" w:ascii="黑体" w:hAnsi="黑体" w:eastAsia="黑体" w:cs="黑体"/>
          <w:sz w:val="32"/>
          <w:szCs w:val="32"/>
        </w:rPr>
        <w:t>第三部分　　名词解释</w:t>
      </w:r>
    </w:p>
    <w:p>
      <w:pPr>
        <w:jc w:val="left"/>
        <w:rPr>
          <w:rFonts w:hint="eastAsia" w:ascii="黑体" w:hAnsi="黑体" w:eastAsia="黑体" w:cs="黑体"/>
          <w:sz w:val="32"/>
          <w:szCs w:val="32"/>
        </w:rPr>
      </w:pPr>
    </w:p>
    <w:p>
      <w:pPr>
        <w:jc w:val="left"/>
        <w:rPr>
          <w:rFonts w:hint="eastAsia" w:ascii="黑体" w:hAnsi="黑体" w:eastAsia="黑体" w:cs="黑体"/>
          <w:sz w:val="32"/>
          <w:szCs w:val="32"/>
        </w:rPr>
      </w:pPr>
      <w:r>
        <w:rPr>
          <w:rFonts w:hint="eastAsia" w:ascii="黑体" w:hAnsi="黑体" w:eastAsia="黑体" w:cs="黑体"/>
          <w:sz w:val="32"/>
          <w:szCs w:val="32"/>
        </w:rPr>
        <w:t>附表  2018年部门决算表（Excel表格）</w:t>
      </w:r>
    </w:p>
    <w:p>
      <w:pPr>
        <w:jc w:val="left"/>
        <w:rPr>
          <w:rFonts w:hint="eastAsia" w:ascii="黑体" w:hAnsi="黑体" w:eastAsia="黑体" w:cs="黑体"/>
          <w:sz w:val="32"/>
          <w:szCs w:val="32"/>
        </w:rPr>
      </w:pPr>
      <w:r>
        <w:rPr>
          <w:rFonts w:hint="eastAsia" w:ascii="黑体" w:hAnsi="黑体" w:eastAsia="黑体" w:cs="黑体"/>
          <w:sz w:val="32"/>
          <w:szCs w:val="32"/>
        </w:rPr>
        <w:t>一、收入支出决算总表</w:t>
      </w:r>
    </w:p>
    <w:p>
      <w:pPr>
        <w:jc w:val="left"/>
        <w:rPr>
          <w:rFonts w:hint="eastAsia" w:ascii="黑体" w:hAnsi="黑体" w:eastAsia="黑体" w:cs="黑体"/>
          <w:sz w:val="32"/>
          <w:szCs w:val="32"/>
        </w:rPr>
      </w:pPr>
      <w:r>
        <w:rPr>
          <w:rFonts w:hint="eastAsia" w:ascii="黑体" w:hAnsi="黑体" w:eastAsia="黑体" w:cs="黑体"/>
          <w:sz w:val="32"/>
          <w:szCs w:val="32"/>
        </w:rPr>
        <w:t>二、收入决算表</w:t>
      </w:r>
    </w:p>
    <w:p>
      <w:pPr>
        <w:jc w:val="left"/>
        <w:rPr>
          <w:rFonts w:hint="eastAsia" w:ascii="黑体" w:hAnsi="黑体" w:eastAsia="黑体" w:cs="黑体"/>
          <w:sz w:val="32"/>
          <w:szCs w:val="32"/>
        </w:rPr>
      </w:pPr>
      <w:r>
        <w:rPr>
          <w:rFonts w:hint="eastAsia" w:ascii="黑体" w:hAnsi="黑体" w:eastAsia="黑体" w:cs="黑体"/>
          <w:sz w:val="32"/>
          <w:szCs w:val="32"/>
        </w:rPr>
        <w:t>三、支出决算表</w:t>
      </w:r>
    </w:p>
    <w:p>
      <w:pPr>
        <w:jc w:val="left"/>
        <w:rPr>
          <w:rFonts w:hint="eastAsia" w:ascii="黑体" w:hAnsi="黑体" w:eastAsia="黑体" w:cs="黑体"/>
          <w:sz w:val="32"/>
          <w:szCs w:val="32"/>
        </w:rPr>
      </w:pPr>
      <w:r>
        <w:rPr>
          <w:rFonts w:hint="eastAsia" w:ascii="黑体" w:hAnsi="黑体" w:eastAsia="黑体" w:cs="黑体"/>
          <w:sz w:val="32"/>
          <w:szCs w:val="32"/>
        </w:rPr>
        <w:t>四、财政拨款收入支出决算总表</w:t>
      </w:r>
    </w:p>
    <w:p>
      <w:pPr>
        <w:jc w:val="left"/>
        <w:rPr>
          <w:rFonts w:hint="eastAsia" w:ascii="黑体" w:hAnsi="黑体" w:eastAsia="黑体" w:cs="黑体"/>
          <w:sz w:val="32"/>
          <w:szCs w:val="32"/>
        </w:rPr>
      </w:pPr>
      <w:r>
        <w:rPr>
          <w:rFonts w:hint="eastAsia" w:ascii="黑体" w:hAnsi="黑体" w:eastAsia="黑体" w:cs="黑体"/>
          <w:sz w:val="32"/>
          <w:szCs w:val="32"/>
        </w:rPr>
        <w:t>五、一般公共预算财政拨款支出决算表</w:t>
      </w:r>
    </w:p>
    <w:p>
      <w:pPr>
        <w:jc w:val="left"/>
        <w:rPr>
          <w:rFonts w:hint="eastAsia" w:ascii="黑体" w:hAnsi="黑体" w:eastAsia="黑体" w:cs="黑体"/>
          <w:sz w:val="32"/>
          <w:szCs w:val="32"/>
        </w:rPr>
      </w:pPr>
      <w:r>
        <w:rPr>
          <w:rFonts w:hint="eastAsia" w:ascii="黑体" w:hAnsi="黑体" w:eastAsia="黑体" w:cs="黑体"/>
          <w:sz w:val="32"/>
          <w:szCs w:val="32"/>
        </w:rPr>
        <w:t>六、一般公共预算财政拨款基本支出决算表</w:t>
      </w:r>
    </w:p>
    <w:p>
      <w:pPr>
        <w:jc w:val="left"/>
        <w:rPr>
          <w:rFonts w:hint="eastAsia" w:ascii="黑体" w:hAnsi="黑体" w:eastAsia="黑体" w:cs="黑体"/>
          <w:sz w:val="32"/>
          <w:szCs w:val="32"/>
        </w:rPr>
      </w:pPr>
      <w:r>
        <w:rPr>
          <w:rFonts w:hint="eastAsia" w:ascii="黑体" w:hAnsi="黑体" w:eastAsia="黑体" w:cs="黑体"/>
          <w:sz w:val="32"/>
          <w:szCs w:val="32"/>
        </w:rPr>
        <w:t>七、一般公共预算财政拨款“三公”经费支出决算表</w:t>
      </w:r>
    </w:p>
    <w:p>
      <w:pPr>
        <w:jc w:val="left"/>
        <w:rPr>
          <w:rFonts w:hint="eastAsia" w:ascii="黑体" w:hAnsi="黑体" w:eastAsia="黑体" w:cs="黑体"/>
          <w:sz w:val="32"/>
          <w:szCs w:val="32"/>
        </w:rPr>
      </w:pPr>
      <w:r>
        <w:rPr>
          <w:rFonts w:hint="eastAsia" w:ascii="黑体" w:hAnsi="黑体" w:eastAsia="黑体" w:cs="黑体"/>
          <w:sz w:val="32"/>
          <w:szCs w:val="32"/>
        </w:rPr>
        <w:t>八、政府性基金预算财政拨款收入支出决算表</w:t>
      </w:r>
    </w:p>
    <w:p>
      <w:pPr>
        <w:jc w:val="left"/>
        <w:rPr>
          <w:rFonts w:hint="eastAsia" w:ascii="黑体" w:hAnsi="黑体" w:eastAsia="黑体" w:cs="黑体"/>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　　信阳市浉河区审计局概况</w:t>
      </w:r>
    </w:p>
    <w:p>
      <w:pPr>
        <w:spacing w:line="360" w:lineRule="auto"/>
        <w:ind w:left="420" w:leftChars="200"/>
        <w:jc w:val="left"/>
        <w:outlineLvl w:val="1"/>
        <w:rPr>
          <w:rFonts w:ascii="黑体" w:hAnsi="黑体" w:eastAsia="黑体" w:cs="黑体"/>
          <w:sz w:val="32"/>
          <w:szCs w:val="32"/>
        </w:rPr>
      </w:pPr>
      <w:r>
        <w:rPr>
          <w:rFonts w:hint="eastAsia" w:ascii="黑体" w:hAnsi="黑体" w:eastAsia="黑体" w:cs="黑体"/>
          <w:sz w:val="32"/>
          <w:szCs w:val="32"/>
        </w:rPr>
        <w:t>一、机构设置</w:t>
      </w:r>
    </w:p>
    <w:p>
      <w:pPr>
        <w:spacing w:line="360" w:lineRule="auto"/>
        <w:ind w:firstLine="640" w:firstLineChars="200"/>
        <w:jc w:val="left"/>
        <w:outlineLvl w:val="1"/>
        <w:rPr>
          <w:rFonts w:ascii="宋体" w:hAnsi="宋体" w:eastAsia="宋体" w:cs="宋体"/>
          <w:sz w:val="32"/>
          <w:szCs w:val="32"/>
        </w:rPr>
      </w:pPr>
      <w:r>
        <w:rPr>
          <w:rFonts w:hint="eastAsia" w:ascii="宋体" w:hAnsi="宋体" w:eastAsia="宋体" w:cs="宋体"/>
          <w:sz w:val="32"/>
          <w:szCs w:val="32"/>
        </w:rPr>
        <w:t>根据《关于印发浉河区审计局主要职责内设机构和人员编制规定的通知》（浉编【2010】19号），区机构编制委员会批准区审计局内设8个股室，即办公室（电子政务办公室）、法规股、财政金融审计股、行政事业审计股、固定资产投资审计股、工商企业审计股、社会保障审计股、经济责任审计办公室。</w:t>
      </w:r>
    </w:p>
    <w:p>
      <w:pPr>
        <w:spacing w:line="360" w:lineRule="auto"/>
        <w:ind w:firstLine="640" w:firstLineChars="200"/>
        <w:jc w:val="left"/>
        <w:outlineLvl w:val="1"/>
        <w:rPr>
          <w:rFonts w:ascii="宋体" w:hAnsi="宋体" w:eastAsia="宋体" w:cs="宋体"/>
          <w:sz w:val="32"/>
          <w:szCs w:val="32"/>
        </w:rPr>
      </w:pPr>
      <w:r>
        <w:rPr>
          <w:rFonts w:hint="eastAsia" w:ascii="宋体" w:hAnsi="宋体" w:eastAsia="宋体" w:cs="宋体"/>
          <w:sz w:val="32"/>
          <w:szCs w:val="32"/>
        </w:rPr>
        <w:t>截至2018年12月末，共有编制人数47人，其中：行政编制30人，事业编制16人，工勤人员1人。实有人数32人，其中：在职人员32人，退休人员15人.</w:t>
      </w:r>
    </w:p>
    <w:p>
      <w:pPr>
        <w:spacing w:line="360" w:lineRule="auto"/>
        <w:ind w:left="420" w:leftChars="200"/>
        <w:jc w:val="left"/>
        <w:outlineLvl w:val="1"/>
        <w:rPr>
          <w:rFonts w:ascii="黑体" w:hAnsi="黑体" w:eastAsia="黑体" w:cs="黑体"/>
          <w:sz w:val="32"/>
          <w:szCs w:val="32"/>
        </w:rPr>
      </w:pPr>
      <w:r>
        <w:rPr>
          <w:rFonts w:hint="eastAsia" w:ascii="黑体" w:hAnsi="黑体" w:eastAsia="黑体" w:cs="黑体"/>
          <w:sz w:val="32"/>
          <w:szCs w:val="32"/>
        </w:rPr>
        <w:t>二、主要职能</w:t>
      </w:r>
    </w:p>
    <w:p>
      <w:pPr>
        <w:widowControl/>
        <w:numPr>
          <w:ilvl w:val="0"/>
          <w:numId w:val="1"/>
        </w:numPr>
        <w:spacing w:line="600" w:lineRule="atLeast"/>
        <w:ind w:firstLine="640" w:firstLineChars="200"/>
        <w:jc w:val="left"/>
        <w:textAlignment w:val="top"/>
        <w:rPr>
          <w:rFonts w:ascii="宋体" w:hAnsi="宋体" w:eastAsia="宋体" w:cs="宋体"/>
          <w:sz w:val="32"/>
          <w:szCs w:val="32"/>
        </w:rPr>
      </w:pPr>
      <w:r>
        <w:rPr>
          <w:rFonts w:hint="eastAsia" w:ascii="宋体" w:hAnsi="宋体" w:eastAsia="宋体" w:cs="宋体"/>
          <w:sz w:val="32"/>
          <w:szCs w:val="32"/>
        </w:rPr>
        <w:t>、主管全区审计工作。负责对全区财政收支和法律、法规规定属于审计监督范围的财务收支的真实、合法和效益进行审计监督，维护财政经济秩序，提高财政资金使用效益，促进廉政建设，保障国民经济和社会健康发展。对审计、专项审计调查和核查社会审计机构相关审计报告的结果承担责任，负有督促被审计单位整改的责任。</w:t>
      </w:r>
    </w:p>
    <w:p>
      <w:pPr>
        <w:widowControl/>
        <w:numPr>
          <w:ilvl w:val="0"/>
          <w:numId w:val="1"/>
        </w:numPr>
        <w:spacing w:line="600" w:lineRule="atLeast"/>
        <w:ind w:firstLine="640" w:firstLineChars="200"/>
        <w:jc w:val="left"/>
        <w:textAlignment w:val="top"/>
        <w:rPr>
          <w:rFonts w:ascii="宋体" w:hAnsi="宋体" w:eastAsia="宋体" w:cs="宋体"/>
          <w:sz w:val="32"/>
          <w:szCs w:val="32"/>
        </w:rPr>
      </w:pPr>
      <w:r>
        <w:rPr>
          <w:rFonts w:hint="eastAsia" w:ascii="宋体" w:hAnsi="宋体" w:eastAsia="宋体" w:cs="宋体"/>
          <w:sz w:val="32"/>
          <w:szCs w:val="32"/>
        </w:rPr>
        <w:t>、贯彻执行国家和省、市审计工作的法律法规和方针政策，参与起草审计、财经方面的地方性法规、规章草案，制定审计规章制度并监督执行，制定并组织实施审计工作发展规划和专业领域审计工作规划，制定并组织实施年度审计计划。对直接审计、调查和核查的事项依法进行审计评价，作出审计决定或提出审计建议。</w:t>
      </w:r>
    </w:p>
    <w:p>
      <w:pPr>
        <w:widowControl/>
        <w:numPr>
          <w:ilvl w:val="0"/>
          <w:numId w:val="1"/>
        </w:numPr>
        <w:spacing w:line="600" w:lineRule="atLeast"/>
        <w:ind w:firstLine="640" w:firstLineChars="200"/>
        <w:jc w:val="left"/>
        <w:textAlignment w:val="top"/>
        <w:rPr>
          <w:rFonts w:ascii="宋体" w:hAnsi="宋体" w:eastAsia="宋体" w:cs="宋体"/>
          <w:sz w:val="32"/>
          <w:szCs w:val="32"/>
        </w:rPr>
      </w:pPr>
      <w:r>
        <w:rPr>
          <w:rFonts w:hint="eastAsia" w:ascii="宋体" w:hAnsi="宋体" w:eastAsia="宋体" w:cs="宋体"/>
          <w:sz w:val="32"/>
          <w:szCs w:val="32"/>
        </w:rPr>
        <w:t>、是向区政府提交年度区级决算执行和其他财政收支的审计结果报告。受区政府委托向区人大常委会提交区级决算执行和其他财政收支情况的审计工作报告、审计发现问题的纠正和处理结果报告。向区政府报告其他事项专项审计调查情况及结果。依法向社会公布审计结果。向区政府有关部门通报审计情况和审计结果。</w:t>
      </w:r>
    </w:p>
    <w:p>
      <w:pPr>
        <w:widowControl/>
        <w:numPr>
          <w:ilvl w:val="0"/>
          <w:numId w:val="1"/>
        </w:numPr>
        <w:spacing w:line="600" w:lineRule="atLeast"/>
        <w:ind w:firstLine="640" w:firstLineChars="200"/>
        <w:jc w:val="left"/>
        <w:textAlignment w:val="top"/>
        <w:rPr>
          <w:rFonts w:ascii="宋体" w:hAnsi="宋体" w:eastAsia="宋体" w:cs="宋体"/>
          <w:sz w:val="32"/>
          <w:szCs w:val="32"/>
        </w:rPr>
      </w:pPr>
      <w:r>
        <w:rPr>
          <w:rFonts w:hint="eastAsia" w:ascii="宋体" w:hAnsi="宋体" w:eastAsia="宋体" w:cs="宋体"/>
          <w:sz w:val="32"/>
          <w:szCs w:val="32"/>
        </w:rPr>
        <w:t>、是在法定职权范围内作出审计决定或向有关主管部门提出处罚的意见。</w:t>
      </w:r>
    </w:p>
    <w:p>
      <w:pPr>
        <w:spacing w:line="360" w:lineRule="auto"/>
        <w:jc w:val="left"/>
        <w:outlineLvl w:val="1"/>
        <w:rPr>
          <w:rFonts w:ascii="宋体" w:hAnsi="宋体" w:eastAsia="宋体" w:cs="宋体"/>
          <w:b/>
          <w:bCs/>
          <w:sz w:val="32"/>
          <w:szCs w:val="32"/>
        </w:rPr>
      </w:pPr>
      <w:r>
        <w:rPr>
          <w:rFonts w:hint="eastAsia" w:ascii="宋体" w:hAnsi="宋体" w:eastAsia="宋体" w:cs="宋体"/>
          <w:b/>
          <w:bCs/>
          <w:sz w:val="32"/>
          <w:szCs w:val="32"/>
        </w:rPr>
        <w:t>三、部门决算单位构成</w:t>
      </w:r>
    </w:p>
    <w:p>
      <w:pPr>
        <w:spacing w:line="360" w:lineRule="auto"/>
        <w:ind w:firstLine="640" w:firstLineChars="200"/>
        <w:jc w:val="left"/>
        <w:rPr>
          <w:rFonts w:ascii="宋体" w:hAnsi="宋体" w:eastAsia="宋体" w:cs="宋体"/>
          <w:sz w:val="32"/>
          <w:szCs w:val="32"/>
        </w:rPr>
      </w:pPr>
      <w:r>
        <w:rPr>
          <w:rFonts w:hint="eastAsia" w:ascii="宋体" w:hAnsi="宋体" w:eastAsia="宋体" w:cs="宋体"/>
          <w:sz w:val="32"/>
          <w:szCs w:val="32"/>
        </w:rPr>
        <w:t>纳入信阳市浉河区审计局2018年度部门决算编制范围的单位包括：信阳市浉河区审计局本级，</w:t>
      </w:r>
      <w:r>
        <w:rPr>
          <w:rFonts w:hint="eastAsia" w:ascii="仿宋" w:hAnsi="仿宋" w:eastAsia="仿宋" w:cs="宋体"/>
          <w:sz w:val="32"/>
          <w:szCs w:val="32"/>
        </w:rPr>
        <w:t>没有二级预算单位。</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w:t>
      </w:r>
      <w:r>
        <w:rPr>
          <w:rFonts w:hint="eastAsia" w:ascii="隶书" w:hAnsi="隶书" w:eastAsia="隶书" w:cs="隶书"/>
          <w:sz w:val="48"/>
          <w:szCs w:val="48"/>
          <w:lang w:val="en-US" w:eastAsia="zh-CN"/>
        </w:rPr>
        <w:t>二</w:t>
      </w:r>
      <w:r>
        <w:rPr>
          <w:rFonts w:hint="eastAsia" w:ascii="隶书" w:hAnsi="隶书" w:eastAsia="隶书" w:cs="隶书"/>
          <w:sz w:val="48"/>
          <w:szCs w:val="48"/>
        </w:rPr>
        <w:t>部分</w:t>
      </w:r>
    </w:p>
    <w:p>
      <w:pPr>
        <w:jc w:val="center"/>
        <w:rPr>
          <w:rFonts w:ascii="隶书" w:hAnsi="隶书" w:eastAsia="隶书" w:cs="隶书"/>
          <w:sz w:val="48"/>
          <w:szCs w:val="48"/>
        </w:rPr>
      </w:pPr>
      <w:r>
        <w:rPr>
          <w:rFonts w:hint="eastAsia" w:ascii="隶书" w:hAnsi="隶书" w:eastAsia="隶书" w:cs="隶书"/>
          <w:sz w:val="48"/>
          <w:szCs w:val="48"/>
          <w:lang w:val="en-US" w:eastAsia="zh-CN"/>
        </w:rPr>
        <w:t>信阳市浉河</w:t>
      </w:r>
      <w:r>
        <w:rPr>
          <w:rFonts w:hint="eastAsia" w:ascii="隶书" w:hAnsi="隶书" w:eastAsia="隶书" w:cs="隶书"/>
          <w:sz w:val="48"/>
          <w:szCs w:val="48"/>
        </w:rPr>
        <w:t>区审计局</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2018年度部</w:t>
      </w:r>
      <w:bookmarkStart w:id="0" w:name="_GoBack"/>
      <w:bookmarkEnd w:id="0"/>
      <w:r>
        <w:rPr>
          <w:rFonts w:hint="eastAsia" w:ascii="隶书" w:hAnsi="隶书" w:eastAsia="隶书" w:cs="隶书"/>
          <w:sz w:val="48"/>
          <w:szCs w:val="48"/>
        </w:rPr>
        <w:t>门决算情况说明</w:t>
      </w:r>
    </w:p>
    <w:p>
      <w:pPr>
        <w:numPr>
          <w:ilvl w:val="0"/>
          <w:numId w:val="2"/>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年度收入</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支出</w:t>
      </w:r>
      <w:r>
        <w:rPr>
          <w:rFonts w:hint="eastAsia" w:ascii="仿宋" w:hAnsi="仿宋" w:eastAsia="仿宋" w:cs="宋体"/>
          <w:sz w:val="32"/>
          <w:szCs w:val="32"/>
        </w:rPr>
        <w:t>总计</w:t>
      </w:r>
      <w:r>
        <w:rPr>
          <w:rFonts w:hint="eastAsia" w:ascii="仿宋" w:hAnsi="仿宋" w:eastAsia="仿宋" w:cs="宋体"/>
          <w:sz w:val="32"/>
          <w:szCs w:val="32"/>
          <w:lang w:val="en-US" w:eastAsia="zh-CN"/>
        </w:rPr>
        <w:t>均为</w:t>
      </w:r>
      <w:r>
        <w:rPr>
          <w:rFonts w:hint="eastAsia" w:ascii="仿宋" w:hAnsi="仿宋" w:eastAsia="仿宋" w:cs="宋体"/>
          <w:sz w:val="32"/>
          <w:szCs w:val="32"/>
        </w:rPr>
        <w:t>48</w:t>
      </w:r>
      <w:r>
        <w:rPr>
          <w:rFonts w:hint="eastAsia" w:ascii="仿宋" w:hAnsi="仿宋" w:eastAsia="仿宋" w:cs="宋体"/>
          <w:sz w:val="32"/>
          <w:szCs w:val="32"/>
          <w:lang w:val="en-US" w:eastAsia="zh-CN"/>
        </w:rPr>
        <w:t>5</w:t>
      </w:r>
      <w:r>
        <w:rPr>
          <w:rFonts w:hint="eastAsia" w:ascii="仿宋" w:hAnsi="仿宋" w:eastAsia="仿宋" w:cs="宋体"/>
          <w:sz w:val="32"/>
          <w:szCs w:val="32"/>
        </w:rPr>
        <w:t>.</w:t>
      </w:r>
      <w:r>
        <w:rPr>
          <w:rFonts w:hint="eastAsia" w:ascii="仿宋" w:hAnsi="仿宋" w:eastAsia="仿宋" w:cs="宋体"/>
          <w:sz w:val="32"/>
          <w:szCs w:val="32"/>
          <w:lang w:val="en-US" w:eastAsia="zh-CN"/>
        </w:rPr>
        <w:t>84</w:t>
      </w:r>
      <w:r>
        <w:rPr>
          <w:rFonts w:hint="eastAsia" w:ascii="仿宋" w:hAnsi="仿宋" w:eastAsia="仿宋" w:cs="宋体"/>
          <w:sz w:val="32"/>
          <w:szCs w:val="32"/>
        </w:rPr>
        <w:t>万元</w:t>
      </w:r>
      <w:r>
        <w:rPr>
          <w:rFonts w:hint="eastAsia" w:ascii="仿宋" w:hAnsi="仿宋" w:eastAsia="仿宋" w:cs="宋体"/>
          <w:sz w:val="32"/>
          <w:szCs w:val="32"/>
          <w:lang w:eastAsia="zh-CN"/>
        </w:rPr>
        <w:t>，</w:t>
      </w:r>
      <w:r>
        <w:rPr>
          <w:rFonts w:hint="eastAsia" w:ascii="仿宋" w:hAnsi="仿宋" w:eastAsia="仿宋" w:cs="宋体"/>
          <w:sz w:val="32"/>
          <w:szCs w:val="32"/>
        </w:rPr>
        <w:t>与</w:t>
      </w:r>
      <w:r>
        <w:rPr>
          <w:rFonts w:ascii="仿宋" w:hAnsi="仿宋" w:eastAsia="仿宋" w:cs="Courier New"/>
          <w:sz w:val="32"/>
          <w:szCs w:val="32"/>
        </w:rPr>
        <w:t>201</w:t>
      </w:r>
      <w:r>
        <w:rPr>
          <w:rFonts w:hint="eastAsia" w:ascii="仿宋" w:hAnsi="仿宋" w:eastAsia="仿宋" w:cs="Courier New"/>
          <w:sz w:val="32"/>
          <w:szCs w:val="32"/>
        </w:rPr>
        <w:t>7</w:t>
      </w:r>
      <w:r>
        <w:rPr>
          <w:rFonts w:hint="eastAsia" w:ascii="仿宋" w:hAnsi="仿宋" w:eastAsia="仿宋" w:cs="宋体"/>
          <w:sz w:val="32"/>
          <w:szCs w:val="32"/>
        </w:rPr>
        <w:t>年相比，收</w:t>
      </w:r>
      <w:r>
        <w:rPr>
          <w:rFonts w:hint="eastAsia" w:ascii="仿宋" w:hAnsi="仿宋" w:eastAsia="仿宋" w:cs="宋体"/>
          <w:sz w:val="32"/>
          <w:szCs w:val="32"/>
          <w:lang w:val="en-US" w:eastAsia="zh-CN"/>
        </w:rPr>
        <w:t>入支出均增加22.65万元，增长4.9%，</w:t>
      </w:r>
      <w:r>
        <w:rPr>
          <w:rFonts w:hint="eastAsia" w:ascii="仿宋" w:hAnsi="仿宋" w:eastAsia="仿宋" w:cs="宋体"/>
          <w:sz w:val="32"/>
          <w:szCs w:val="32"/>
          <w:lang w:eastAsia="zh-CN"/>
        </w:rPr>
        <w:t>增加原因是</w:t>
      </w:r>
      <w:r>
        <w:rPr>
          <w:rFonts w:hint="eastAsia" w:ascii="仿宋" w:hAnsi="仿宋" w:eastAsia="仿宋" w:cs="Courier New"/>
          <w:sz w:val="32"/>
          <w:szCs w:val="32"/>
        </w:rPr>
        <w:t>遵照中办、国办部署和审计署的要求，2018年在全国开展领导干部资产、资源离任审计，需要向社会聘请中介审计力量。</w:t>
      </w:r>
    </w:p>
    <w:p>
      <w:pPr>
        <w:numPr>
          <w:ilvl w:val="0"/>
          <w:numId w:val="2"/>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 w:hAnsi="仿宋" w:eastAsia="仿宋" w:cs="宋体"/>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年度收入总计468.00万元，其中：财政拨款收入468.00万元，占</w:t>
      </w:r>
      <w:r>
        <w:rPr>
          <w:rFonts w:hint="eastAsia" w:ascii="仿宋" w:hAnsi="仿宋" w:eastAsia="仿宋"/>
          <w:sz w:val="32"/>
          <w:szCs w:val="32"/>
        </w:rPr>
        <w:t>100</w:t>
      </w:r>
      <w:r>
        <w:rPr>
          <w:rFonts w:ascii="仿宋" w:hAnsi="仿宋" w:eastAsia="仿宋"/>
          <w:sz w:val="32"/>
          <w:szCs w:val="32"/>
        </w:rPr>
        <w:t xml:space="preserve"> %</w:t>
      </w:r>
      <w:r>
        <w:rPr>
          <w:rFonts w:hint="eastAsia" w:ascii="仿宋" w:hAnsi="仿宋" w:eastAsia="仿宋" w:cs="宋体"/>
          <w:sz w:val="32"/>
          <w:szCs w:val="32"/>
        </w:rPr>
        <w:t>，事业收入</w:t>
      </w:r>
      <w:r>
        <w:rPr>
          <w:rFonts w:ascii="仿宋" w:hAnsi="仿宋" w:eastAsia="仿宋"/>
          <w:sz w:val="32"/>
          <w:szCs w:val="32"/>
        </w:rPr>
        <w:t xml:space="preserve">0 </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；经营收入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；其他收入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0 %</w:t>
      </w:r>
      <w:r>
        <w:rPr>
          <w:rFonts w:hint="eastAsia" w:ascii="仿宋" w:hAnsi="仿宋" w:eastAsia="仿宋" w:cs="宋体"/>
          <w:sz w:val="32"/>
          <w:szCs w:val="32"/>
        </w:rPr>
        <w:t>。</w:t>
      </w:r>
    </w:p>
    <w:p>
      <w:pPr>
        <w:adjustRightInd w:val="0"/>
        <w:snapToGrid w:val="0"/>
        <w:spacing w:line="360" w:lineRule="auto"/>
        <w:ind w:firstLine="640" w:firstLineChars="200"/>
        <w:rPr>
          <w:rFonts w:ascii="黑体" w:hAnsi="黑体" w:eastAsia="黑体"/>
          <w:sz w:val="32"/>
          <w:szCs w:val="32"/>
        </w:rPr>
      </w:pPr>
      <w:r>
        <w:rPr>
          <w:rFonts w:hint="eastAsia" w:ascii="仿宋" w:hAnsi="仿宋" w:eastAsia="仿宋" w:cs="宋体"/>
          <w:sz w:val="32"/>
          <w:szCs w:val="32"/>
        </w:rPr>
        <w:t>三、</w:t>
      </w: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年度支出总计</w:t>
      </w:r>
      <w:r>
        <w:rPr>
          <w:rFonts w:hint="eastAsia" w:ascii="仿宋" w:hAnsi="仿宋" w:eastAsia="仿宋" w:cs="Courier New"/>
          <w:sz w:val="32"/>
          <w:szCs w:val="32"/>
        </w:rPr>
        <w:t>48</w:t>
      </w:r>
      <w:r>
        <w:rPr>
          <w:rFonts w:hint="eastAsia" w:ascii="仿宋" w:hAnsi="仿宋" w:eastAsia="仿宋" w:cs="Courier New"/>
          <w:sz w:val="32"/>
          <w:szCs w:val="32"/>
          <w:lang w:val="en-US" w:eastAsia="zh-CN"/>
        </w:rPr>
        <w:t>2</w:t>
      </w:r>
      <w:r>
        <w:rPr>
          <w:rFonts w:hint="eastAsia" w:ascii="仿宋" w:hAnsi="仿宋" w:eastAsia="仿宋" w:cs="宋体"/>
          <w:sz w:val="32"/>
          <w:szCs w:val="32"/>
        </w:rPr>
        <w:t>万元，其中：基本支出</w:t>
      </w:r>
      <w:r>
        <w:rPr>
          <w:rFonts w:hint="eastAsia" w:ascii="仿宋" w:hAnsi="仿宋" w:eastAsia="仿宋" w:cs="Courier New"/>
          <w:sz w:val="32"/>
          <w:szCs w:val="32"/>
        </w:rPr>
        <w:t>482</w:t>
      </w:r>
      <w:r>
        <w:rPr>
          <w:rFonts w:hint="eastAsia" w:ascii="仿宋" w:hAnsi="仿宋" w:eastAsia="仿宋" w:cs="宋体"/>
          <w:sz w:val="32"/>
          <w:szCs w:val="32"/>
        </w:rPr>
        <w:t>万元，占</w:t>
      </w:r>
      <w:r>
        <w:rPr>
          <w:rFonts w:hint="eastAsia" w:ascii="仿宋" w:hAnsi="仿宋" w:eastAsia="仿宋" w:cs="Courier New"/>
          <w:sz w:val="32"/>
          <w:szCs w:val="32"/>
          <w:lang w:val="en-US" w:eastAsia="zh-CN"/>
        </w:rPr>
        <w:t>100</w:t>
      </w:r>
      <w:r>
        <w:rPr>
          <w:rFonts w:ascii="仿宋" w:hAnsi="仿宋" w:eastAsia="仿宋" w:cs="Courier New"/>
          <w:sz w:val="32"/>
          <w:szCs w:val="32"/>
        </w:rPr>
        <w:t>%</w:t>
      </w:r>
      <w:r>
        <w:rPr>
          <w:rFonts w:hint="eastAsia" w:ascii="仿宋" w:hAnsi="仿宋" w:eastAsia="仿宋" w:cs="宋体"/>
          <w:sz w:val="32"/>
          <w:szCs w:val="32"/>
        </w:rPr>
        <w:t>；项目支出0万元，占0</w:t>
      </w:r>
      <w:r>
        <w:rPr>
          <w:rFonts w:ascii="仿宋" w:hAnsi="仿宋" w:eastAsia="仿宋" w:cs="Courier New"/>
          <w:sz w:val="32"/>
          <w:szCs w:val="32"/>
        </w:rPr>
        <w:t>%</w:t>
      </w:r>
      <w:r>
        <w:rPr>
          <w:rFonts w:hint="eastAsia" w:ascii="仿宋" w:hAnsi="仿宋" w:eastAsia="仿宋" w:cs="宋体"/>
          <w:sz w:val="32"/>
          <w:szCs w:val="32"/>
        </w:rPr>
        <w:t>。</w:t>
      </w:r>
    </w:p>
    <w:p>
      <w:pPr>
        <w:adjustRightInd w:val="0"/>
        <w:snapToGrid w:val="0"/>
        <w:spacing w:line="360" w:lineRule="auto"/>
        <w:ind w:left="420" w:leftChars="200" w:firstLine="320" w:firstLineChars="100"/>
        <w:outlineLvl w:val="1"/>
        <w:rPr>
          <w:rFonts w:ascii="黑体" w:hAnsi="黑体" w:eastAsia="黑体"/>
          <w:sz w:val="32"/>
          <w:szCs w:val="32"/>
        </w:rPr>
      </w:pPr>
      <w:r>
        <w:rPr>
          <w:rFonts w:hint="eastAsia" w:ascii="黑体" w:hAnsi="黑体" w:eastAsia="黑体"/>
          <w:sz w:val="32"/>
          <w:szCs w:val="32"/>
        </w:rPr>
        <w:t>四、关于财政拨款收入支出决算总体情况说明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w:t>
      </w:r>
      <w:r>
        <w:rPr>
          <w:rFonts w:hint="eastAsia" w:ascii="仿宋" w:hAnsi="仿宋" w:eastAsia="仿宋" w:cs="宋体"/>
          <w:sz w:val="32"/>
          <w:szCs w:val="32"/>
          <w:lang w:val="en-US" w:eastAsia="zh-CN"/>
        </w:rPr>
        <w:t>财政拨款</w:t>
      </w:r>
      <w:r>
        <w:rPr>
          <w:rFonts w:hint="eastAsia" w:ascii="仿宋" w:hAnsi="仿宋" w:eastAsia="仿宋" w:cs="宋体"/>
          <w:sz w:val="32"/>
          <w:szCs w:val="32"/>
        </w:rPr>
        <w:t>收</w:t>
      </w:r>
      <w:r>
        <w:rPr>
          <w:rFonts w:hint="eastAsia" w:ascii="仿宋" w:hAnsi="仿宋" w:eastAsia="仿宋" w:cs="宋体"/>
          <w:sz w:val="32"/>
          <w:szCs w:val="32"/>
          <w:lang w:val="en-US" w:eastAsia="zh-CN"/>
        </w:rPr>
        <w:t>支</w:t>
      </w:r>
      <w:r>
        <w:rPr>
          <w:rFonts w:hint="eastAsia" w:ascii="仿宋" w:hAnsi="仿宋" w:eastAsia="仿宋" w:cs="宋体"/>
          <w:sz w:val="32"/>
          <w:szCs w:val="32"/>
        </w:rPr>
        <w:t>总计</w:t>
      </w:r>
      <w:r>
        <w:rPr>
          <w:rFonts w:hint="eastAsia" w:ascii="仿宋" w:hAnsi="仿宋" w:eastAsia="仿宋" w:cs="宋体"/>
          <w:sz w:val="32"/>
          <w:szCs w:val="32"/>
          <w:lang w:val="en-US" w:eastAsia="zh-CN"/>
        </w:rPr>
        <w:t>均为</w:t>
      </w:r>
      <w:r>
        <w:rPr>
          <w:rFonts w:hint="eastAsia" w:ascii="仿宋" w:hAnsi="仿宋" w:eastAsia="仿宋" w:cs="宋体"/>
          <w:sz w:val="32"/>
          <w:szCs w:val="32"/>
        </w:rPr>
        <w:t>48</w:t>
      </w:r>
      <w:r>
        <w:rPr>
          <w:rFonts w:hint="eastAsia" w:ascii="仿宋" w:hAnsi="仿宋" w:eastAsia="仿宋" w:cs="宋体"/>
          <w:sz w:val="32"/>
          <w:szCs w:val="32"/>
          <w:lang w:val="en-US" w:eastAsia="zh-CN"/>
        </w:rPr>
        <w:t>5</w:t>
      </w:r>
      <w:r>
        <w:rPr>
          <w:rFonts w:hint="eastAsia" w:ascii="仿宋" w:hAnsi="仿宋" w:eastAsia="仿宋" w:cs="宋体"/>
          <w:sz w:val="32"/>
          <w:szCs w:val="32"/>
        </w:rPr>
        <w:t>.</w:t>
      </w:r>
      <w:r>
        <w:rPr>
          <w:rFonts w:hint="eastAsia" w:ascii="仿宋" w:hAnsi="仿宋" w:eastAsia="仿宋" w:cs="宋体"/>
          <w:sz w:val="32"/>
          <w:szCs w:val="32"/>
          <w:lang w:val="en-US" w:eastAsia="zh-CN"/>
        </w:rPr>
        <w:t>84</w:t>
      </w:r>
      <w:r>
        <w:rPr>
          <w:rFonts w:hint="eastAsia" w:ascii="仿宋" w:hAnsi="仿宋" w:eastAsia="仿宋" w:cs="宋体"/>
          <w:sz w:val="32"/>
          <w:szCs w:val="32"/>
        </w:rPr>
        <w:t>万元，与</w:t>
      </w:r>
      <w:r>
        <w:rPr>
          <w:rFonts w:ascii="仿宋" w:hAnsi="仿宋" w:eastAsia="仿宋" w:cs="Courier New"/>
          <w:sz w:val="32"/>
          <w:szCs w:val="32"/>
        </w:rPr>
        <w:t>201</w:t>
      </w:r>
      <w:r>
        <w:rPr>
          <w:rFonts w:hint="eastAsia" w:ascii="仿宋" w:hAnsi="仿宋" w:eastAsia="仿宋" w:cs="Courier New"/>
          <w:sz w:val="32"/>
          <w:szCs w:val="32"/>
        </w:rPr>
        <w:t>7</w:t>
      </w:r>
      <w:r>
        <w:rPr>
          <w:rFonts w:hint="eastAsia" w:ascii="仿宋" w:hAnsi="仿宋" w:eastAsia="仿宋" w:cs="宋体"/>
          <w:sz w:val="32"/>
          <w:szCs w:val="32"/>
        </w:rPr>
        <w:t>年相比，</w:t>
      </w:r>
      <w:r>
        <w:rPr>
          <w:rFonts w:hint="eastAsia" w:ascii="仿宋" w:hAnsi="仿宋" w:eastAsia="仿宋" w:cs="宋体"/>
          <w:sz w:val="32"/>
          <w:szCs w:val="32"/>
          <w:lang w:val="en-US" w:eastAsia="zh-CN"/>
        </w:rPr>
        <w:t>财政拨款</w:t>
      </w:r>
      <w:r>
        <w:rPr>
          <w:rFonts w:hint="eastAsia" w:ascii="仿宋" w:hAnsi="仿宋" w:eastAsia="仿宋" w:cs="宋体"/>
          <w:sz w:val="32"/>
          <w:szCs w:val="32"/>
        </w:rPr>
        <w:t>收入</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支出均</w:t>
      </w:r>
      <w:r>
        <w:rPr>
          <w:rFonts w:hint="eastAsia" w:ascii="仿宋" w:hAnsi="仿宋" w:eastAsia="仿宋" w:cs="Courier New"/>
          <w:sz w:val="32"/>
          <w:szCs w:val="32"/>
          <w:lang w:eastAsia="zh-CN"/>
        </w:rPr>
        <w:t>增加</w:t>
      </w:r>
      <w:r>
        <w:rPr>
          <w:rFonts w:hint="eastAsia" w:ascii="仿宋" w:hAnsi="仿宋" w:eastAsia="仿宋" w:cs="Courier New"/>
          <w:sz w:val="32"/>
          <w:szCs w:val="32"/>
          <w:lang w:val="en-US" w:eastAsia="zh-CN"/>
        </w:rPr>
        <w:t>22.65万元，增长4.9%，增加</w:t>
      </w:r>
      <w:r>
        <w:rPr>
          <w:rFonts w:hint="eastAsia" w:ascii="仿宋" w:hAnsi="仿宋" w:eastAsia="仿宋" w:cs="Courier New"/>
          <w:sz w:val="32"/>
          <w:szCs w:val="32"/>
          <w:lang w:eastAsia="zh-CN"/>
        </w:rPr>
        <w:t>原因是</w:t>
      </w:r>
      <w:r>
        <w:rPr>
          <w:rFonts w:hint="eastAsia" w:ascii="仿宋" w:hAnsi="仿宋" w:eastAsia="仿宋" w:cs="Courier New"/>
          <w:sz w:val="32"/>
          <w:szCs w:val="32"/>
        </w:rPr>
        <w:t>开展领导干部资产、资源审计需要增加专业审计人员，需要向社会聘请中介审计力量。</w:t>
      </w:r>
    </w:p>
    <w:p>
      <w:pPr>
        <w:adjustRightInd w:val="0"/>
        <w:snapToGrid w:val="0"/>
        <w:spacing w:line="360" w:lineRule="auto"/>
        <w:ind w:left="420" w:leftChars="200" w:firstLine="320" w:firstLineChars="100"/>
        <w:outlineLvl w:val="1"/>
        <w:rPr>
          <w:rFonts w:ascii="黑体" w:hAnsi="黑体" w:eastAsia="黑体"/>
          <w:sz w:val="32"/>
          <w:szCs w:val="32"/>
        </w:rPr>
      </w:pPr>
      <w:r>
        <w:rPr>
          <w:rFonts w:hint="eastAsia" w:ascii="黑体" w:hAnsi="黑体" w:eastAsia="黑体"/>
          <w:sz w:val="32"/>
          <w:szCs w:val="32"/>
        </w:rPr>
        <w:t>五、关于一般公共预算财政拨款支出决算情况说明</w:t>
      </w:r>
    </w:p>
    <w:p>
      <w:pPr>
        <w:numPr>
          <w:ilvl w:val="0"/>
          <w:numId w:val="3"/>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2018年一般公共预算财政拨款支出482万元，占支出合计的99%。与2017年相比，一般公共预算财政拨款支出增加19万元，增长4%。</w:t>
      </w:r>
      <w:r>
        <w:rPr>
          <w:rFonts w:hint="eastAsia" w:ascii="仿宋" w:hAnsi="仿宋" w:eastAsia="仿宋" w:cs="宋体"/>
          <w:sz w:val="32"/>
          <w:szCs w:val="32"/>
          <w:lang w:eastAsia="zh-CN"/>
        </w:rPr>
        <w:t>增加原因是</w:t>
      </w:r>
      <w:r>
        <w:rPr>
          <w:rFonts w:hint="eastAsia" w:ascii="仿宋" w:hAnsi="仿宋" w:eastAsia="仿宋" w:cs="Courier New"/>
          <w:sz w:val="32"/>
          <w:szCs w:val="32"/>
        </w:rPr>
        <w:t>遵照中办、国办部署和审计署的要求，2018年在全国开展领导干部资产、资源离任审计，需要向社会聘请中介审计力量。</w:t>
      </w:r>
    </w:p>
    <w:p>
      <w:pPr>
        <w:numPr>
          <w:ilvl w:val="0"/>
          <w:numId w:val="3"/>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2018年度一般公共预算财政拨款支出482万元，主要用于以下方面：</w:t>
      </w:r>
      <w:r>
        <w:rPr>
          <w:rFonts w:hint="eastAsia" w:ascii="仿宋_GB2312" w:hAnsi="宋体" w:eastAsia="仿宋_GB2312" w:cs="Courier New"/>
          <w:b/>
          <w:bCs/>
          <w:sz w:val="32"/>
          <w:szCs w:val="32"/>
        </w:rPr>
        <w:t>一般公共服务（类）</w:t>
      </w:r>
      <w:r>
        <w:rPr>
          <w:rFonts w:hint="eastAsia" w:ascii="仿宋_GB2312" w:hAnsi="宋体" w:eastAsia="仿宋_GB2312" w:cs="Courier New"/>
          <w:sz w:val="32"/>
          <w:szCs w:val="32"/>
        </w:rPr>
        <w:t>支出482万元，占100%。</w:t>
      </w:r>
    </w:p>
    <w:p>
      <w:pPr>
        <w:numPr>
          <w:ilvl w:val="0"/>
          <w:numId w:val="3"/>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2018年度一般公共预算财政拨款支出年初预算为476.8万元，支出决算为482万元，完成年初预算的102%。决算数大于预算数的主要原因：一是审计署、省、市安排的临时性市、区交叉审计的大项目较多。其中：</w:t>
      </w:r>
    </w:p>
    <w:p>
      <w:pPr>
        <w:numPr>
          <w:ilvl w:val="0"/>
          <w:numId w:val="4"/>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 xml:space="preserve">一般公共服务（类）财政事务（款）行政运行（项）。      </w:t>
      </w:r>
      <w:r>
        <w:rPr>
          <w:rFonts w:hint="eastAsia" w:ascii="仿宋_GB2312" w:hAnsi="宋体" w:eastAsia="仿宋_GB2312" w:cs="Courier New"/>
          <w:sz w:val="32"/>
          <w:szCs w:val="32"/>
        </w:rPr>
        <w:t>年初预算为286.6万元，支出决算为343.43万元，完成年初预算的119%。决算数大于预算数的主要原因是单位职工应发工资部分得以补发。</w:t>
      </w:r>
    </w:p>
    <w:p>
      <w:pPr>
        <w:numPr>
          <w:ilvl w:val="0"/>
          <w:numId w:val="4"/>
        </w:numPr>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一般公共服务（类）财政事务（款）</w:t>
      </w:r>
      <w:r>
        <w:rPr>
          <w:rFonts w:hint="eastAsia" w:ascii="仿宋_GB2312" w:hAnsi="宋体" w:eastAsia="仿宋_GB2312" w:cs="Courier New"/>
          <w:b/>
          <w:bCs/>
          <w:sz w:val="32"/>
          <w:szCs w:val="32"/>
          <w:lang w:eastAsia="zh-CN"/>
        </w:rPr>
        <w:t>审计业务</w:t>
      </w:r>
      <w:r>
        <w:rPr>
          <w:rFonts w:hint="eastAsia" w:ascii="仿宋_GB2312" w:hAnsi="宋体" w:eastAsia="仿宋_GB2312" w:cs="Courier New"/>
          <w:b/>
          <w:bCs/>
          <w:sz w:val="32"/>
          <w:szCs w:val="32"/>
        </w:rPr>
        <w:t>（项）。</w:t>
      </w:r>
      <w:r>
        <w:rPr>
          <w:rFonts w:hint="eastAsia" w:ascii="仿宋_GB2312" w:hAnsi="宋体" w:eastAsia="仿宋_GB2312" w:cs="Courier New"/>
          <w:b/>
          <w:bCs/>
          <w:sz w:val="32"/>
          <w:szCs w:val="32"/>
          <w:lang w:val="en-US" w:eastAsia="zh-CN"/>
        </w:rPr>
        <w:t xml:space="preserve">    </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14.3</w:t>
      </w:r>
      <w:r>
        <w:rPr>
          <w:rFonts w:hint="eastAsia" w:ascii="仿宋_GB2312" w:hAnsi="宋体" w:eastAsia="仿宋_GB2312" w:cs="Courier New"/>
          <w:sz w:val="32"/>
          <w:szCs w:val="32"/>
        </w:rPr>
        <w:t>万元，完成年初预算的133%。决算数大于预算数的主要原因是近两年扶贫任务不断加大，审计人员短缺，政府购买服务支出加大。</w:t>
      </w:r>
    </w:p>
    <w:p>
      <w:pPr>
        <w:numPr>
          <w:ilvl w:val="0"/>
          <w:numId w:val="4"/>
        </w:numPr>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一般公共服务（类）财政事务（款）</w:t>
      </w:r>
      <w:r>
        <w:rPr>
          <w:rFonts w:hint="eastAsia" w:ascii="仿宋_GB2312" w:hAnsi="宋体" w:eastAsia="仿宋_GB2312" w:cs="Courier New"/>
          <w:b/>
          <w:bCs/>
          <w:sz w:val="32"/>
          <w:szCs w:val="32"/>
          <w:lang w:eastAsia="zh-CN"/>
        </w:rPr>
        <w:t>事业运行</w:t>
      </w:r>
      <w:r>
        <w:rPr>
          <w:rFonts w:hint="eastAsia" w:ascii="仿宋_GB2312" w:hAnsi="宋体" w:eastAsia="仿宋_GB2312" w:cs="Courier New"/>
          <w:b/>
          <w:bCs/>
          <w:sz w:val="32"/>
          <w:szCs w:val="32"/>
        </w:rPr>
        <w:t>（项）。</w:t>
      </w:r>
    </w:p>
    <w:p>
      <w:pPr>
        <w:numPr>
          <w:ilvl w:val="0"/>
          <w:numId w:val="0"/>
        </w:numPr>
        <w:adjustRightInd w:val="0"/>
        <w:snapToGrid w:val="0"/>
        <w:spacing w:line="360" w:lineRule="auto"/>
        <w:rPr>
          <w:rFonts w:ascii="仿宋_GB2312" w:hAnsi="宋体" w:eastAsia="仿宋_GB2312" w:cs="Courier New"/>
          <w:sz w:val="32"/>
          <w:szCs w:val="32"/>
        </w:rPr>
      </w:pPr>
      <w:r>
        <w:rPr>
          <w:rFonts w:hint="eastAsia" w:ascii="仿宋_GB2312" w:hAnsi="宋体" w:eastAsia="仿宋_GB2312" w:cs="Courier New"/>
          <w:sz w:val="32"/>
          <w:szCs w:val="32"/>
        </w:rPr>
        <w:t>年初预算为103.5万元，支出决算为</w:t>
      </w:r>
      <w:r>
        <w:rPr>
          <w:rFonts w:hint="eastAsia" w:ascii="仿宋_GB2312" w:hAnsi="宋体" w:eastAsia="仿宋_GB2312" w:cs="Courier New"/>
          <w:sz w:val="32"/>
          <w:szCs w:val="32"/>
          <w:lang w:val="en-US" w:eastAsia="zh-CN"/>
        </w:rPr>
        <w:t>124.28</w:t>
      </w:r>
      <w:r>
        <w:rPr>
          <w:rFonts w:hint="eastAsia" w:ascii="仿宋_GB2312" w:hAnsi="宋体" w:eastAsia="仿宋_GB2312" w:cs="Courier New"/>
          <w:sz w:val="32"/>
          <w:szCs w:val="32"/>
        </w:rPr>
        <w:t>万元，完成年初预算的133%。决算数大于预算数的主要原因是近两年扶贫任务不断加大，审计人员短缺，政府购买服务支出加大。</w:t>
      </w:r>
    </w:p>
    <w:p>
      <w:pPr>
        <w:numPr>
          <w:ilvl w:val="0"/>
          <w:numId w:val="0"/>
        </w:numPr>
        <w:adjustRightInd w:val="0"/>
        <w:snapToGrid w:val="0"/>
        <w:spacing w:line="360" w:lineRule="auto"/>
        <w:ind w:leftChars="200"/>
        <w:outlineLvl w:val="1"/>
        <w:rPr>
          <w:rFonts w:ascii="黑体" w:hAnsi="黑体" w:eastAsia="黑体"/>
          <w:sz w:val="32"/>
          <w:szCs w:val="32"/>
        </w:rPr>
      </w:pPr>
      <w:r>
        <w:rPr>
          <w:rFonts w:hint="eastAsia" w:ascii="黑体" w:hAnsi="黑体" w:eastAsia="黑体"/>
          <w:sz w:val="32"/>
          <w:szCs w:val="32"/>
          <w:lang w:val="en-US" w:eastAsia="zh-CN"/>
        </w:rPr>
        <w:t>六、</w:t>
      </w: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color w:val="000000" w:themeColor="text1"/>
          <w:sz w:val="32"/>
          <w:szCs w:val="32"/>
        </w:rPr>
      </w:pPr>
      <w:r>
        <w:rPr>
          <w:rFonts w:hint="eastAsia" w:ascii="仿宋_GB2312" w:hAnsi="宋体" w:eastAsia="仿宋_GB2312" w:cs="Courier New"/>
          <w:sz w:val="32"/>
          <w:szCs w:val="32"/>
        </w:rPr>
        <w:t>2018年一般公共预算财政拨款基本支出482万元，其中：</w:t>
      </w:r>
      <w:r>
        <w:rPr>
          <w:rFonts w:hint="eastAsia" w:ascii="仿宋_GB2312" w:hAnsi="Times New Roman" w:eastAsia="仿宋_GB2312" w:cs="仿宋_GB2312"/>
          <w:b/>
          <w:bCs w:val="0"/>
          <w:spacing w:val="-1"/>
          <w:kern w:val="0"/>
          <w:sz w:val="32"/>
          <w:szCs w:val="32"/>
        </w:rPr>
        <w:t>人员经费</w:t>
      </w:r>
      <w:r>
        <w:rPr>
          <w:rFonts w:hint="eastAsia" w:ascii="仿宋_GB2312" w:hAnsi="Times New Roman" w:eastAsia="仿宋_GB2312" w:cs="仿宋_GB2312"/>
          <w:bCs/>
          <w:spacing w:val="-1"/>
          <w:kern w:val="0"/>
          <w:sz w:val="32"/>
          <w:szCs w:val="32"/>
        </w:rPr>
        <w:t>410.23万元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主要包括：基本工资160.23万元、奖金29.82万元、绩效工资20.5万元、机关事业单位基本养老保险缴费40万元、职业年金缴费14.91万元、  其他社会保障缴费89.82万元、住房公积金46.91万元、  其他工资福利支出8.24万元。</w:t>
      </w:r>
      <w:r>
        <w:rPr>
          <w:rFonts w:hint="eastAsia" w:ascii="仿宋_GB2312" w:hAnsi="宋体" w:eastAsia="仿宋_GB2312" w:cs="Courier New"/>
          <w:b w:val="0"/>
          <w:bCs w:val="0"/>
          <w:color w:val="auto"/>
          <w:sz w:val="32"/>
          <w:szCs w:val="32"/>
        </w:rPr>
        <w:t>（</w:t>
      </w:r>
      <w:r>
        <w:rPr>
          <w:rFonts w:hint="eastAsia" w:ascii="仿宋_GB2312" w:hAnsi="宋体" w:eastAsia="仿宋_GB2312" w:cs="Courier New"/>
          <w:color w:val="000000" w:themeColor="text1"/>
          <w:sz w:val="32"/>
          <w:szCs w:val="32"/>
        </w:rPr>
        <w:t>按照公开06表中“人员经费”所列项目填写）；</w:t>
      </w:r>
      <w:r>
        <w:rPr>
          <w:rFonts w:hint="eastAsia" w:ascii="仿宋_GB2312" w:hAnsi="Times New Roman" w:eastAsia="仿宋_GB2312" w:cs="仿宋_GB2312"/>
          <w:b/>
          <w:color w:val="000000" w:themeColor="text1"/>
          <w:spacing w:val="-1"/>
          <w:kern w:val="0"/>
          <w:sz w:val="32"/>
          <w:szCs w:val="32"/>
        </w:rPr>
        <w:t>公用经费</w:t>
      </w:r>
      <w:r>
        <w:rPr>
          <w:rFonts w:hint="eastAsia" w:ascii="仿宋_GB2312" w:hAnsi="Times New Roman" w:eastAsia="仿宋_GB2312" w:cs="仿宋_GB2312"/>
          <w:color w:val="000000" w:themeColor="text1"/>
          <w:spacing w:val="-2"/>
          <w:kern w:val="0"/>
          <w:sz w:val="32"/>
          <w:szCs w:val="32"/>
        </w:rPr>
        <w:t>71.77万元</w:t>
      </w:r>
      <w:r>
        <w:rPr>
          <w:rFonts w:hint="eastAsia" w:ascii="仿宋_GB2312" w:hAnsi="宋体" w:eastAsia="仿宋_GB2312" w:cs="Courier New"/>
          <w:color w:val="000000" w:themeColor="text1"/>
          <w:sz w:val="32"/>
          <w:szCs w:val="32"/>
        </w:rPr>
        <w:t>， 办公费</w:t>
      </w:r>
      <w:r>
        <w:rPr>
          <w:rFonts w:ascii="仿宋_GB2312" w:hAnsi="宋体" w:eastAsia="仿宋_GB2312" w:cs="Courier New"/>
          <w:color w:val="000000" w:themeColor="text1"/>
          <w:sz w:val="32"/>
          <w:szCs w:val="32"/>
        </w:rPr>
        <w:t>39.58</w:t>
      </w:r>
      <w:r>
        <w:rPr>
          <w:rFonts w:hint="eastAsia" w:ascii="仿宋_GB2312" w:hAnsi="Times New Roman" w:eastAsia="仿宋_GB2312" w:cs="仿宋_GB2312"/>
          <w:color w:val="000000" w:themeColor="text1"/>
          <w:spacing w:val="-2"/>
          <w:kern w:val="0"/>
          <w:sz w:val="32"/>
          <w:szCs w:val="32"/>
        </w:rPr>
        <w:t>万元</w:t>
      </w:r>
      <w:r>
        <w:rPr>
          <w:rFonts w:hint="eastAsia" w:ascii="仿宋_GB2312" w:hAnsi="宋体" w:eastAsia="仿宋_GB2312" w:cs="Courier New"/>
          <w:color w:val="000000" w:themeColor="text1"/>
          <w:sz w:val="32"/>
          <w:szCs w:val="32"/>
        </w:rPr>
        <w:t>、印刷费</w:t>
      </w:r>
      <w:r>
        <w:rPr>
          <w:rFonts w:ascii="仿宋_GB2312" w:hAnsi="宋体" w:eastAsia="仿宋_GB2312" w:cs="Courier New"/>
          <w:color w:val="000000" w:themeColor="text1"/>
          <w:sz w:val="32"/>
          <w:szCs w:val="32"/>
        </w:rPr>
        <w:t>5.61</w:t>
      </w:r>
      <w:r>
        <w:rPr>
          <w:rFonts w:hint="eastAsia" w:ascii="仿宋_GB2312" w:hAnsi="Times New Roman" w:eastAsia="仿宋_GB2312" w:cs="仿宋_GB2312"/>
          <w:color w:val="000000" w:themeColor="text1"/>
          <w:spacing w:val="-2"/>
          <w:kern w:val="0"/>
          <w:sz w:val="32"/>
          <w:szCs w:val="32"/>
        </w:rPr>
        <w:t>万元</w:t>
      </w:r>
      <w:r>
        <w:rPr>
          <w:rFonts w:hint="eastAsia" w:ascii="仿宋_GB2312" w:hAnsi="宋体" w:eastAsia="仿宋_GB2312" w:cs="Courier New"/>
          <w:color w:val="000000" w:themeColor="text1"/>
          <w:sz w:val="32"/>
          <w:szCs w:val="32"/>
        </w:rPr>
        <w:t>、电费</w:t>
      </w:r>
      <w:r>
        <w:rPr>
          <w:rFonts w:ascii="仿宋_GB2312" w:hAnsi="宋体" w:eastAsia="仿宋_GB2312" w:cs="Courier New"/>
          <w:color w:val="000000" w:themeColor="text1"/>
          <w:sz w:val="32"/>
          <w:szCs w:val="32"/>
        </w:rPr>
        <w:t>1</w:t>
      </w:r>
      <w:r>
        <w:rPr>
          <w:rFonts w:hint="eastAsia" w:ascii="仿宋_GB2312" w:hAnsi="Times New Roman" w:eastAsia="仿宋_GB2312" w:cs="仿宋_GB2312"/>
          <w:color w:val="000000" w:themeColor="text1"/>
          <w:spacing w:val="-2"/>
          <w:kern w:val="0"/>
          <w:sz w:val="32"/>
          <w:szCs w:val="32"/>
        </w:rPr>
        <w:t>万元</w:t>
      </w:r>
      <w:r>
        <w:rPr>
          <w:rFonts w:hint="eastAsia" w:ascii="仿宋_GB2312" w:hAnsi="宋体" w:eastAsia="仿宋_GB2312" w:cs="Courier New"/>
          <w:color w:val="000000" w:themeColor="text1"/>
          <w:sz w:val="32"/>
          <w:szCs w:val="32"/>
        </w:rPr>
        <w:t>、邮电费</w:t>
      </w:r>
      <w:r>
        <w:rPr>
          <w:rFonts w:ascii="仿宋_GB2312" w:hAnsi="宋体" w:eastAsia="仿宋_GB2312" w:cs="Courier New"/>
          <w:color w:val="000000" w:themeColor="text1"/>
          <w:sz w:val="32"/>
          <w:szCs w:val="32"/>
        </w:rPr>
        <w:t>0.3</w:t>
      </w:r>
      <w:r>
        <w:rPr>
          <w:rFonts w:hint="eastAsia" w:ascii="仿宋_GB2312" w:hAnsi="Times New Roman" w:eastAsia="仿宋_GB2312" w:cs="仿宋_GB2312"/>
          <w:color w:val="000000" w:themeColor="text1"/>
          <w:spacing w:val="-2"/>
          <w:kern w:val="0"/>
          <w:sz w:val="32"/>
          <w:szCs w:val="32"/>
        </w:rPr>
        <w:t>万元</w:t>
      </w:r>
      <w:r>
        <w:rPr>
          <w:rFonts w:hint="eastAsia" w:ascii="仿宋_GB2312" w:hAnsi="宋体" w:eastAsia="仿宋_GB2312" w:cs="Courier New"/>
          <w:color w:val="000000" w:themeColor="text1"/>
          <w:sz w:val="32"/>
          <w:szCs w:val="32"/>
        </w:rPr>
        <w:t>、培训费</w:t>
      </w:r>
      <w:r>
        <w:rPr>
          <w:rFonts w:ascii="仿宋_GB2312" w:hAnsi="宋体" w:eastAsia="仿宋_GB2312" w:cs="Courier New"/>
          <w:color w:val="000000" w:themeColor="text1"/>
          <w:sz w:val="32"/>
          <w:szCs w:val="32"/>
        </w:rPr>
        <w:t>0.09</w:t>
      </w:r>
      <w:r>
        <w:rPr>
          <w:rFonts w:hint="eastAsia" w:ascii="仿宋_GB2312" w:hAnsi="Times New Roman" w:eastAsia="仿宋_GB2312" w:cs="仿宋_GB2312"/>
          <w:color w:val="000000" w:themeColor="text1"/>
          <w:spacing w:val="-2"/>
          <w:kern w:val="0"/>
          <w:sz w:val="32"/>
          <w:szCs w:val="32"/>
        </w:rPr>
        <w:t>万元</w:t>
      </w:r>
      <w:r>
        <w:rPr>
          <w:rFonts w:hint="eastAsia" w:ascii="仿宋_GB2312" w:hAnsi="宋体" w:eastAsia="仿宋_GB2312" w:cs="Courier New"/>
          <w:color w:val="000000" w:themeColor="text1"/>
          <w:sz w:val="32"/>
          <w:szCs w:val="32"/>
        </w:rPr>
        <w:t>、公务接待费</w:t>
      </w:r>
      <w:r>
        <w:rPr>
          <w:rFonts w:ascii="仿宋_GB2312" w:hAnsi="宋体" w:eastAsia="仿宋_GB2312" w:cs="Courier New"/>
          <w:color w:val="000000" w:themeColor="text1"/>
          <w:sz w:val="32"/>
          <w:szCs w:val="32"/>
        </w:rPr>
        <w:t>13.8</w:t>
      </w:r>
      <w:r>
        <w:rPr>
          <w:rFonts w:hint="eastAsia" w:ascii="仿宋_GB2312" w:hAnsi="Times New Roman" w:eastAsia="仿宋_GB2312" w:cs="仿宋_GB2312"/>
          <w:color w:val="000000" w:themeColor="text1"/>
          <w:spacing w:val="-2"/>
          <w:kern w:val="0"/>
          <w:sz w:val="32"/>
          <w:szCs w:val="32"/>
        </w:rPr>
        <w:t>万元</w:t>
      </w:r>
      <w:r>
        <w:rPr>
          <w:rFonts w:hint="eastAsia" w:ascii="仿宋_GB2312" w:hAnsi="宋体" w:eastAsia="仿宋_GB2312" w:cs="Courier New"/>
          <w:color w:val="000000" w:themeColor="text1"/>
          <w:sz w:val="32"/>
          <w:szCs w:val="32"/>
        </w:rPr>
        <w:t>、工会经费</w:t>
      </w:r>
      <w:r>
        <w:rPr>
          <w:rFonts w:ascii="仿宋_GB2312" w:hAnsi="宋体" w:eastAsia="仿宋_GB2312" w:cs="Courier New"/>
          <w:color w:val="000000" w:themeColor="text1"/>
          <w:sz w:val="32"/>
          <w:szCs w:val="32"/>
        </w:rPr>
        <w:t>9.09</w:t>
      </w:r>
      <w:r>
        <w:rPr>
          <w:rFonts w:hint="eastAsia" w:ascii="仿宋_GB2312" w:hAnsi="Times New Roman" w:eastAsia="仿宋_GB2312" w:cs="仿宋_GB2312"/>
          <w:color w:val="000000" w:themeColor="text1"/>
          <w:spacing w:val="-2"/>
          <w:kern w:val="0"/>
          <w:sz w:val="32"/>
          <w:szCs w:val="32"/>
        </w:rPr>
        <w:t>万元</w:t>
      </w:r>
      <w:r>
        <w:rPr>
          <w:rFonts w:hint="eastAsia" w:ascii="仿宋_GB2312" w:hAnsi="宋体" w:eastAsia="仿宋_GB2312" w:cs="Courier New"/>
          <w:color w:val="000000" w:themeColor="text1"/>
          <w:sz w:val="32"/>
          <w:szCs w:val="32"/>
        </w:rPr>
        <w:t>、其他交通费用</w:t>
      </w:r>
      <w:r>
        <w:rPr>
          <w:rFonts w:ascii="仿宋_GB2312" w:hAnsi="宋体" w:eastAsia="仿宋_GB2312" w:cs="Courier New"/>
          <w:color w:val="000000" w:themeColor="text1"/>
          <w:sz w:val="32"/>
          <w:szCs w:val="32"/>
        </w:rPr>
        <w:t>1.02</w:t>
      </w:r>
      <w:r>
        <w:rPr>
          <w:rFonts w:hint="eastAsia" w:ascii="仿宋_GB2312" w:hAnsi="Times New Roman" w:eastAsia="仿宋_GB2312" w:cs="仿宋_GB2312"/>
          <w:color w:val="000000" w:themeColor="text1"/>
          <w:spacing w:val="-2"/>
          <w:kern w:val="0"/>
          <w:sz w:val="32"/>
          <w:szCs w:val="32"/>
        </w:rPr>
        <w:t>万元</w:t>
      </w:r>
      <w:r>
        <w:rPr>
          <w:rFonts w:hint="eastAsia" w:ascii="仿宋_GB2312" w:hAnsi="宋体" w:eastAsia="仿宋_GB2312" w:cs="Courier New"/>
          <w:color w:val="000000" w:themeColor="text1"/>
          <w:sz w:val="32"/>
          <w:szCs w:val="32"/>
        </w:rPr>
        <w:t>、 其他商品和服务支出</w:t>
      </w:r>
      <w:r>
        <w:rPr>
          <w:rFonts w:ascii="仿宋_GB2312" w:hAnsi="宋体" w:eastAsia="仿宋_GB2312" w:cs="Courier New"/>
          <w:color w:val="000000" w:themeColor="text1"/>
          <w:sz w:val="32"/>
          <w:szCs w:val="32"/>
        </w:rPr>
        <w:t>1.28</w:t>
      </w:r>
      <w:r>
        <w:rPr>
          <w:rFonts w:hint="eastAsia" w:ascii="仿宋_GB2312" w:hAnsi="Times New Roman" w:eastAsia="仿宋_GB2312" w:cs="仿宋_GB2312"/>
          <w:color w:val="000000" w:themeColor="text1"/>
          <w:spacing w:val="-2"/>
          <w:kern w:val="0"/>
          <w:sz w:val="32"/>
          <w:szCs w:val="32"/>
        </w:rPr>
        <w:t>万元</w:t>
      </w:r>
      <w:r>
        <w:rPr>
          <w:rFonts w:hint="eastAsia" w:ascii="仿宋_GB2312" w:hAnsi="宋体" w:eastAsia="仿宋_GB2312" w:cs="Courier New"/>
          <w:color w:val="000000" w:themeColor="text1"/>
          <w:sz w:val="32"/>
          <w:szCs w:val="32"/>
        </w:rPr>
        <w:t>（按照公开06表中“公用经费”所列项目填写）。</w:t>
      </w:r>
    </w:p>
    <w:p>
      <w:pPr>
        <w:numPr>
          <w:ilvl w:val="0"/>
          <w:numId w:val="0"/>
        </w:numPr>
        <w:adjustRightInd w:val="0"/>
        <w:snapToGrid w:val="0"/>
        <w:spacing w:line="360" w:lineRule="auto"/>
        <w:ind w:leftChars="200"/>
        <w:outlineLvl w:val="1"/>
        <w:rPr>
          <w:rFonts w:ascii="黑体" w:hAnsi="黑体" w:eastAsia="黑体"/>
          <w:sz w:val="32"/>
          <w:szCs w:val="32"/>
        </w:rPr>
      </w:pPr>
      <w:r>
        <w:rPr>
          <w:rFonts w:hint="eastAsia" w:ascii="黑体" w:hAnsi="黑体" w:eastAsia="黑体"/>
          <w:sz w:val="32"/>
          <w:szCs w:val="32"/>
          <w:lang w:val="en-US" w:eastAsia="zh-CN"/>
        </w:rPr>
        <w:t>七、</w:t>
      </w:r>
      <w:r>
        <w:rPr>
          <w:rFonts w:hint="eastAsia" w:ascii="黑体" w:hAnsi="黑体" w:eastAsia="黑体"/>
          <w:sz w:val="32"/>
          <w:szCs w:val="32"/>
        </w:rPr>
        <w:t>关于一般公共预算财政拨款“三公”经费支出决算情况说明</w:t>
      </w:r>
    </w:p>
    <w:p>
      <w:pPr>
        <w:numPr>
          <w:ilvl w:val="0"/>
          <w:numId w:val="5"/>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三公”经费财政拨款支出预算为13.8万元，支出决算为13.8万元，完成预算的100%，其中：因公出国（境）费支出决算为0万元，完成预算的0%；公务用车购置及运行费支出决算为0万元，完成预算的0%；公务接待费支出决算为13.8万元，完成预算的100%。</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三公”经费财政拨款支出决算数比2017年减少5万元，下降15%，其中：因公出国（境）费支出决算增加（减少）0万元，增长（下降）0%；公务用车购置及运行费支出决算增加（减少）0万元，增长（下降）0%；公务接待费支出决算减少5万元，下降15%。公务接待费支出增加减少的主要原因是现在公务接待的标准是同城不吃饭，禁止使用高档烟酒，禁止出入高档酒店进行招待，大大减少了公务接待费用。</w:t>
      </w:r>
    </w:p>
    <w:p>
      <w:pPr>
        <w:numPr>
          <w:ilvl w:val="0"/>
          <w:numId w:val="5"/>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2018年度“三公”经费财政拨款支出决算中，因公出国（境）费支出决算0万元，完成预算的0%，占0%；公务用车购置及运行费支出决算0万元，完成预算的0%，占0%；公务接待费支出决算13.8万元，完成预算的</w:t>
      </w:r>
      <w:r>
        <w:rPr>
          <w:rFonts w:hint="eastAsia" w:ascii="仿宋_GB2312" w:hAnsi="宋体" w:eastAsia="仿宋_GB2312" w:cs="Courier New"/>
          <w:sz w:val="32"/>
          <w:szCs w:val="32"/>
          <w:lang w:val="en-US" w:eastAsia="zh-CN"/>
        </w:rPr>
        <w:t>10</w:t>
      </w:r>
      <w:r>
        <w:rPr>
          <w:rFonts w:hint="eastAsia" w:ascii="仿宋_GB2312" w:hAnsi="宋体" w:eastAsia="仿宋_GB2312" w:cs="Courier New"/>
          <w:sz w:val="32"/>
          <w:szCs w:val="32"/>
        </w:rPr>
        <w:t>%，占100%。具体情况如下：</w:t>
      </w:r>
    </w:p>
    <w:p>
      <w:pPr>
        <w:numPr>
          <w:ilvl w:val="0"/>
          <w:numId w:val="6"/>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因公出国（境）费</w:t>
      </w:r>
      <w:r>
        <w:rPr>
          <w:rFonts w:hint="eastAsia" w:ascii="仿宋_GB2312" w:hAnsi="宋体" w:eastAsia="仿宋_GB2312" w:cs="Courier New"/>
          <w:sz w:val="32"/>
          <w:szCs w:val="32"/>
        </w:rPr>
        <w:t>支出0万元。全年安排厅（局）机关、团组0个，累计0人次。开支内容包括：</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会议</w:t>
      </w:r>
      <w:r>
        <w:rPr>
          <w:rFonts w:hint="eastAsia" w:ascii="仿宋_GB2312" w:hAnsi="宋体" w:eastAsia="仿宋_GB2312" w:cs="Courier New"/>
          <w:sz w:val="32"/>
          <w:szCs w:val="32"/>
        </w:rPr>
        <w:t>支出0万元，主要用于参加以下国际会议：无</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出国谈判、工作磋商</w:t>
      </w:r>
      <w:r>
        <w:rPr>
          <w:rFonts w:hint="eastAsia" w:ascii="仿宋_GB2312" w:hAnsi="宋体" w:eastAsia="仿宋_GB2312" w:cs="Courier New"/>
          <w:sz w:val="32"/>
          <w:szCs w:val="32"/>
        </w:rPr>
        <w:t>支出0万元，主要用于参加以下谈判和磋商：无。</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境外业务培训</w:t>
      </w:r>
      <w:r>
        <w:rPr>
          <w:rFonts w:hint="eastAsia" w:ascii="仿宋_GB2312" w:hAnsi="宋体" w:eastAsia="仿宋_GB2312" w:cs="Courier New"/>
          <w:sz w:val="32"/>
          <w:szCs w:val="32"/>
        </w:rPr>
        <w:t>支出支出0万元，主要用于为提高财政管理水平而举办的公共财政支出结构比较研究、社会保障政策等。</w:t>
      </w:r>
    </w:p>
    <w:p>
      <w:pPr>
        <w:numPr>
          <w:ilvl w:val="0"/>
          <w:numId w:val="6"/>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支出0万元。其中：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支出为0万元。（公务用车购置数为0。）</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支出0万元。2018年期末，信阳市浉河区审计局单位开支财政拨款的公务用车保有量为0辆。</w:t>
      </w:r>
    </w:p>
    <w:p>
      <w:pPr>
        <w:numPr>
          <w:ilvl w:val="0"/>
          <w:numId w:val="6"/>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公务接待费</w:t>
      </w:r>
      <w:r>
        <w:rPr>
          <w:rFonts w:hint="eastAsia" w:ascii="仿宋_GB2312" w:hAnsi="宋体" w:eastAsia="仿宋_GB2312" w:cs="Courier New"/>
          <w:sz w:val="32"/>
          <w:szCs w:val="32"/>
        </w:rPr>
        <w:t>支出13.8万元。其中：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外宾接待</w:t>
      </w:r>
      <w:r>
        <w:rPr>
          <w:rFonts w:hint="eastAsia" w:ascii="仿宋_GB2312" w:hAnsi="宋体" w:eastAsia="仿宋_GB2312" w:cs="Courier New"/>
          <w:sz w:val="32"/>
          <w:szCs w:val="32"/>
        </w:rPr>
        <w:t>支出为0万元。信阳市浉河区审计局2018年度共接待国（境）外来访团组0个、来访外宾0人次（不包括陪同人员），主要包括：无。</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其他国内公务接待</w:t>
      </w:r>
      <w:r>
        <w:rPr>
          <w:rFonts w:hint="eastAsia" w:ascii="仿宋_GB2312" w:hAnsi="宋体" w:eastAsia="仿宋_GB2312" w:cs="Courier New"/>
          <w:sz w:val="32"/>
          <w:szCs w:val="32"/>
        </w:rPr>
        <w:t>支出为13.8万元，共计53批次</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690人次（不包括陪同人员）。主要用于</w:t>
      </w:r>
      <w:r>
        <w:rPr>
          <w:rFonts w:hint="eastAsia" w:ascii="仿宋" w:hAnsi="仿宋" w:eastAsia="仿宋" w:cs="宋体"/>
          <w:sz w:val="32"/>
          <w:szCs w:val="32"/>
        </w:rPr>
        <w:t>主要用于信阳市浉河区审计局日常的公务接待。</w:t>
      </w:r>
    </w:p>
    <w:p>
      <w:pPr>
        <w:numPr>
          <w:ilvl w:val="0"/>
          <w:numId w:val="0"/>
        </w:numPr>
        <w:adjustRightInd w:val="0"/>
        <w:snapToGrid w:val="0"/>
        <w:spacing w:line="360" w:lineRule="auto"/>
        <w:ind w:leftChars="200"/>
        <w:outlineLvl w:val="1"/>
        <w:rPr>
          <w:rFonts w:ascii="黑体" w:hAnsi="黑体" w:eastAsia="黑体"/>
          <w:sz w:val="32"/>
          <w:szCs w:val="32"/>
        </w:rPr>
      </w:pPr>
      <w:r>
        <w:rPr>
          <w:rFonts w:hint="eastAsia" w:ascii="黑体" w:hAnsi="黑体" w:eastAsia="黑体"/>
          <w:sz w:val="32"/>
          <w:szCs w:val="32"/>
          <w:lang w:val="en-US" w:eastAsia="zh-CN"/>
        </w:rPr>
        <w:t>八、</w:t>
      </w:r>
      <w:r>
        <w:rPr>
          <w:rFonts w:hint="eastAsia" w:ascii="黑体" w:hAnsi="黑体" w:eastAsia="黑体"/>
          <w:sz w:val="32"/>
          <w:szCs w:val="32"/>
        </w:rPr>
        <w:t>关于预算绩效情况说明</w:t>
      </w:r>
    </w:p>
    <w:p>
      <w:pPr>
        <w:numPr>
          <w:ilvl w:val="0"/>
          <w:numId w:val="7"/>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320" w:firstLineChars="1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根据财政预算管理要求，信阳市浉河区审计局对2018年度一般公共预算项目支出全面开展绩效自评。其中，一级项目8个，二级项目5个，共涉及预算资金65万元，自评覆盖率达到100%。</w:t>
      </w:r>
    </w:p>
    <w:p>
      <w:pPr>
        <w:numPr>
          <w:ilvl w:val="0"/>
          <w:numId w:val="7"/>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部门决算中项目绩效自评结果。</w:t>
      </w:r>
    </w:p>
    <w:p>
      <w:pPr>
        <w:pStyle w:val="4"/>
        <w:widowControl/>
        <w:spacing w:line="450" w:lineRule="atLeast"/>
        <w:ind w:left="450" w:right="450" w:firstLine="640"/>
        <w:rPr>
          <w:rFonts w:hint="eastAsia" w:ascii="仿宋_GB2312" w:hAnsi="宋体" w:eastAsia="仿宋_GB2312" w:cs="Courier New"/>
          <w:sz w:val="32"/>
          <w:szCs w:val="32"/>
        </w:rPr>
      </w:pPr>
      <w:r>
        <w:rPr>
          <w:rFonts w:hint="eastAsia" w:ascii="仿宋_GB2312" w:hAnsi="宋体" w:eastAsia="仿宋_GB2312" w:cs="Courier New"/>
          <w:sz w:val="32"/>
          <w:szCs w:val="32"/>
        </w:rPr>
        <w:t>信阳市浉河区审计局2018年度部门决算中增加“重大审计”项目绩效评价结果。根据2018年年初设定的绩效目标，“重大审计”项目自评得分为90分。发现的主要问题：1、审计资源有待优化、2、计算机审计作用没能发挥。下一步改进措施：</w:t>
      </w:r>
      <w:r>
        <w:rPr>
          <w:rFonts w:ascii="仿宋_GB2312" w:hAnsi="微软雅黑" w:eastAsia="仿宋_GB2312" w:cs="仿宋_GB2312"/>
          <w:sz w:val="32"/>
          <w:szCs w:val="32"/>
        </w:rPr>
        <w:t>整合全</w:t>
      </w:r>
      <w:r>
        <w:rPr>
          <w:rFonts w:hint="eastAsia" w:ascii="仿宋_GB2312" w:hAnsi="微软雅黑" w:eastAsia="仿宋_GB2312" w:cs="仿宋_GB2312"/>
          <w:sz w:val="32"/>
          <w:szCs w:val="32"/>
        </w:rPr>
        <w:t>区</w:t>
      </w:r>
      <w:r>
        <w:rPr>
          <w:rFonts w:ascii="仿宋_GB2312" w:hAnsi="微软雅黑" w:eastAsia="仿宋_GB2312" w:cs="仿宋_GB2312"/>
          <w:sz w:val="32"/>
          <w:szCs w:val="32"/>
        </w:rPr>
        <w:t>审计资源，建立行业审计人才数据库，根据项目需要和人员特长，从中合理抽调配置人员，充分发挥上下协同作战的整体优势。建立法律法规储备库，为行业审计提供相关法律法规支持</w:t>
      </w:r>
      <w:r>
        <w:rPr>
          <w:rFonts w:hint="eastAsia" w:ascii="仿宋_GB2312" w:hAnsi="微软雅黑" w:eastAsia="仿宋_GB2312" w:cs="仿宋_GB2312"/>
          <w:sz w:val="32"/>
          <w:szCs w:val="32"/>
        </w:rPr>
        <w:t>。积极加强计算机综合素质培训</w:t>
      </w:r>
      <w:r>
        <w:rPr>
          <w:rFonts w:hint="eastAsia" w:ascii="仿宋_GB2312" w:hAnsi="宋体" w:eastAsia="仿宋_GB2312" w:cs="Courier New"/>
          <w:sz w:val="32"/>
          <w:szCs w:val="32"/>
        </w:rPr>
        <w:t>。</w:t>
      </w:r>
    </w:p>
    <w:p>
      <w:pPr>
        <w:pStyle w:val="4"/>
        <w:widowControl/>
        <w:spacing w:line="450" w:lineRule="atLeast"/>
        <w:ind w:left="450" w:right="450" w:firstLine="640"/>
        <w:rPr>
          <w:rFonts w:ascii="仿宋_GB2312" w:hAnsi="宋体" w:eastAsia="仿宋_GB2312" w:cs="Courier New"/>
          <w:sz w:val="32"/>
          <w:szCs w:val="32"/>
        </w:rPr>
      </w:pPr>
    </w:p>
    <w:p>
      <w:pPr>
        <w:numPr>
          <w:ilvl w:val="0"/>
          <w:numId w:val="0"/>
        </w:numPr>
        <w:adjustRightInd w:val="0"/>
        <w:snapToGrid w:val="0"/>
        <w:spacing w:line="360" w:lineRule="auto"/>
        <w:ind w:leftChars="200"/>
        <w:outlineLvl w:val="1"/>
        <w:rPr>
          <w:rFonts w:ascii="黑体" w:hAnsi="黑体" w:eastAsia="黑体"/>
          <w:sz w:val="32"/>
          <w:szCs w:val="32"/>
        </w:rPr>
      </w:pPr>
      <w:r>
        <w:rPr>
          <w:rFonts w:hint="eastAsia" w:ascii="黑体" w:hAnsi="黑体" w:eastAsia="黑体"/>
          <w:sz w:val="32"/>
          <w:szCs w:val="32"/>
          <w:lang w:val="en-US" w:eastAsia="zh-CN"/>
        </w:rPr>
        <w:t>九、</w:t>
      </w:r>
      <w:r>
        <w:rPr>
          <w:rFonts w:hint="eastAsia" w:ascii="黑体" w:hAnsi="黑体" w:eastAsia="黑体"/>
          <w:sz w:val="32"/>
          <w:szCs w:val="32"/>
        </w:rPr>
        <w:t>关于政府性基金预算财政拨款收入支出决算情况说明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2018年度政府性基金预算财政拨款支出年初预算为0万元，支出决算为0万元，完成年初预算的0%。决算数与年初预算数</w:t>
      </w:r>
      <w:r>
        <w:rPr>
          <w:rFonts w:hint="eastAsia" w:ascii="仿宋_GB2312" w:hAnsi="宋体" w:eastAsia="仿宋_GB2312" w:cs="Courier New"/>
          <w:sz w:val="32"/>
          <w:szCs w:val="32"/>
          <w:lang w:val="en-US" w:eastAsia="zh-CN"/>
        </w:rPr>
        <w:t>不</w:t>
      </w:r>
      <w:r>
        <w:rPr>
          <w:rFonts w:hint="eastAsia" w:ascii="仿宋_GB2312" w:hAnsi="宋体" w:eastAsia="仿宋_GB2312" w:cs="Courier New"/>
          <w:sz w:val="32"/>
          <w:szCs w:val="32"/>
        </w:rPr>
        <w:t>存在差异</w:t>
      </w:r>
      <w:r>
        <w:rPr>
          <w:rFonts w:hint="eastAsia" w:ascii="仿宋_GB2312" w:hAnsi="宋体" w:eastAsia="仿宋_GB2312" w:cs="Courier New"/>
          <w:sz w:val="32"/>
          <w:szCs w:val="32"/>
          <w:lang w:eastAsia="zh-CN"/>
        </w:rPr>
        <w:t>。</w:t>
      </w:r>
    </w:p>
    <w:p>
      <w:pPr>
        <w:numPr>
          <w:ilvl w:val="0"/>
          <w:numId w:val="0"/>
        </w:numPr>
        <w:kinsoku w:val="0"/>
        <w:overflowPunct w:val="0"/>
        <w:autoSpaceDE w:val="0"/>
        <w:autoSpaceDN w:val="0"/>
        <w:adjustRightInd w:val="0"/>
        <w:snapToGrid w:val="0"/>
        <w:spacing w:line="360" w:lineRule="auto"/>
        <w:ind w:leftChars="200"/>
        <w:rPr>
          <w:rFonts w:ascii="楷体_GB2312" w:hAnsi="Times New Roman" w:eastAsia="楷体_GB2312" w:cs="黑体"/>
          <w:b/>
          <w:bCs w:val="0"/>
          <w:kern w:val="0"/>
          <w:sz w:val="32"/>
          <w:szCs w:val="32"/>
        </w:rPr>
      </w:pPr>
      <w:r>
        <w:rPr>
          <w:rFonts w:hint="eastAsia" w:ascii="楷体_GB2312" w:hAnsi="Times New Roman" w:eastAsia="楷体_GB2312" w:cs="仿宋_GB2312"/>
          <w:b/>
          <w:bCs w:val="0"/>
          <w:kern w:val="0"/>
          <w:sz w:val="32"/>
          <w:szCs w:val="32"/>
          <w:lang w:val="en-US" w:eastAsia="zh-CN"/>
        </w:rPr>
        <w:t>十、</w:t>
      </w:r>
      <w:r>
        <w:rPr>
          <w:rFonts w:hint="eastAsia" w:ascii="楷体_GB2312" w:hAnsi="Times New Roman" w:eastAsia="楷体_GB2312" w:cs="仿宋_GB2312"/>
          <w:b/>
          <w:bCs w:val="0"/>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lang w:eastAsia="zh-CN"/>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年度机关运行经费年初预算为96.8万元，支出决算为96.8万元，完成年初预算的100%。比2017年增加10万元，增长11</w:t>
      </w:r>
      <w:r>
        <w:rPr>
          <w:rFonts w:ascii="仿宋_GB2312" w:hAnsi="宋体" w:eastAsia="仿宋_GB2312" w:cs="Courier New"/>
          <w:sz w:val="32"/>
          <w:szCs w:val="32"/>
        </w:rPr>
        <w:t>%</w:t>
      </w:r>
      <w:r>
        <w:rPr>
          <w:rFonts w:hint="eastAsia" w:ascii="仿宋_GB2312" w:hAnsi="宋体" w:eastAsia="仿宋_GB2312" w:cs="Courier New"/>
          <w:sz w:val="32"/>
          <w:szCs w:val="32"/>
        </w:rPr>
        <w:t>。</w:t>
      </w:r>
      <w:r>
        <w:rPr>
          <w:rFonts w:hint="eastAsia" w:ascii="仿宋" w:hAnsi="仿宋" w:eastAsia="仿宋" w:cs="宋体"/>
          <w:sz w:val="32"/>
          <w:szCs w:val="32"/>
          <w:lang w:eastAsia="zh-CN"/>
        </w:rPr>
        <w:t>增加原因是</w:t>
      </w:r>
      <w:r>
        <w:rPr>
          <w:rFonts w:hint="eastAsia" w:ascii="仿宋" w:hAnsi="仿宋" w:eastAsia="仿宋" w:cs="Courier New"/>
          <w:sz w:val="32"/>
          <w:szCs w:val="32"/>
        </w:rPr>
        <w:t>遵照中办、国办部署和审计署的要求，2018年在全国开展领导干部资产、资源离任审计，需要向社会聘请中介审计力量。</w:t>
      </w:r>
    </w:p>
    <w:p>
      <w:pPr>
        <w:numPr>
          <w:ilvl w:val="0"/>
          <w:numId w:val="0"/>
        </w:numPr>
        <w:kinsoku w:val="0"/>
        <w:overflowPunct w:val="0"/>
        <w:autoSpaceDE w:val="0"/>
        <w:autoSpaceDN w:val="0"/>
        <w:adjustRightInd w:val="0"/>
        <w:snapToGrid w:val="0"/>
        <w:spacing w:line="360" w:lineRule="auto"/>
        <w:ind w:leftChars="200"/>
        <w:rPr>
          <w:rFonts w:ascii="楷体_GB2312" w:hAnsi="Times New Roman" w:eastAsia="楷体_GB2312" w:cs="仿宋_GB2312"/>
          <w:b/>
          <w:bCs w:val="0"/>
          <w:kern w:val="0"/>
          <w:sz w:val="32"/>
          <w:szCs w:val="32"/>
        </w:rPr>
      </w:pPr>
      <w:r>
        <w:rPr>
          <w:rFonts w:hint="eastAsia" w:ascii="楷体_GB2312" w:hAnsi="Times New Roman" w:eastAsia="楷体_GB2312" w:cs="仿宋_GB2312"/>
          <w:b/>
          <w:bCs w:val="0"/>
          <w:kern w:val="0"/>
          <w:sz w:val="32"/>
          <w:szCs w:val="32"/>
          <w:lang w:val="en-US" w:eastAsia="zh-CN"/>
        </w:rPr>
        <w:t>十一、</w:t>
      </w:r>
      <w:r>
        <w:rPr>
          <w:rFonts w:hint="eastAsia" w:ascii="楷体_GB2312" w:hAnsi="Times New Roman" w:eastAsia="楷体_GB2312" w:cs="仿宋_GB2312"/>
          <w:b/>
          <w:bCs w:val="0"/>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numPr>
          <w:ilvl w:val="0"/>
          <w:numId w:val="8"/>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期末，我部门共有车辆0辆，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第三部分　　名词解释</w:t>
      </w:r>
    </w:p>
    <w:p>
      <w:pPr>
        <w:kinsoku w:val="0"/>
        <w:overflowPunct w:val="0"/>
        <w:autoSpaceDE w:val="0"/>
        <w:autoSpaceDN w:val="0"/>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一、一般公共决算拨款收入：指区财政当年拨付的资金。 </w:t>
      </w:r>
    </w:p>
    <w:p>
      <w:pPr>
        <w:kinsoku w:val="0"/>
        <w:overflowPunct w:val="0"/>
        <w:autoSpaceDE w:val="0"/>
        <w:autoSpaceDN w:val="0"/>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二、事业收入：指单位开展专业业务活动及辅助活动所取得的收入</w:t>
      </w:r>
    </w:p>
    <w:p>
      <w:pPr>
        <w:kinsoku w:val="0"/>
        <w:overflowPunct w:val="0"/>
        <w:autoSpaceDE w:val="0"/>
        <w:autoSpaceDN w:val="0"/>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三、上年结转：指以前年度尚未完成、结转到本年仍按原规定用途继续使用的资金。 </w:t>
      </w:r>
    </w:p>
    <w:p>
      <w:pPr>
        <w:kinsoku w:val="0"/>
        <w:overflowPunct w:val="0"/>
        <w:autoSpaceDE w:val="0"/>
        <w:autoSpaceDN w:val="0"/>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四、基本支出：指审计局为保障机构正常运转、完成日常工作任务所必需的人员经费和日常公用经费。</w:t>
      </w:r>
    </w:p>
    <w:p>
      <w:pPr>
        <w:kinsoku w:val="0"/>
        <w:overflowPunct w:val="0"/>
        <w:autoSpaceDE w:val="0"/>
        <w:autoSpaceDN w:val="0"/>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五、项目支出：指审计局在基本支出之外，为完成特定的行政工作任务或事业发展目标所发生的支出。</w:t>
      </w:r>
    </w:p>
    <w:p>
      <w:pPr>
        <w:kinsoku w:val="0"/>
        <w:overflowPunct w:val="0"/>
        <w:autoSpaceDE w:val="0"/>
        <w:autoSpaceDN w:val="0"/>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六、结转下年：指以前年度决算安排、因客观条件发生变化 无法按原计划实施，需延迟到以后年度按原规定用途继续使用的 资金。</w:t>
      </w:r>
    </w:p>
    <w:p>
      <w:pPr>
        <w:kinsoku w:val="0"/>
        <w:overflowPunct w:val="0"/>
        <w:autoSpaceDE w:val="0"/>
        <w:autoSpaceDN w:val="0"/>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七、一般公共服务支出： 指审计局行政单位用于保障机构正常运转、完成日常工作任务安排的支出，开展经常性专项业务活动、用于计算机及网络运行维护、设备更新 购置、办公用房及设备维护修缮等方面的支出。  </w:t>
      </w:r>
    </w:p>
    <w:p>
      <w:pPr>
        <w:kinsoku w:val="0"/>
        <w:overflowPunct w:val="0"/>
        <w:autoSpaceDE w:val="0"/>
        <w:autoSpaceDN w:val="0"/>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审计局按照审计纪律“八不准”的规定，开展审计、 专项审计调查、聘请社会审计组织人员及技术专家等方面的支出 （含按规定支出的城市间交通费、市内交通费、住宿费和伙食费补助）。</w:t>
      </w:r>
    </w:p>
    <w:p>
      <w:pPr>
        <w:kinsoku w:val="0"/>
        <w:overflowPunct w:val="0"/>
        <w:autoSpaceDE w:val="0"/>
        <w:autoSpaceDN w:val="0"/>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审计局用于审计课题研究、审计宣传、审计结果公告、审计法 制建设、审计业务质量控制等方面的支出。 </w:t>
      </w:r>
    </w:p>
    <w:p>
      <w:pPr>
        <w:kinsoku w:val="0"/>
        <w:overflowPunct w:val="0"/>
        <w:autoSpaceDE w:val="0"/>
        <w:autoSpaceDN w:val="0"/>
        <w:adjustRightInd w:val="0"/>
        <w:snapToGrid w:val="0"/>
        <w:spacing w:line="360" w:lineRule="auto"/>
        <w:ind w:firstLine="640" w:firstLineChars="200"/>
        <w:rPr>
          <w:rFonts w:ascii="仿宋" w:hAnsi="仿宋" w:eastAsia="仿宋" w:cs="仿宋"/>
          <w:b/>
          <w:bCs/>
          <w:sz w:val="32"/>
          <w:szCs w:val="32"/>
        </w:rPr>
      </w:pPr>
      <w:r>
        <w:rPr>
          <w:rFonts w:hint="eastAsia" w:ascii="仿宋" w:hAnsi="仿宋" w:eastAsia="仿宋" w:cs="仿宋"/>
          <w:sz w:val="32"/>
          <w:szCs w:val="32"/>
        </w:rPr>
        <w:t xml:space="preserve"> 八、</w:t>
      </w:r>
      <w:r>
        <w:rPr>
          <w:rFonts w:hint="eastAsia" w:ascii="仿宋" w:hAnsi="仿宋" w:eastAsia="仿宋" w:cs="仿宋"/>
          <w:b/>
          <w:bCs/>
          <w:sz w:val="32"/>
          <w:szCs w:val="32"/>
        </w:rPr>
        <w:t>“三公”经费：</w:t>
      </w:r>
      <w:r>
        <w:rPr>
          <w:rFonts w:hint="eastAsia" w:ascii="仿宋" w:hAnsi="仿宋" w:eastAsia="仿宋" w:cs="仿宋"/>
          <w:sz w:val="32"/>
          <w:szCs w:val="32"/>
        </w:rPr>
        <w:t>纳入中央财政预决算管理的“三公”经费，是指用财政拨款安排的因公出国（境）费、公务用车购置及运行费和公务接待费。其中，因公出国（境）费反映单位公务出国（境）的国际旅费 、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九、机关运行经费：</w:t>
      </w:r>
      <w:r>
        <w:rPr>
          <w:rFonts w:hint="eastAsia" w:ascii="仿宋" w:hAnsi="仿宋" w:eastAsia="仿宋" w:cs="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隶书" w:hAnsi="隶书" w:eastAsia="隶书" w:cs="隶书"/>
          <w:sz w:val="48"/>
          <w:szCs w:val="48"/>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- 5 -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1">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2">
    <w:nsid w:val="5971DD00"/>
    <w:multiLevelType w:val="singleLevel"/>
    <w:tmpl w:val="5971DD00"/>
    <w:lvl w:ilvl="0" w:tentative="0">
      <w:start w:val="1"/>
      <w:numFmt w:val="decimal"/>
      <w:suff w:val="nothing"/>
      <w:lvlText w:val="%1．"/>
      <w:lvlJc w:val="left"/>
      <w:pPr>
        <w:ind w:left="0" w:firstLine="400"/>
      </w:pPr>
      <w:rPr>
        <w:rFonts w:hint="default"/>
      </w:rPr>
    </w:lvl>
  </w:abstractNum>
  <w:abstractNum w:abstractNumId="3">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4">
    <w:nsid w:val="5971E2D2"/>
    <w:multiLevelType w:val="singleLevel"/>
    <w:tmpl w:val="5971E2D2"/>
    <w:lvl w:ilvl="0" w:tentative="0">
      <w:start w:val="1"/>
      <w:numFmt w:val="decimal"/>
      <w:suff w:val="nothing"/>
      <w:lvlText w:val="%1．"/>
      <w:lvlJc w:val="left"/>
      <w:pPr>
        <w:ind w:left="0" w:firstLine="400"/>
      </w:pPr>
      <w:rPr>
        <w:rFonts w:hint="default"/>
      </w:rPr>
    </w:lvl>
  </w:abstractNum>
  <w:abstractNum w:abstractNumId="5">
    <w:nsid w:val="5971E776"/>
    <w:multiLevelType w:val="singleLevel"/>
    <w:tmpl w:val="5971E776"/>
    <w:lvl w:ilvl="0" w:tentative="0">
      <w:start w:val="1"/>
      <w:numFmt w:val="chineseCounting"/>
      <w:suff w:val="nothing"/>
      <w:lvlText w:val="（%1）"/>
      <w:lvlJc w:val="left"/>
      <w:pPr>
        <w:ind w:left="0" w:firstLine="420"/>
      </w:pPr>
      <w:rPr>
        <w:rFonts w:hint="eastAsia"/>
      </w:rPr>
    </w:lvl>
  </w:abstractNum>
  <w:abstractNum w:abstractNumId="6">
    <w:nsid w:val="5971EDEF"/>
    <w:multiLevelType w:val="singleLevel"/>
    <w:tmpl w:val="5971EDEF"/>
    <w:lvl w:ilvl="0" w:tentative="0">
      <w:start w:val="1"/>
      <w:numFmt w:val="chineseCounting"/>
      <w:suff w:val="nothing"/>
      <w:lvlText w:val="（%1）"/>
      <w:lvlJc w:val="left"/>
      <w:pPr>
        <w:ind w:left="0" w:firstLine="420"/>
      </w:pPr>
      <w:rPr>
        <w:rFonts w:hint="eastAsia"/>
      </w:rPr>
    </w:lvl>
  </w:abstractNum>
  <w:abstractNum w:abstractNumId="7">
    <w:nsid w:val="5F9B1B46"/>
    <w:multiLevelType w:val="singleLevel"/>
    <w:tmpl w:val="5F9B1B46"/>
    <w:lvl w:ilvl="0" w:tentative="0">
      <w:start w:val="1"/>
      <w:numFmt w:val="chineseCounting"/>
      <w:suff w:val="nothing"/>
      <w:lvlText w:val="（%1）"/>
      <w:lvlJc w:val="left"/>
      <w:rPr>
        <w:rFonts w:hint="eastAsia"/>
      </w:rPr>
    </w:lvl>
  </w:abstractNum>
  <w:num w:numId="1">
    <w:abstractNumId w:val="7"/>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62BD4"/>
    <w:rsid w:val="00172A27"/>
    <w:rsid w:val="00473688"/>
    <w:rsid w:val="00476441"/>
    <w:rsid w:val="00525D84"/>
    <w:rsid w:val="005354F6"/>
    <w:rsid w:val="005D3384"/>
    <w:rsid w:val="00630D31"/>
    <w:rsid w:val="00717124"/>
    <w:rsid w:val="00783862"/>
    <w:rsid w:val="00972D02"/>
    <w:rsid w:val="009A719C"/>
    <w:rsid w:val="00AE4B58"/>
    <w:rsid w:val="00B10311"/>
    <w:rsid w:val="00B54309"/>
    <w:rsid w:val="00B76F3F"/>
    <w:rsid w:val="00B84FB0"/>
    <w:rsid w:val="00BD142A"/>
    <w:rsid w:val="00CB6FDC"/>
    <w:rsid w:val="00D11E6E"/>
    <w:rsid w:val="00EE0BEE"/>
    <w:rsid w:val="00F230D0"/>
    <w:rsid w:val="00F93487"/>
    <w:rsid w:val="00FE7D9E"/>
    <w:rsid w:val="01064770"/>
    <w:rsid w:val="0277096F"/>
    <w:rsid w:val="04453648"/>
    <w:rsid w:val="04F0274C"/>
    <w:rsid w:val="08AB4E76"/>
    <w:rsid w:val="09BB2134"/>
    <w:rsid w:val="0CD26904"/>
    <w:rsid w:val="0E26203D"/>
    <w:rsid w:val="11E47A00"/>
    <w:rsid w:val="13DA4090"/>
    <w:rsid w:val="15492582"/>
    <w:rsid w:val="1BB26345"/>
    <w:rsid w:val="1BE44F7F"/>
    <w:rsid w:val="1D087A5C"/>
    <w:rsid w:val="1E7971E1"/>
    <w:rsid w:val="1E7D3B34"/>
    <w:rsid w:val="209C4FF0"/>
    <w:rsid w:val="2540603D"/>
    <w:rsid w:val="258F34D6"/>
    <w:rsid w:val="271523E2"/>
    <w:rsid w:val="27DC0220"/>
    <w:rsid w:val="28C04BFE"/>
    <w:rsid w:val="2BA4769A"/>
    <w:rsid w:val="2C35347A"/>
    <w:rsid w:val="2CD06EF4"/>
    <w:rsid w:val="32EF40CE"/>
    <w:rsid w:val="36766F03"/>
    <w:rsid w:val="372974AC"/>
    <w:rsid w:val="3CE47224"/>
    <w:rsid w:val="42271DDB"/>
    <w:rsid w:val="43893744"/>
    <w:rsid w:val="4624614C"/>
    <w:rsid w:val="48036E61"/>
    <w:rsid w:val="48B52937"/>
    <w:rsid w:val="48EE3EF3"/>
    <w:rsid w:val="4C1E2F28"/>
    <w:rsid w:val="4CF438DD"/>
    <w:rsid w:val="4EC101B2"/>
    <w:rsid w:val="4F8E6CD0"/>
    <w:rsid w:val="51AD42DE"/>
    <w:rsid w:val="51D65364"/>
    <w:rsid w:val="53E9756D"/>
    <w:rsid w:val="5651051D"/>
    <w:rsid w:val="57BB5F84"/>
    <w:rsid w:val="57E961A8"/>
    <w:rsid w:val="581E77CF"/>
    <w:rsid w:val="58B06254"/>
    <w:rsid w:val="59E3092F"/>
    <w:rsid w:val="5AF25131"/>
    <w:rsid w:val="5F3A0145"/>
    <w:rsid w:val="600176AC"/>
    <w:rsid w:val="61006E75"/>
    <w:rsid w:val="61C57599"/>
    <w:rsid w:val="627358F6"/>
    <w:rsid w:val="6431638A"/>
    <w:rsid w:val="65B148C6"/>
    <w:rsid w:val="65D001AF"/>
    <w:rsid w:val="664A46E0"/>
    <w:rsid w:val="66B36AE8"/>
    <w:rsid w:val="674E08EC"/>
    <w:rsid w:val="68772944"/>
    <w:rsid w:val="691D2C68"/>
    <w:rsid w:val="6A2415C4"/>
    <w:rsid w:val="6B4C3C6C"/>
    <w:rsid w:val="6C2F3976"/>
    <w:rsid w:val="6F1A7C7D"/>
    <w:rsid w:val="6F437DEF"/>
    <w:rsid w:val="737A5BE5"/>
    <w:rsid w:val="73F1196C"/>
    <w:rsid w:val="746A2CA0"/>
    <w:rsid w:val="7477717E"/>
    <w:rsid w:val="75531EF6"/>
    <w:rsid w:val="75626F57"/>
    <w:rsid w:val="75D0003D"/>
    <w:rsid w:val="772376B9"/>
    <w:rsid w:val="779E3F57"/>
    <w:rsid w:val="79960645"/>
    <w:rsid w:val="7AF17EB4"/>
    <w:rsid w:val="7D0D382E"/>
    <w:rsid w:val="7D927377"/>
    <w:rsid w:val="7F3928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jc w:val="left"/>
    </w:pPr>
    <w:rPr>
      <w:rFonts w:cs="Times New Roman"/>
      <w:kern w:val="0"/>
      <w:sz w:val="24"/>
    </w:rPr>
  </w:style>
  <w:style w:type="character" w:styleId="7">
    <w:name w:val="Strong"/>
    <w:basedOn w:val="6"/>
    <w:qFormat/>
    <w:uiPriority w:val="0"/>
    <w:rPr>
      <w:b/>
    </w:rPr>
  </w:style>
  <w:style w:type="character" w:styleId="8">
    <w:name w:val="Hyperlink"/>
    <w:basedOn w:val="6"/>
    <w:qFormat/>
    <w:uiPriority w:val="0"/>
    <w:rPr>
      <w:color w:val="2B2B2B"/>
      <w:u w:val="none"/>
    </w:rPr>
  </w:style>
  <w:style w:type="character" w:customStyle="1" w:styleId="9">
    <w:name w:val="font31"/>
    <w:basedOn w:val="6"/>
    <w:qFormat/>
    <w:uiPriority w:val="0"/>
    <w:rPr>
      <w:rFonts w:ascii="Arial" w:hAnsi="Arial" w:cs="Arial"/>
      <w:color w:val="000000"/>
      <w:sz w:val="16"/>
      <w:szCs w:val="16"/>
      <w:u w:val="none"/>
    </w:rPr>
  </w:style>
  <w:style w:type="character" w:customStyle="1" w:styleId="10">
    <w:name w:val="font01"/>
    <w:basedOn w:val="6"/>
    <w:qFormat/>
    <w:uiPriority w:val="0"/>
    <w:rPr>
      <w:rFonts w:hint="default" w:ascii="Arial" w:hAnsi="Arial" w:cs="Arial"/>
      <w:color w:val="000000"/>
      <w:sz w:val="16"/>
      <w:szCs w:val="16"/>
      <w:u w:val="none"/>
    </w:rPr>
  </w:style>
  <w:style w:type="character" w:customStyle="1" w:styleId="11">
    <w:name w:val="font41"/>
    <w:basedOn w:val="6"/>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725</Words>
  <Characters>4137</Characters>
  <Lines>34</Lines>
  <Paragraphs>9</Paragraphs>
  <TotalTime>0</TotalTime>
  <ScaleCrop>false</ScaleCrop>
  <LinksUpToDate>false</LinksUpToDate>
  <CharactersWithSpaces>4853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棒棒糖</cp:lastModifiedBy>
  <cp:lastPrinted>2017-07-25T02:47:00Z</cp:lastPrinted>
  <dcterms:modified xsi:type="dcterms:W3CDTF">2021-06-19T08:46:15Z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337D791741084E41ABD8255D80A51FC2</vt:lpwstr>
  </property>
</Properties>
</file>