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黑体" w:hAnsi="黑体" w:eastAsia="黑体" w:cs="Times New Roman"/>
          <w:sz w:val="52"/>
          <w:szCs w:val="52"/>
        </w:rPr>
      </w:pPr>
      <w:r>
        <w:rPr>
          <w:rFonts w:ascii="黑体" w:hAnsi="黑体" w:eastAsia="黑体" w:cs="黑体"/>
          <w:sz w:val="52"/>
          <w:szCs w:val="52"/>
        </w:rPr>
        <w:t>2018</w:t>
      </w:r>
      <w:r>
        <w:rPr>
          <w:rFonts w:hint="eastAsia" w:ascii="黑体" w:hAnsi="黑体" w:eastAsia="黑体" w:cs="黑体"/>
          <w:sz w:val="52"/>
          <w:szCs w:val="52"/>
        </w:rPr>
        <w:t>年度部门决算</w:t>
      </w:r>
    </w:p>
    <w:p>
      <w:pPr>
        <w:jc w:val="center"/>
        <w:rPr>
          <w:rFonts w:ascii="黑体" w:hAnsi="黑体" w:eastAsia="黑体" w:cs="Times New Roman"/>
          <w:sz w:val="52"/>
          <w:szCs w:val="52"/>
        </w:rPr>
      </w:pPr>
      <w:r>
        <w:rPr>
          <w:rFonts w:hint="eastAsia" w:ascii="黑体" w:hAnsi="黑体" w:eastAsia="黑体" w:cs="黑体"/>
          <w:sz w:val="52"/>
          <w:szCs w:val="52"/>
        </w:rPr>
        <w:t>信阳市浉河区物价管理办公室</w:t>
      </w:r>
    </w:p>
    <w:p>
      <w:pPr>
        <w:jc w:val="center"/>
        <w:rPr>
          <w:rFonts w:ascii="黑体" w:hAnsi="黑体" w:eastAsia="黑体" w:cs="Times New Roman"/>
          <w:sz w:val="52"/>
          <w:szCs w:val="52"/>
        </w:rPr>
      </w:pPr>
    </w:p>
    <w:p>
      <w:pPr>
        <w:jc w:val="center"/>
        <w:rPr>
          <w:rFonts w:ascii="黑体" w:hAnsi="黑体" w:eastAsia="黑体"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黑体" w:hAnsi="黑体" w:eastAsia="黑体" w:cs="Times New Roman"/>
          <w:sz w:val="32"/>
          <w:szCs w:val="32"/>
        </w:rPr>
      </w:pPr>
      <w:r>
        <w:rPr>
          <w:rFonts w:hint="eastAsia" w:ascii="黑体" w:hAnsi="黑体" w:eastAsia="黑体" w:cs="黑体"/>
          <w:sz w:val="32"/>
          <w:szCs w:val="32"/>
        </w:rPr>
        <w:t>二</w:t>
      </w:r>
      <w:r>
        <w:rPr>
          <w:rFonts w:ascii="黑体" w:hAnsi="黑体" w:eastAsia="黑体" w:cs="黑体"/>
          <w:sz w:val="32"/>
          <w:szCs w:val="32"/>
        </w:rPr>
        <w:t>0</w:t>
      </w:r>
      <w:r>
        <w:rPr>
          <w:rFonts w:hint="eastAsia" w:ascii="黑体" w:hAnsi="黑体" w:eastAsia="黑体" w:cs="黑体"/>
          <w:sz w:val="32"/>
          <w:szCs w:val="32"/>
        </w:rPr>
        <w:t>一九年</w:t>
      </w:r>
      <w:r>
        <w:rPr>
          <w:rFonts w:hint="eastAsia" w:ascii="黑体" w:hAnsi="黑体" w:eastAsia="黑体" w:cs="黑体"/>
          <w:sz w:val="32"/>
          <w:szCs w:val="32"/>
          <w:lang w:val="en-US" w:eastAsia="zh-CN"/>
        </w:rPr>
        <w:t>九</w:t>
      </w:r>
      <w:r>
        <w:rPr>
          <w:rFonts w:hint="eastAsia" w:ascii="黑体" w:hAnsi="黑体" w:eastAsia="黑体" w:cs="黑体"/>
          <w:sz w:val="32"/>
          <w:szCs w:val="32"/>
        </w:rPr>
        <w:t>月</w:t>
      </w:r>
    </w:p>
    <w:p>
      <w:pPr>
        <w:jc w:val="center"/>
        <w:rPr>
          <w:rFonts w:ascii="隶书" w:hAnsi="隶书" w:eastAsia="隶书" w:cs="Times New Roman"/>
          <w:sz w:val="52"/>
          <w:szCs w:val="52"/>
        </w:rPr>
        <w:sectPr>
          <w:pgSz w:w="11906" w:h="16838"/>
          <w:pgMar w:top="1440" w:right="1800" w:bottom="1440" w:left="1800" w:header="851" w:footer="992" w:gutter="0"/>
          <w:pgNumType w:fmt="numberInDash" w:start="1"/>
          <w:cols w:space="425" w:num="1"/>
          <w:docGrid w:type="lines" w:linePitch="312" w:charSpace="0"/>
        </w:sectPr>
      </w:pP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区物价办概况</w:t>
      </w:r>
    </w:p>
    <w:p>
      <w:pPr>
        <w:ind w:firstLine="640" w:firstLineChars="200"/>
        <w:jc w:val="left"/>
        <w:rPr>
          <w:rFonts w:ascii="宋体" w:cs="Times New Roman"/>
          <w:sz w:val="32"/>
          <w:szCs w:val="32"/>
        </w:rPr>
      </w:pPr>
      <w:r>
        <w:rPr>
          <w:rFonts w:hint="eastAsia" w:ascii="宋体" w:hAnsi="宋体" w:cs="宋体"/>
          <w:sz w:val="32"/>
          <w:szCs w:val="32"/>
        </w:rPr>
        <w:t>一、主要职能</w:t>
      </w:r>
    </w:p>
    <w:p>
      <w:pPr>
        <w:ind w:firstLine="640" w:firstLineChars="200"/>
        <w:jc w:val="left"/>
        <w:rPr>
          <w:rFonts w:ascii="宋体" w:cs="Times New Roman"/>
          <w:sz w:val="32"/>
          <w:szCs w:val="32"/>
        </w:rPr>
      </w:pPr>
      <w:r>
        <w:rPr>
          <w:rFonts w:hint="eastAsia" w:ascii="宋体" w:hAnsi="宋体" w:cs="宋体"/>
          <w:sz w:val="32"/>
          <w:szCs w:val="32"/>
        </w:rPr>
        <w:t>二、部门决算单位构成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jc w:val="left"/>
        <w:rPr>
          <w:rFonts w:ascii="宋体" w:cs="Times New Roman"/>
          <w:sz w:val="32"/>
          <w:szCs w:val="32"/>
        </w:rPr>
      </w:pPr>
      <w:r>
        <w:rPr>
          <w:rFonts w:hint="eastAsia" w:ascii="宋体" w:hAnsi="宋体" w:cs="宋体"/>
          <w:sz w:val="32"/>
          <w:szCs w:val="32"/>
        </w:rPr>
        <w:t>一、收入支出决算总表</w:t>
      </w:r>
    </w:p>
    <w:p>
      <w:pPr>
        <w:ind w:firstLine="640" w:firstLineChars="200"/>
        <w:jc w:val="left"/>
        <w:rPr>
          <w:rFonts w:ascii="宋体" w:cs="Times New Roman"/>
          <w:sz w:val="32"/>
          <w:szCs w:val="32"/>
        </w:rPr>
      </w:pPr>
      <w:r>
        <w:rPr>
          <w:rFonts w:hint="eastAsia" w:ascii="宋体" w:hAnsi="宋体" w:cs="宋体"/>
          <w:sz w:val="32"/>
          <w:szCs w:val="32"/>
        </w:rPr>
        <w:t>二、收入决算表</w:t>
      </w:r>
    </w:p>
    <w:p>
      <w:pPr>
        <w:ind w:firstLine="640" w:firstLineChars="200"/>
        <w:jc w:val="left"/>
        <w:rPr>
          <w:rFonts w:ascii="宋体" w:cs="Times New Roman"/>
          <w:sz w:val="32"/>
          <w:szCs w:val="32"/>
        </w:rPr>
      </w:pPr>
      <w:r>
        <w:rPr>
          <w:rFonts w:hint="eastAsia" w:ascii="宋体" w:hAnsi="宋体" w:cs="宋体"/>
          <w:sz w:val="32"/>
          <w:szCs w:val="32"/>
        </w:rPr>
        <w:t>三、支出决算表</w:t>
      </w:r>
    </w:p>
    <w:p>
      <w:pPr>
        <w:ind w:firstLine="640" w:firstLineChars="200"/>
        <w:jc w:val="left"/>
        <w:rPr>
          <w:rFonts w:ascii="宋体" w:cs="Times New Roman"/>
          <w:sz w:val="32"/>
          <w:szCs w:val="32"/>
        </w:rPr>
      </w:pPr>
      <w:r>
        <w:rPr>
          <w:rFonts w:hint="eastAsia" w:ascii="宋体" w:hAnsi="宋体" w:cs="宋体"/>
          <w:sz w:val="32"/>
          <w:szCs w:val="32"/>
        </w:rPr>
        <w:t>四、财政拨款收入支出决算总表</w:t>
      </w:r>
    </w:p>
    <w:p>
      <w:pPr>
        <w:ind w:firstLine="640" w:firstLineChars="200"/>
        <w:jc w:val="left"/>
        <w:rPr>
          <w:rFonts w:ascii="宋体" w:cs="Times New Roman"/>
          <w:sz w:val="32"/>
          <w:szCs w:val="32"/>
        </w:rPr>
      </w:pPr>
      <w:r>
        <w:rPr>
          <w:rFonts w:hint="eastAsia" w:ascii="宋体" w:hAnsi="宋体" w:cs="宋体"/>
          <w:sz w:val="32"/>
          <w:szCs w:val="32"/>
        </w:rPr>
        <w:t>五、一般公共预算财政拨款支出决算表</w:t>
      </w:r>
    </w:p>
    <w:p>
      <w:pPr>
        <w:ind w:firstLine="640" w:firstLineChars="200"/>
        <w:jc w:val="left"/>
        <w:rPr>
          <w:rFonts w:ascii="宋体" w:cs="Times New Roman"/>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Times New Roman"/>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区物价办</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jc w:val="left"/>
        <w:rPr>
          <w:rFonts w:ascii="宋体" w:cs="Times New Roman"/>
          <w:sz w:val="32"/>
          <w:szCs w:val="32"/>
        </w:rPr>
      </w:pPr>
      <w:r>
        <w:rPr>
          <w:rFonts w:hint="eastAsia" w:ascii="宋体" w:hAnsi="宋体" w:cs="宋体"/>
          <w:sz w:val="32"/>
          <w:szCs w:val="32"/>
        </w:rPr>
        <w:t>一、关于收入支出决算总体情况说明</w:t>
      </w:r>
    </w:p>
    <w:p>
      <w:pPr>
        <w:ind w:firstLine="640" w:firstLineChars="200"/>
        <w:jc w:val="left"/>
        <w:rPr>
          <w:rFonts w:ascii="宋体" w:cs="Times New Roman"/>
          <w:sz w:val="32"/>
          <w:szCs w:val="32"/>
        </w:rPr>
      </w:pPr>
      <w:r>
        <w:rPr>
          <w:rFonts w:hint="eastAsia" w:ascii="宋体" w:hAnsi="宋体" w:cs="宋体"/>
          <w:sz w:val="32"/>
          <w:szCs w:val="32"/>
        </w:rPr>
        <w:t>二、关于收入决算表情况说明</w:t>
      </w:r>
    </w:p>
    <w:p>
      <w:pPr>
        <w:ind w:firstLine="640" w:firstLineChars="200"/>
        <w:jc w:val="left"/>
        <w:rPr>
          <w:rFonts w:ascii="宋体" w:cs="Times New Roman"/>
          <w:sz w:val="32"/>
          <w:szCs w:val="32"/>
        </w:rPr>
      </w:pPr>
      <w:r>
        <w:rPr>
          <w:rFonts w:hint="eastAsia" w:ascii="宋体" w:hAnsi="宋体" w:cs="宋体"/>
          <w:sz w:val="32"/>
          <w:szCs w:val="32"/>
        </w:rPr>
        <w:t>三、关于支出决算表情况说明</w:t>
      </w:r>
    </w:p>
    <w:p>
      <w:pPr>
        <w:ind w:firstLine="640" w:firstLineChars="200"/>
        <w:jc w:val="left"/>
        <w:rPr>
          <w:rFonts w:ascii="宋体" w:cs="Times New Roman"/>
          <w:sz w:val="32"/>
          <w:szCs w:val="32"/>
        </w:rPr>
      </w:pPr>
      <w:r>
        <w:rPr>
          <w:rFonts w:hint="eastAsia" w:ascii="宋体" w:hAnsi="宋体" w:cs="宋体"/>
          <w:sz w:val="32"/>
          <w:szCs w:val="32"/>
        </w:rPr>
        <w:t>四、关于财政拨款收入支出决算总体情况说明</w:t>
      </w:r>
    </w:p>
    <w:p>
      <w:pPr>
        <w:ind w:firstLine="640" w:firstLineChars="200"/>
        <w:jc w:val="left"/>
        <w:rPr>
          <w:rFonts w:ascii="宋体" w:cs="Times New Roman"/>
          <w:sz w:val="32"/>
          <w:szCs w:val="32"/>
        </w:rPr>
      </w:pPr>
      <w:r>
        <w:rPr>
          <w:rFonts w:hint="eastAsia" w:ascii="宋体" w:hAnsi="宋体" w:cs="宋体"/>
          <w:sz w:val="32"/>
          <w:szCs w:val="32"/>
        </w:rPr>
        <w:t>五、关于一般公共预算财政拨款支出决算情况说明</w:t>
      </w:r>
    </w:p>
    <w:p>
      <w:pPr>
        <w:ind w:firstLine="640" w:firstLineChars="200"/>
        <w:jc w:val="left"/>
        <w:rPr>
          <w:rFonts w:ascii="宋体" w:cs="Times New Roman"/>
          <w:sz w:val="32"/>
          <w:szCs w:val="32"/>
        </w:rPr>
      </w:pPr>
      <w:r>
        <w:rPr>
          <w:rFonts w:hint="eastAsia" w:ascii="宋体" w:hAnsi="宋体" w:cs="宋体"/>
          <w:sz w:val="32"/>
          <w:szCs w:val="32"/>
        </w:rPr>
        <w:t>六、关于一般公共预算财政拨款基本支出决算情况说明</w:t>
      </w:r>
    </w:p>
    <w:p>
      <w:pPr>
        <w:ind w:firstLine="640" w:firstLineChars="200"/>
        <w:jc w:val="left"/>
        <w:rPr>
          <w:rFonts w:ascii="宋体" w:cs="Times New Roman"/>
          <w:sz w:val="32"/>
          <w:szCs w:val="32"/>
        </w:rPr>
      </w:pPr>
      <w:r>
        <w:rPr>
          <w:rFonts w:hint="eastAsia" w:ascii="宋体" w:hAnsi="宋体" w:cs="宋体"/>
          <w:sz w:val="32"/>
          <w:szCs w:val="32"/>
        </w:rPr>
        <w:t>七、关于一般公共预算财政拨款“三公”经费支出决算情况说明</w:t>
      </w:r>
    </w:p>
    <w:p>
      <w:pPr>
        <w:ind w:firstLine="640" w:firstLineChars="200"/>
        <w:jc w:val="left"/>
        <w:rPr>
          <w:rFonts w:ascii="宋体" w:cs="Times New Roman"/>
          <w:sz w:val="32"/>
          <w:szCs w:val="32"/>
        </w:rPr>
      </w:pPr>
      <w:r>
        <w:rPr>
          <w:rFonts w:hint="eastAsia" w:ascii="宋体" w:hAnsi="宋体" w:cs="宋体"/>
          <w:sz w:val="32"/>
          <w:szCs w:val="32"/>
        </w:rPr>
        <w:t>八、关于预算绩效情况说明</w:t>
      </w:r>
    </w:p>
    <w:p>
      <w:pPr>
        <w:ind w:firstLine="640" w:firstLineChars="200"/>
        <w:jc w:val="left"/>
        <w:rPr>
          <w:rFonts w:ascii="宋体" w:cs="Times New Roman"/>
          <w:sz w:val="32"/>
          <w:szCs w:val="32"/>
        </w:rPr>
      </w:pPr>
      <w:r>
        <w:rPr>
          <w:rFonts w:hint="eastAsia" w:ascii="宋体" w:hAnsi="宋体" w:cs="宋体"/>
          <w:sz w:val="32"/>
          <w:szCs w:val="32"/>
        </w:rPr>
        <w:t>九、关于政府性基金预算财政拨款收入支出决算情况说明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黑体" w:hAnsi="黑体" w:eastAsia="黑体" w:cs="Times New Roman"/>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黑体" w:hAnsi="黑体" w:eastAsia="黑体" w:cs="黑体"/>
          <w:sz w:val="48"/>
          <w:szCs w:val="48"/>
        </w:rPr>
        <w:t>第一部分　　信阳市浉河区物价管理办公室概况</w:t>
      </w:r>
    </w:p>
    <w:p>
      <w:pPr>
        <w:adjustRightInd w:val="0"/>
        <w:ind w:left="420" w:firstLine="643" w:firstLineChars="200"/>
        <w:rPr>
          <w:rFonts w:ascii="仿宋" w:hAnsi="仿宋" w:eastAsia="仿宋" w:cs="Times New Roman"/>
          <w:sz w:val="32"/>
          <w:szCs w:val="32"/>
        </w:rPr>
      </w:pPr>
      <w:r>
        <w:rPr>
          <w:rFonts w:hint="eastAsia" w:ascii="仿宋" w:hAnsi="仿宋" w:eastAsia="仿宋" w:cs="仿宋"/>
          <w:b/>
          <w:bCs/>
          <w:sz w:val="32"/>
          <w:szCs w:val="32"/>
        </w:rPr>
        <w:t>一、部门基本情况、职能</w:t>
      </w:r>
    </w:p>
    <w:p>
      <w:pPr>
        <w:adjustRightInd w:val="0"/>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（一）部门机构设置、职能</w:t>
      </w:r>
    </w:p>
    <w:p>
      <w:pPr>
        <w:adjustRightInd w:val="0"/>
        <w:ind w:firstLine="640" w:firstLineChars="200"/>
        <w:rPr>
          <w:rFonts w:ascii="仿宋" w:hAnsi="仿宋" w:eastAsia="仿宋" w:cs="Times New Roman"/>
          <w:sz w:val="32"/>
          <w:szCs w:val="32"/>
        </w:rPr>
      </w:pPr>
      <w:r>
        <w:rPr>
          <w:rFonts w:hint="eastAsia" w:ascii="仿宋" w:hAnsi="仿宋" w:eastAsia="仿宋" w:cs="仿宋"/>
          <w:sz w:val="32"/>
          <w:szCs w:val="32"/>
        </w:rPr>
        <w:t>信阳市浉河区物价管理办公室机关内设</w:t>
      </w:r>
      <w:r>
        <w:rPr>
          <w:rFonts w:ascii="仿宋" w:hAnsi="仿宋" w:eastAsia="仿宋" w:cs="仿宋"/>
          <w:sz w:val="32"/>
          <w:szCs w:val="32"/>
        </w:rPr>
        <w:t>3</w:t>
      </w:r>
      <w:r>
        <w:rPr>
          <w:rFonts w:hint="eastAsia" w:ascii="仿宋" w:hAnsi="仿宋" w:eastAsia="仿宋" w:cs="仿宋"/>
          <w:sz w:val="32"/>
          <w:szCs w:val="32"/>
        </w:rPr>
        <w:t>个职能股室和</w:t>
      </w:r>
      <w:r>
        <w:rPr>
          <w:rFonts w:ascii="仿宋" w:hAnsi="仿宋" w:eastAsia="仿宋" w:cs="仿宋"/>
          <w:sz w:val="32"/>
          <w:szCs w:val="32"/>
        </w:rPr>
        <w:t xml:space="preserve"> 3</w:t>
      </w:r>
      <w:r>
        <w:rPr>
          <w:rFonts w:hint="eastAsia" w:ascii="仿宋" w:hAnsi="仿宋" w:eastAsia="仿宋" w:cs="仿宋"/>
          <w:sz w:val="32"/>
          <w:szCs w:val="32"/>
        </w:rPr>
        <w:t>个二级机构。主要职责是：</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、宣传和贯彻执行国家的价格方针、政策和法规。</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、制定全区价格计划和价格改革方案，并组织实施。</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、确定市委托我区管理的商品价格和收费范围，制定和调整我区管理的商品价格、收费标准及商品和收费的作价原则、办法。对关系公众切身利益的商品和服务价格调整实行价格听证制度。</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、监测全区物价总水平变化动态，分析、预测变化趋势，研究提出全区物价总水平控制目标和宏观调控政策及措施。</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、负责起草全区价格管理办法和规定，规范价格行为。</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、对群众生活必需品价格和收费进行监审。</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、完善价格调节基金制度，规范其筹集、使用和管理，配合有关部门建立重要商品储备制度，增强价格调控能力。</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、指导全区的物价工作。</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、组织开展全市的物价监督检查工作，依法查处各类价格违法行为。制止价格垄断、价格欺诈、价格歧视、低价倾销等不正当竞争行为。组织开展全区的明码标价工作和物价信得过活动。</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、负责工、农业产品价格成本的调查和对市场平均价格水平、平均差价率、平均利润率的测定。</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、开展对赃物、罚没物、无主物、拍卖公物、价格纠纷财物的价格认证。</w:t>
      </w:r>
    </w:p>
    <w:p>
      <w:pPr>
        <w:autoSpaceDE w:val="0"/>
        <w:autoSpaceDN w:val="0"/>
        <w:adjustRightInd w:val="0"/>
        <w:spacing w:line="360" w:lineRule="auto"/>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、建立全区价格信息网络，为政府提供政务价格信息，为企业提供价格咨询服务，开展价格统计业务，协调处理价格争议，衔接周边价格水平。</w:t>
      </w:r>
      <w:r>
        <w:rPr>
          <w:rFonts w:ascii="仿宋" w:hAnsi="仿宋" w:eastAsia="仿宋" w:cs="仿宋"/>
          <w:color w:val="000000"/>
          <w:kern w:val="0"/>
          <w:sz w:val="32"/>
          <w:szCs w:val="32"/>
        </w:rPr>
        <w:t xml:space="preserve"> </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13</w:t>
      </w:r>
      <w:r>
        <w:rPr>
          <w:rFonts w:hint="eastAsia" w:ascii="仿宋" w:hAnsi="仿宋" w:eastAsia="仿宋" w:cs="仿宋"/>
          <w:color w:val="000000"/>
          <w:kern w:val="0"/>
          <w:sz w:val="32"/>
          <w:szCs w:val="32"/>
        </w:rPr>
        <w:t>、承办区政府和上级主管部门交办的其他工作。</w:t>
      </w:r>
    </w:p>
    <w:p>
      <w:pPr>
        <w:autoSpaceDE w:val="0"/>
        <w:autoSpaceDN w:val="0"/>
        <w:adjustRightInd w:val="0"/>
        <w:spacing w:line="360" w:lineRule="auto"/>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（二）人员构成情况</w:t>
      </w:r>
    </w:p>
    <w:p>
      <w:pPr>
        <w:adjustRightInd w:val="0"/>
        <w:ind w:firstLine="640" w:firstLineChars="200"/>
        <w:rPr>
          <w:rFonts w:ascii="仿宋" w:hAnsi="仿宋" w:eastAsia="仿宋" w:cs="Times New Roman"/>
          <w:sz w:val="32"/>
          <w:szCs w:val="32"/>
        </w:rPr>
      </w:pPr>
      <w:r>
        <w:rPr>
          <w:rFonts w:hint="eastAsia" w:ascii="仿宋" w:hAnsi="仿宋" w:eastAsia="仿宋" w:cs="仿宋"/>
          <w:sz w:val="32"/>
          <w:szCs w:val="32"/>
        </w:rPr>
        <w:t>信阳市浉河区物价管理办公室及</w:t>
      </w:r>
      <w:r>
        <w:rPr>
          <w:rFonts w:ascii="仿宋" w:hAnsi="仿宋" w:eastAsia="仿宋" w:cs="仿宋"/>
          <w:sz w:val="32"/>
          <w:szCs w:val="32"/>
        </w:rPr>
        <w:t>3</w:t>
      </w:r>
      <w:r>
        <w:rPr>
          <w:rFonts w:hint="eastAsia" w:ascii="仿宋" w:hAnsi="仿宋" w:eastAsia="仿宋" w:cs="仿宋"/>
          <w:sz w:val="32"/>
          <w:szCs w:val="32"/>
        </w:rPr>
        <w:t>个二级机构共有事业编制</w:t>
      </w:r>
      <w:r>
        <w:rPr>
          <w:rFonts w:ascii="仿宋" w:hAnsi="仿宋" w:eastAsia="仿宋" w:cs="仿宋"/>
          <w:sz w:val="32"/>
          <w:szCs w:val="32"/>
        </w:rPr>
        <w:t xml:space="preserve"> 55</w:t>
      </w:r>
      <w:r>
        <w:rPr>
          <w:rFonts w:hint="eastAsia" w:ascii="仿宋" w:hAnsi="仿宋" w:eastAsia="仿宋" w:cs="仿宋"/>
          <w:sz w:val="32"/>
          <w:szCs w:val="32"/>
        </w:rPr>
        <w:t>人，其中：机关事业编制</w:t>
      </w:r>
      <w:r>
        <w:rPr>
          <w:rFonts w:ascii="仿宋" w:hAnsi="仿宋" w:eastAsia="仿宋" w:cs="仿宋"/>
          <w:sz w:val="32"/>
          <w:szCs w:val="32"/>
        </w:rPr>
        <w:t>12</w:t>
      </w:r>
      <w:r>
        <w:rPr>
          <w:rFonts w:hint="eastAsia" w:ascii="仿宋" w:hAnsi="仿宋" w:eastAsia="仿宋" w:cs="仿宋"/>
          <w:sz w:val="32"/>
          <w:szCs w:val="32"/>
        </w:rPr>
        <w:t>人，二级机构事业编制</w:t>
      </w:r>
      <w:r>
        <w:rPr>
          <w:rFonts w:ascii="仿宋" w:hAnsi="仿宋" w:eastAsia="仿宋" w:cs="仿宋"/>
          <w:sz w:val="32"/>
          <w:szCs w:val="32"/>
        </w:rPr>
        <w:t>43</w:t>
      </w:r>
      <w:r>
        <w:rPr>
          <w:rFonts w:hint="eastAsia" w:ascii="仿宋" w:hAnsi="仿宋" w:eastAsia="仿宋" w:cs="仿宋"/>
          <w:sz w:val="32"/>
          <w:szCs w:val="32"/>
        </w:rPr>
        <w:t>人；在职职工</w:t>
      </w:r>
      <w:r>
        <w:rPr>
          <w:rFonts w:ascii="仿宋" w:hAnsi="仿宋" w:eastAsia="仿宋" w:cs="仿宋"/>
          <w:sz w:val="32"/>
          <w:szCs w:val="32"/>
        </w:rPr>
        <w:t xml:space="preserve">46 </w:t>
      </w:r>
      <w:r>
        <w:rPr>
          <w:rFonts w:hint="eastAsia" w:ascii="仿宋" w:hAnsi="仿宋" w:eastAsia="仿宋" w:cs="仿宋"/>
          <w:sz w:val="32"/>
          <w:szCs w:val="32"/>
        </w:rPr>
        <w:t>人，离退休人员</w:t>
      </w:r>
      <w:r>
        <w:rPr>
          <w:rFonts w:ascii="仿宋" w:hAnsi="仿宋" w:eastAsia="仿宋" w:cs="仿宋"/>
          <w:sz w:val="32"/>
          <w:szCs w:val="32"/>
        </w:rPr>
        <w:t xml:space="preserve"> 16 </w:t>
      </w:r>
      <w:r>
        <w:rPr>
          <w:rFonts w:hint="eastAsia" w:ascii="仿宋" w:hAnsi="仿宋" w:eastAsia="仿宋" w:cs="仿宋"/>
          <w:sz w:val="32"/>
          <w:szCs w:val="32"/>
        </w:rPr>
        <w:t>人。</w:t>
      </w:r>
    </w:p>
    <w:p>
      <w:pPr>
        <w:numPr>
          <w:ilvl w:val="0"/>
          <w:numId w:val="1"/>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本决算为汇总决算，纳入信阳市浉河区物价管理办公室</w:t>
      </w:r>
      <w:r>
        <w:rPr>
          <w:rFonts w:ascii="仿宋" w:hAnsi="仿宋" w:eastAsia="仿宋" w:cs="仿宋"/>
          <w:sz w:val="32"/>
          <w:szCs w:val="32"/>
        </w:rPr>
        <w:t>2018</w:t>
      </w:r>
      <w:r>
        <w:rPr>
          <w:rFonts w:hint="eastAsia" w:ascii="仿宋" w:hAnsi="仿宋" w:eastAsia="仿宋" w:cs="仿宋"/>
          <w:sz w:val="32"/>
          <w:szCs w:val="32"/>
        </w:rPr>
        <w:t>年度部门决算编制范围的单位包括：</w:t>
      </w:r>
    </w:p>
    <w:p>
      <w:pPr>
        <w:numPr>
          <w:ilvl w:val="0"/>
          <w:numId w:val="2"/>
        </w:num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信阳市浉河区物价管理办公室本级</w:t>
      </w:r>
    </w:p>
    <w:p>
      <w:pPr>
        <w:numPr>
          <w:ilvl w:val="0"/>
          <w:numId w:val="2"/>
        </w:num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区物价检查所</w:t>
      </w:r>
    </w:p>
    <w:p>
      <w:pPr>
        <w:numPr>
          <w:ilvl w:val="0"/>
          <w:numId w:val="2"/>
        </w:num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区价格监督稽查大队</w:t>
      </w:r>
    </w:p>
    <w:p>
      <w:pPr>
        <w:numPr>
          <w:ilvl w:val="0"/>
          <w:numId w:val="2"/>
        </w:num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区价格认证中心</w:t>
      </w: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r>
        <w:rPr>
          <w:rFonts w:ascii="黑体" w:hAnsi="黑体" w:eastAsia="黑体" w:cs="黑体"/>
          <w:sz w:val="48"/>
          <w:szCs w:val="48"/>
        </w:rPr>
        <w:t xml:space="preserve">  2018</w:t>
      </w:r>
      <w:r>
        <w:rPr>
          <w:rFonts w:hint="eastAsia" w:ascii="黑体" w:hAnsi="黑体" w:eastAsia="黑体" w:cs="黑体"/>
          <w:sz w:val="48"/>
          <w:szCs w:val="48"/>
        </w:rPr>
        <w:t>年度部门决算表</w:t>
      </w:r>
    </w:p>
    <w:p>
      <w:pPr>
        <w:ind w:firstLine="2400" w:firstLineChars="500"/>
        <w:jc w:val="both"/>
        <w:outlineLvl w:val="0"/>
        <w:rPr>
          <w:rFonts w:hint="eastAsia" w:ascii="黑体" w:hAnsi="黑体" w:eastAsia="黑体" w:cs="Times New Roman"/>
          <w:sz w:val="48"/>
          <w:szCs w:val="48"/>
          <w:lang w:eastAsia="zh-CN"/>
        </w:rPr>
      </w:pPr>
      <w:r>
        <w:rPr>
          <w:rFonts w:hint="eastAsia" w:ascii="黑体" w:hAnsi="黑体" w:eastAsia="黑体" w:cs="黑体"/>
          <w:sz w:val="48"/>
          <w:szCs w:val="48"/>
          <w:lang w:eastAsia="zh-CN"/>
        </w:rPr>
        <w:t>（</w:t>
      </w:r>
      <w:r>
        <w:rPr>
          <w:rFonts w:hint="eastAsia" w:ascii="黑体" w:hAnsi="黑体" w:eastAsia="黑体" w:cs="黑体"/>
          <w:sz w:val="48"/>
          <w:szCs w:val="48"/>
          <w:lang w:val="en-US" w:eastAsia="zh-CN"/>
        </w:rPr>
        <w:t>见附表1-8</w:t>
      </w:r>
      <w:r>
        <w:rPr>
          <w:rFonts w:hint="eastAsia" w:ascii="黑体" w:hAnsi="黑体" w:eastAsia="黑体" w:cs="黑体"/>
          <w:sz w:val="48"/>
          <w:szCs w:val="48"/>
          <w:lang w:eastAsia="zh-CN"/>
        </w:rPr>
        <w:t>）</w:t>
      </w: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both"/>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黑体" w:hAnsi="黑体" w:eastAsia="黑体" w:cs="Times New Roman"/>
          <w:sz w:val="48"/>
          <w:szCs w:val="48"/>
        </w:rPr>
      </w:pPr>
      <w:r>
        <w:rPr>
          <w:rFonts w:hint="eastAsia" w:ascii="黑体" w:hAnsi="黑体" w:eastAsia="黑体" w:cs="黑体"/>
          <w:sz w:val="48"/>
          <w:szCs w:val="48"/>
        </w:rPr>
        <w:t>第三部分</w:t>
      </w:r>
    </w:p>
    <w:p>
      <w:pPr>
        <w:jc w:val="center"/>
        <w:outlineLvl w:val="0"/>
        <w:rPr>
          <w:rFonts w:ascii="黑体" w:hAnsi="黑体" w:eastAsia="黑体" w:cs="Times New Roman"/>
          <w:sz w:val="48"/>
          <w:szCs w:val="48"/>
        </w:rPr>
      </w:pPr>
      <w:r>
        <w:rPr>
          <w:rFonts w:hint="eastAsia" w:ascii="黑体" w:hAnsi="黑体" w:eastAsia="黑体" w:cs="黑体"/>
          <w:sz w:val="48"/>
          <w:szCs w:val="48"/>
        </w:rPr>
        <w:t>信阳市浉河区物价管理办公室</w:t>
      </w:r>
    </w:p>
    <w:p>
      <w:pPr>
        <w:jc w:val="center"/>
        <w:outlineLvl w:val="0"/>
        <w:rPr>
          <w:rFonts w:ascii="黑体" w:hAnsi="黑体" w:eastAsia="黑体"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ascii="黑体" w:hAnsi="黑体" w:eastAsia="黑体" w:cs="黑体"/>
          <w:sz w:val="48"/>
          <w:szCs w:val="48"/>
        </w:rPr>
        <w:t>2018</w:t>
      </w:r>
      <w:r>
        <w:rPr>
          <w:rFonts w:hint="eastAsia" w:ascii="黑体" w:hAnsi="黑体" w:eastAsia="黑体" w:cs="黑体"/>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年度收入总计</w:t>
      </w:r>
      <w:r>
        <w:rPr>
          <w:rFonts w:ascii="仿宋_GB2312" w:hAnsi="宋体" w:eastAsia="仿宋_GB2312" w:cs="仿宋_GB2312"/>
          <w:sz w:val="32"/>
          <w:szCs w:val="32"/>
        </w:rPr>
        <w:t>559.69</w:t>
      </w:r>
      <w:r>
        <w:rPr>
          <w:rFonts w:hint="eastAsia" w:ascii="仿宋_GB2312" w:hAnsi="宋体" w:eastAsia="仿宋_GB2312" w:cs="仿宋_GB2312"/>
          <w:sz w:val="32"/>
          <w:szCs w:val="32"/>
        </w:rPr>
        <w:t>万元，支出总计</w:t>
      </w:r>
      <w:r>
        <w:rPr>
          <w:rFonts w:ascii="仿宋_GB2312" w:hAnsi="宋体" w:eastAsia="仿宋_GB2312" w:cs="仿宋_GB2312"/>
          <w:sz w:val="32"/>
          <w:szCs w:val="32"/>
        </w:rPr>
        <w:t>559.69</w:t>
      </w:r>
      <w:r>
        <w:rPr>
          <w:rFonts w:hint="eastAsia" w:ascii="仿宋_GB2312" w:hAnsi="宋体" w:eastAsia="仿宋_GB2312" w:cs="仿宋_GB2312"/>
          <w:sz w:val="32"/>
          <w:szCs w:val="32"/>
        </w:rPr>
        <w:t>万元，与</w:t>
      </w:r>
      <w:r>
        <w:rPr>
          <w:rFonts w:ascii="仿宋_GB2312" w:hAnsi="宋体" w:eastAsia="仿宋_GB2312" w:cs="仿宋_GB2312"/>
          <w:sz w:val="32"/>
          <w:szCs w:val="32"/>
        </w:rPr>
        <w:t>2017</w:t>
      </w:r>
      <w:r>
        <w:rPr>
          <w:rFonts w:hint="eastAsia" w:ascii="仿宋_GB2312" w:hAnsi="宋体" w:eastAsia="仿宋_GB2312" w:cs="仿宋_GB2312"/>
          <w:sz w:val="32"/>
          <w:szCs w:val="32"/>
        </w:rPr>
        <w:t>年相比，收、支总计各增加</w:t>
      </w:r>
      <w:r>
        <w:rPr>
          <w:rFonts w:ascii="仿宋_GB2312" w:hAnsi="宋体" w:eastAsia="仿宋_GB2312" w:cs="仿宋_GB2312"/>
          <w:sz w:val="32"/>
          <w:szCs w:val="32"/>
        </w:rPr>
        <w:t>168.22</w:t>
      </w:r>
      <w:r>
        <w:rPr>
          <w:rFonts w:hint="eastAsia" w:ascii="仿宋_GB2312" w:hAnsi="宋体" w:eastAsia="仿宋_GB2312" w:cs="仿宋_GB2312"/>
          <w:sz w:val="32"/>
          <w:szCs w:val="32"/>
        </w:rPr>
        <w:t>万元，增长</w:t>
      </w:r>
      <w:r>
        <w:rPr>
          <w:rFonts w:ascii="仿宋_GB2312" w:hAnsi="宋体" w:eastAsia="仿宋_GB2312" w:cs="仿宋_GB2312"/>
          <w:sz w:val="32"/>
          <w:szCs w:val="32"/>
        </w:rPr>
        <w:t>43%</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主要原因是工资的调整、五险一金调整等。</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ascii="仿宋_GB2312" w:hAnsi="宋体" w:eastAsia="仿宋_GB2312" w:cs="仿宋_GB2312"/>
          <w:sz w:val="32"/>
          <w:szCs w:val="32"/>
        </w:rPr>
        <w:t>559.69</w:t>
      </w:r>
      <w:r>
        <w:rPr>
          <w:rFonts w:hint="eastAsia" w:ascii="仿宋_GB2312" w:hAnsi="Times New Roman" w:eastAsia="仿宋_GB2312" w:cs="仿宋_GB2312"/>
          <w:sz w:val="32"/>
          <w:szCs w:val="32"/>
        </w:rPr>
        <w:t>万元，其中：财政拨款收入</w:t>
      </w:r>
      <w:r>
        <w:rPr>
          <w:rFonts w:ascii="仿宋_GB2312" w:hAnsi="宋体" w:eastAsia="仿宋_GB2312" w:cs="仿宋_GB2312"/>
          <w:sz w:val="32"/>
          <w:szCs w:val="32"/>
        </w:rPr>
        <w:t>559.69</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年度支出合计</w:t>
      </w:r>
      <w:r>
        <w:rPr>
          <w:rFonts w:ascii="仿宋_GB2312" w:hAnsi="宋体" w:eastAsia="仿宋_GB2312" w:cs="仿宋_GB2312"/>
          <w:sz w:val="32"/>
          <w:szCs w:val="32"/>
        </w:rPr>
        <w:t>559.69</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559.69</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Times New Roman"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年财政拨款收支总决算</w:t>
      </w:r>
      <w:r>
        <w:rPr>
          <w:rFonts w:ascii="仿宋_GB2312" w:hAnsi="宋体" w:eastAsia="仿宋_GB2312" w:cs="仿宋_GB2312"/>
          <w:sz w:val="32"/>
          <w:szCs w:val="32"/>
        </w:rPr>
        <w:t>559.69</w:t>
      </w:r>
      <w:r>
        <w:rPr>
          <w:rFonts w:hint="eastAsia" w:ascii="仿宋_GB2312" w:hAnsi="宋体" w:eastAsia="仿宋_GB2312" w:cs="仿宋_GB2312"/>
          <w:sz w:val="32"/>
          <w:szCs w:val="32"/>
        </w:rPr>
        <w:t>万元。与</w:t>
      </w:r>
      <w:r>
        <w:rPr>
          <w:rFonts w:ascii="仿宋_GB2312" w:hAnsi="宋体" w:eastAsia="仿宋_GB2312" w:cs="仿宋_GB2312"/>
          <w:sz w:val="32"/>
          <w:szCs w:val="32"/>
        </w:rPr>
        <w:t>2017</w:t>
      </w:r>
      <w:r>
        <w:rPr>
          <w:rFonts w:hint="eastAsia" w:ascii="仿宋_GB2312" w:hAnsi="宋体" w:eastAsia="仿宋_GB2312" w:cs="仿宋_GB2312"/>
          <w:sz w:val="32"/>
          <w:szCs w:val="32"/>
        </w:rPr>
        <w:t>年相比，财政拨款收、支总计各增加</w:t>
      </w:r>
      <w:r>
        <w:rPr>
          <w:rFonts w:ascii="仿宋_GB2312" w:hAnsi="宋体" w:eastAsia="仿宋_GB2312" w:cs="仿宋_GB2312"/>
          <w:sz w:val="32"/>
          <w:szCs w:val="32"/>
        </w:rPr>
        <w:t>168.22</w:t>
      </w:r>
      <w:r>
        <w:rPr>
          <w:rFonts w:hint="eastAsia" w:ascii="仿宋_GB2312" w:hAnsi="宋体" w:eastAsia="仿宋_GB2312" w:cs="仿宋_GB2312"/>
          <w:sz w:val="32"/>
          <w:szCs w:val="32"/>
        </w:rPr>
        <w:t>万元，增长</w:t>
      </w:r>
      <w:r>
        <w:rPr>
          <w:rFonts w:ascii="仿宋_GB2312" w:hAnsi="宋体" w:eastAsia="仿宋_GB2312" w:cs="仿宋_GB2312"/>
          <w:sz w:val="32"/>
          <w:szCs w:val="32"/>
        </w:rPr>
        <w:t>43%</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主要原因是工资的调整、五险一金调整等。</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年一般公共预算财政拨款支出</w:t>
      </w:r>
      <w:r>
        <w:rPr>
          <w:rFonts w:ascii="仿宋_GB2312" w:hAnsi="宋体" w:eastAsia="仿宋_GB2312" w:cs="仿宋_GB2312"/>
          <w:sz w:val="32"/>
          <w:szCs w:val="32"/>
        </w:rPr>
        <w:t>559.69</w:t>
      </w:r>
      <w:r>
        <w:rPr>
          <w:rFonts w:hint="eastAsia" w:ascii="仿宋_GB2312" w:hAnsi="宋体" w:eastAsia="仿宋_GB2312" w:cs="仿宋_GB2312"/>
          <w:sz w:val="32"/>
          <w:szCs w:val="32"/>
        </w:rPr>
        <w:t>万元，占支出合计的</w:t>
      </w:r>
      <w:r>
        <w:rPr>
          <w:rFonts w:ascii="仿宋_GB2312" w:hAnsi="宋体" w:eastAsia="仿宋_GB2312" w:cs="仿宋_GB2312"/>
          <w:sz w:val="32"/>
          <w:szCs w:val="32"/>
        </w:rPr>
        <w:t>100%</w:t>
      </w:r>
      <w:r>
        <w:rPr>
          <w:rFonts w:hint="eastAsia" w:ascii="仿宋_GB2312" w:hAnsi="宋体" w:eastAsia="仿宋_GB2312" w:cs="仿宋_GB2312"/>
          <w:sz w:val="32"/>
          <w:szCs w:val="32"/>
        </w:rPr>
        <w:t>。与</w:t>
      </w:r>
      <w:r>
        <w:rPr>
          <w:rFonts w:ascii="仿宋_GB2312" w:hAnsi="宋体" w:eastAsia="仿宋_GB2312" w:cs="仿宋_GB2312"/>
          <w:sz w:val="32"/>
          <w:szCs w:val="32"/>
        </w:rPr>
        <w:t>2017</w:t>
      </w:r>
      <w:r>
        <w:rPr>
          <w:rFonts w:hint="eastAsia" w:ascii="仿宋_GB2312" w:hAnsi="宋体" w:eastAsia="仿宋_GB2312" w:cs="仿宋_GB2312"/>
          <w:sz w:val="32"/>
          <w:szCs w:val="32"/>
        </w:rPr>
        <w:t>年相比，一般公共预算财政拨款支出增加</w:t>
      </w:r>
      <w:r>
        <w:rPr>
          <w:rFonts w:ascii="仿宋_GB2312" w:hAnsi="宋体" w:eastAsia="仿宋_GB2312" w:cs="仿宋_GB2312"/>
          <w:sz w:val="32"/>
          <w:szCs w:val="32"/>
        </w:rPr>
        <w:t>168.22</w:t>
      </w:r>
      <w:r>
        <w:rPr>
          <w:rFonts w:hint="eastAsia" w:ascii="仿宋_GB2312" w:hAnsi="宋体" w:eastAsia="仿宋_GB2312" w:cs="仿宋_GB2312"/>
          <w:sz w:val="32"/>
          <w:szCs w:val="32"/>
        </w:rPr>
        <w:t>万元，增长</w:t>
      </w:r>
      <w:r>
        <w:rPr>
          <w:rFonts w:ascii="仿宋_GB2312" w:hAnsi="宋体" w:eastAsia="仿宋_GB2312" w:cs="仿宋_GB2312"/>
          <w:sz w:val="32"/>
          <w:szCs w:val="32"/>
        </w:rPr>
        <w:t>43%</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主要原因是工资的调整、五险一金调整等。</w:t>
      </w:r>
    </w:p>
    <w:p>
      <w:pPr>
        <w:numPr>
          <w:ilvl w:val="0"/>
          <w:numId w:val="4"/>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Times New Roman"/>
          <w:sz w:val="32"/>
          <w:szCs w:val="32"/>
          <w:lang w:eastAsia="zh-CN"/>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年度一般公共预算财政拨款支出</w:t>
      </w:r>
      <w:r>
        <w:rPr>
          <w:rFonts w:ascii="仿宋_GB2312" w:hAnsi="宋体" w:eastAsia="仿宋_GB2312" w:cs="仿宋_GB2312"/>
          <w:sz w:val="32"/>
          <w:szCs w:val="32"/>
        </w:rPr>
        <w:t>559.69</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lang w:val="en-US" w:eastAsia="zh-CN"/>
        </w:rPr>
        <w:t>社会保障和就业</w:t>
      </w:r>
      <w:r>
        <w:rPr>
          <w:rFonts w:hint="eastAsia" w:ascii="仿宋_GB2312" w:hAnsi="宋体" w:eastAsia="仿宋_GB2312" w:cs="仿宋_GB2312"/>
          <w:b/>
          <w:bCs/>
          <w:sz w:val="32"/>
          <w:szCs w:val="32"/>
        </w:rPr>
        <w:t>（类）</w:t>
      </w:r>
      <w:r>
        <w:rPr>
          <w:rFonts w:hint="eastAsia" w:ascii="仿宋_GB2312" w:hAnsi="宋体" w:eastAsia="仿宋_GB2312" w:cs="仿宋_GB2312"/>
          <w:sz w:val="32"/>
          <w:szCs w:val="32"/>
        </w:rPr>
        <w:t>支出5.01万元，占0.90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b/>
          <w:bCs/>
          <w:sz w:val="32"/>
          <w:szCs w:val="32"/>
          <w:lang w:val="en-US" w:eastAsia="zh-CN"/>
        </w:rPr>
        <w:t>粮油物资储备</w:t>
      </w:r>
      <w:r>
        <w:rPr>
          <w:rFonts w:hint="eastAsia" w:ascii="仿宋_GB2312" w:hAnsi="宋体" w:eastAsia="仿宋_GB2312" w:cs="仿宋_GB2312"/>
          <w:b/>
          <w:bCs/>
          <w:sz w:val="32"/>
          <w:szCs w:val="32"/>
        </w:rPr>
        <w:t>（类）</w:t>
      </w:r>
      <w:r>
        <w:rPr>
          <w:rFonts w:hint="eastAsia" w:ascii="仿宋_GB2312" w:hAnsi="宋体" w:eastAsia="仿宋_GB2312" w:cs="仿宋_GB2312"/>
          <w:sz w:val="32"/>
          <w:szCs w:val="32"/>
        </w:rPr>
        <w:t>支出554.68万元，占99.10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bookmarkStart w:id="0" w:name="_GoBack"/>
      <w:bookmarkEnd w:id="0"/>
    </w:p>
    <w:p>
      <w:pPr>
        <w:numPr>
          <w:ilvl w:val="0"/>
          <w:numId w:val="4"/>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仿宋_GB2312"/>
          <w:sz w:val="32"/>
          <w:szCs w:val="32"/>
          <w:lang w:val="en-US" w:eastAsia="zh-CN"/>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年度一般公共预算财政拨款支出年初预算为</w:t>
      </w:r>
      <w:r>
        <w:rPr>
          <w:rFonts w:ascii="仿宋_GB2312" w:hAnsi="宋体" w:eastAsia="仿宋_GB2312" w:cs="仿宋_GB2312"/>
          <w:sz w:val="32"/>
          <w:szCs w:val="32"/>
        </w:rPr>
        <w:t>424.4</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559.69</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32%</w:t>
      </w:r>
      <w:r>
        <w:rPr>
          <w:rFonts w:hint="eastAsia" w:ascii="仿宋_GB2312" w:hAnsi="宋体" w:eastAsia="仿宋_GB2312" w:cs="仿宋_GB2312"/>
          <w:sz w:val="32"/>
          <w:szCs w:val="32"/>
        </w:rPr>
        <w:t>。决算数大于预算数的主要原因：工资的调整、五险一金调整等。</w:t>
      </w:r>
      <w:r>
        <w:rPr>
          <w:rFonts w:hint="eastAsia" w:ascii="仿宋_GB2312" w:hAnsi="宋体" w:eastAsia="仿宋_GB2312" w:cs="仿宋_GB2312"/>
          <w:sz w:val="32"/>
          <w:szCs w:val="32"/>
          <w:lang w:val="en-US" w:eastAsia="zh-CN"/>
        </w:rPr>
        <w:t>其中：</w:t>
      </w:r>
    </w:p>
    <w:p>
      <w:pPr>
        <w:numPr>
          <w:ilvl w:val="0"/>
          <w:numId w:val="5"/>
        </w:numPr>
        <w:adjustRightInd w:val="0"/>
        <w:snapToGrid w:val="0"/>
        <w:spacing w:line="360" w:lineRule="auto"/>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val="en-US" w:eastAsia="zh-CN"/>
        </w:rPr>
        <w:t>社会保障和就业支出</w:t>
      </w:r>
      <w:r>
        <w:rPr>
          <w:rFonts w:hint="eastAsia" w:ascii="仿宋_GB2312" w:hAnsi="宋体" w:eastAsia="仿宋_GB2312" w:cs="仿宋_GB2312"/>
          <w:b/>
          <w:bCs/>
          <w:sz w:val="32"/>
          <w:szCs w:val="32"/>
        </w:rPr>
        <w:t>（类）行政事业单位离退休（款）归口管理的行政单位离退休（项）</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rPr>
        <w:t>年初预算为5.01万元，支出决算为5.01万元，完成年初预算的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5"/>
        </w:numPr>
        <w:adjustRightInd w:val="0"/>
        <w:snapToGrid w:val="0"/>
        <w:spacing w:line="360" w:lineRule="auto"/>
        <w:ind w:left="0" w:leftChars="0" w:firstLine="643"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lang w:val="en-US" w:eastAsia="zh-CN"/>
        </w:rPr>
        <w:t>粮油物资储备支出</w:t>
      </w:r>
      <w:r>
        <w:rPr>
          <w:rFonts w:hint="eastAsia" w:ascii="仿宋_GB2312" w:hAnsi="宋体" w:eastAsia="仿宋_GB2312" w:cs="仿宋_GB2312"/>
          <w:b/>
          <w:bCs/>
          <w:sz w:val="32"/>
          <w:szCs w:val="32"/>
        </w:rPr>
        <w:t>（类）物资事务（款）行政运行（项）</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rPr>
        <w:t>年初预算为367.99</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rPr>
        <w:t>，支出决算为503.28万元，完成年初预算的136.76</w:t>
      </w:r>
      <w:r>
        <w:rPr>
          <w:rFonts w:ascii="仿宋_GB2312" w:hAnsi="宋体" w:eastAsia="仿宋_GB2312" w:cs="仿宋_GB2312"/>
          <w:sz w:val="32"/>
          <w:szCs w:val="32"/>
        </w:rPr>
        <w:t>%</w:t>
      </w:r>
      <w:r>
        <w:rPr>
          <w:rFonts w:hint="eastAsia" w:ascii="仿宋_GB2312" w:hAnsi="宋体" w:eastAsia="仿宋_GB2312" w:cs="仿宋_GB2312"/>
          <w:sz w:val="32"/>
          <w:szCs w:val="32"/>
        </w:rPr>
        <w:t>。决算数大于预算数的主要原因是工资的调整、五险一金调整等。</w:t>
      </w:r>
    </w:p>
    <w:p>
      <w:pPr>
        <w:numPr>
          <w:ilvl w:val="0"/>
          <w:numId w:val="5"/>
        </w:numPr>
        <w:adjustRightInd w:val="0"/>
        <w:snapToGrid w:val="0"/>
        <w:spacing w:line="360" w:lineRule="auto"/>
        <w:ind w:left="0" w:leftChars="0" w:firstLine="643"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lang w:val="en-US" w:eastAsia="zh-CN"/>
        </w:rPr>
        <w:t>粮油物资储备支出</w:t>
      </w:r>
      <w:r>
        <w:rPr>
          <w:rFonts w:hint="eastAsia" w:ascii="仿宋_GB2312" w:hAnsi="宋体" w:eastAsia="仿宋_GB2312" w:cs="仿宋_GB2312"/>
          <w:b/>
          <w:bCs/>
          <w:sz w:val="32"/>
          <w:szCs w:val="32"/>
        </w:rPr>
        <w:t>（类）物资事务（款） 其他物资事务支出（项）</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rPr>
        <w:t>年初预算为51.40</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rPr>
        <w:t>，支出决算为51.40万元，完成年初预算的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年一般公共预算财政拨款基本支出</w:t>
      </w:r>
      <w:r>
        <w:rPr>
          <w:rFonts w:ascii="仿宋_GB2312" w:hAnsi="宋体" w:eastAsia="仿宋_GB2312" w:cs="仿宋_GB2312"/>
          <w:sz w:val="32"/>
          <w:szCs w:val="32"/>
        </w:rPr>
        <w:t>559.69</w:t>
      </w:r>
      <w:r>
        <w:rPr>
          <w:rFonts w:hint="eastAsia" w:ascii="仿宋_GB2312" w:hAnsi="宋体" w:eastAsia="仿宋_GB2312" w:cs="仿宋_GB2312"/>
          <w:sz w:val="32"/>
          <w:szCs w:val="32"/>
        </w:rPr>
        <w:t>万元，其中：</w:t>
      </w:r>
      <w:r>
        <w:rPr>
          <w:rFonts w:hint="eastAsia" w:ascii="仿宋_GB2312" w:hAnsi="Times New Roman" w:eastAsia="仿宋_GB2312" w:cs="仿宋_GB2312"/>
          <w:b/>
          <w:bCs/>
          <w:spacing w:val="-1"/>
          <w:kern w:val="0"/>
          <w:sz w:val="32"/>
          <w:szCs w:val="32"/>
        </w:rPr>
        <w:t>人员经费</w:t>
      </w:r>
      <w:r>
        <w:rPr>
          <w:rFonts w:ascii="仿宋_GB2312" w:hAnsi="Times New Roman" w:eastAsia="仿宋_GB2312" w:cs="仿宋_GB2312"/>
          <w:spacing w:val="-1"/>
          <w:kern w:val="0"/>
          <w:sz w:val="32"/>
          <w:szCs w:val="32"/>
        </w:rPr>
        <w:t>496.44</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，主要包括：基本工资、津贴补贴、伙食补助费、绩效工资、津贴、奖金、机关事业单位基本养老保险缴费、职业年金缴费、其他工资福利支出、对个人和家庭的补助；</w:t>
      </w:r>
      <w:r>
        <w:rPr>
          <w:rFonts w:hint="eastAsia" w:ascii="仿宋_GB2312" w:hAnsi="Times New Roman" w:eastAsia="仿宋_GB2312" w:cs="仿宋_GB2312"/>
          <w:b/>
          <w:bCs/>
          <w:spacing w:val="-1"/>
          <w:kern w:val="0"/>
          <w:sz w:val="32"/>
          <w:szCs w:val="32"/>
        </w:rPr>
        <w:t>公用经费</w:t>
      </w:r>
      <w:r>
        <w:rPr>
          <w:rFonts w:ascii="仿宋_GB2312" w:hAnsi="Times New Roman" w:eastAsia="仿宋_GB2312" w:cs="仿宋_GB2312"/>
          <w:spacing w:val="-2"/>
          <w:kern w:val="0"/>
          <w:sz w:val="32"/>
          <w:szCs w:val="32"/>
        </w:rPr>
        <w:t>63.25</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，主要包括：办公费、印刷费、水费、电费、邮电费、物业管理费、差旅费、培训费、公务接待费、工会经费、其他交通费、其他商品和服务支出。</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年度“三公”经费财政拨款支出预算为</w:t>
      </w:r>
      <w:r>
        <w:rPr>
          <w:rFonts w:ascii="仿宋_GB2312" w:hAnsi="宋体" w:eastAsia="仿宋_GB2312" w:cs="仿宋_GB2312"/>
          <w:sz w:val="32"/>
          <w:szCs w:val="32"/>
        </w:rPr>
        <w:t>4.8</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2.3</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48</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ascii="仿宋_GB2312" w:hAnsi="宋体" w:eastAsia="仿宋_GB2312" w:cs="仿宋_GB2312"/>
          <w:sz w:val="32"/>
          <w:szCs w:val="32"/>
        </w:rPr>
        <w:t>2.3</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48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ascii="仿宋_GB2312" w:hAnsi="宋体" w:eastAsia="仿宋_GB2312" w:cs="仿宋_GB2312"/>
          <w:sz w:val="32"/>
          <w:szCs w:val="32"/>
        </w:rPr>
        <w:t>2018</w:t>
      </w:r>
      <w:r>
        <w:rPr>
          <w:rFonts w:hint="eastAsia" w:ascii="仿宋_GB2312" w:hAnsi="宋体" w:eastAsia="仿宋_GB2312" w:cs="仿宋_GB2312"/>
          <w:sz w:val="32"/>
          <w:szCs w:val="32"/>
        </w:rPr>
        <w:t>年度“三公”经费支出决算数小于预算数的主要原因是我单位严格执行公务接待方面的规定。</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2017</w:t>
      </w:r>
      <w:r>
        <w:rPr>
          <w:rFonts w:hint="eastAsia" w:ascii="仿宋_GB2312" w:hAnsi="宋体" w:eastAsia="仿宋_GB2312" w:cs="仿宋_GB2312"/>
          <w:sz w:val="32"/>
          <w:szCs w:val="32"/>
        </w:rPr>
        <w:t>年减少</w:t>
      </w:r>
      <w:r>
        <w:rPr>
          <w:rFonts w:ascii="仿宋_GB2312" w:hAnsi="宋体" w:eastAsia="仿宋_GB2312" w:cs="仿宋_GB2312"/>
          <w:sz w:val="32"/>
          <w:szCs w:val="32"/>
        </w:rPr>
        <w:t>0.1</w:t>
      </w:r>
      <w:r>
        <w:rPr>
          <w:rFonts w:hint="eastAsia" w:ascii="仿宋_GB2312" w:hAnsi="宋体" w:eastAsia="仿宋_GB2312" w:cs="仿宋_GB2312"/>
          <w:sz w:val="32"/>
          <w:szCs w:val="32"/>
        </w:rPr>
        <w:t>万元，下降</w:t>
      </w:r>
      <w:r>
        <w:rPr>
          <w:rFonts w:ascii="仿宋_GB2312" w:hAnsi="宋体" w:eastAsia="仿宋_GB2312" w:cs="仿宋_GB2312"/>
          <w:sz w:val="32"/>
          <w:szCs w:val="32"/>
        </w:rPr>
        <w:t>4%</w:t>
      </w:r>
      <w:r>
        <w:rPr>
          <w:rFonts w:hint="eastAsia" w:ascii="仿宋_GB2312" w:hAnsi="宋体" w:eastAsia="仿宋_GB2312" w:cs="仿宋_GB2312"/>
          <w:sz w:val="32"/>
          <w:szCs w:val="32"/>
        </w:rPr>
        <w:t>，其中：公务接待费支出决算减少</w:t>
      </w:r>
      <w:r>
        <w:rPr>
          <w:rFonts w:ascii="仿宋_GB2312" w:hAnsi="宋体" w:eastAsia="仿宋_GB2312" w:cs="仿宋_GB2312"/>
          <w:sz w:val="32"/>
          <w:szCs w:val="32"/>
        </w:rPr>
        <w:t>0.1</w:t>
      </w:r>
      <w:r>
        <w:rPr>
          <w:rFonts w:hint="eastAsia" w:ascii="仿宋_GB2312" w:hAnsi="宋体" w:eastAsia="仿宋_GB2312" w:cs="仿宋_GB2312"/>
          <w:sz w:val="32"/>
          <w:szCs w:val="32"/>
        </w:rPr>
        <w:t>万元的主要原因是我单位严格执行公务接待方面的规定。</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201</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年度“三公”经费财政拨款支出决算中，因公出国（境）费支出决算0万元，完成预算的0%，占0%；公务用车购置及运行费支出决算0万元，完成预算的0%，占0%；公务接待费支出决算</w:t>
      </w:r>
      <w:r>
        <w:rPr>
          <w:rFonts w:ascii="仿宋_GB2312" w:hAnsi="宋体" w:eastAsia="仿宋_GB2312" w:cs="仿宋_GB2312"/>
          <w:sz w:val="32"/>
          <w:szCs w:val="32"/>
        </w:rPr>
        <w:t>2.3</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48</w:t>
      </w:r>
      <w:r>
        <w:rPr>
          <w:rFonts w:hint="eastAsia" w:ascii="仿宋_GB2312" w:hAnsi="宋体" w:eastAsia="仿宋_GB2312" w:cs="仿宋_GB2312"/>
          <w:sz w:val="32"/>
          <w:szCs w:val="32"/>
        </w:rPr>
        <w:t>%，占100%。具体情况如下：</w:t>
      </w:r>
    </w:p>
    <w:p>
      <w:pPr>
        <w:numPr>
          <w:ilvl w:val="0"/>
          <w:numId w:val="7"/>
        </w:numPr>
        <w:kinsoku w:val="0"/>
        <w:overflowPunct w:val="0"/>
        <w:autoSpaceDE w:val="0"/>
        <w:autoSpaceDN w:val="0"/>
        <w:adjustRightInd w:val="0"/>
        <w:snapToGrid w:val="0"/>
        <w:spacing w:line="360" w:lineRule="auto"/>
        <w:ind w:left="0" w:leftChars="0" w:firstLine="400" w:firstLineChars="0"/>
        <w:rPr>
          <w:rFonts w:hint="eastAsia" w:ascii="仿宋_GB2312" w:hAnsi="宋体" w:eastAsia="仿宋_GB2312" w:cs="仿宋_GB2312"/>
          <w:sz w:val="32"/>
          <w:szCs w:val="32"/>
          <w:lang w:eastAsia="zh-CN"/>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r>
        <w:rPr>
          <w:rFonts w:hint="eastAsia" w:ascii="仿宋_GB2312" w:hAnsi="宋体" w:eastAsia="仿宋_GB2312" w:cs="Courier New"/>
          <w:sz w:val="32"/>
          <w:szCs w:val="32"/>
          <w:lang w:eastAsia="zh-CN"/>
        </w:rPr>
        <w:t>。</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万元。（公务用车购置支出为0。）</w:t>
      </w:r>
    </w:p>
    <w:p>
      <w:pPr>
        <w:numPr>
          <w:ilvl w:val="0"/>
          <w:numId w:val="0"/>
        </w:numPr>
        <w:kinsoku w:val="0"/>
        <w:overflowPunct w:val="0"/>
        <w:autoSpaceDE w:val="0"/>
        <w:autoSpaceDN w:val="0"/>
        <w:adjustRightInd w:val="0"/>
        <w:snapToGrid w:val="0"/>
        <w:spacing w:line="360" w:lineRule="auto"/>
        <w:ind w:firstLine="643" w:firstLineChars="200"/>
        <w:rPr>
          <w:rFonts w:hint="eastAsia" w:ascii="仿宋_GB2312" w:hAnsi="宋体" w:eastAsia="仿宋_GB2312" w:cs="仿宋_GB2312"/>
          <w:sz w:val="32"/>
          <w:szCs w:val="32"/>
          <w:lang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年期末公务用车保有量为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lang w:eastAsia="zh-CN"/>
        </w:rPr>
        <w:t>辆</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w:t>
      </w:r>
      <w:r>
        <w:rPr>
          <w:rFonts w:hint="eastAsia" w:ascii="仿宋_GB2312" w:hAnsi="宋体" w:eastAsia="仿宋_GB2312" w:cs="仿宋_GB2312"/>
          <w:sz w:val="32"/>
          <w:szCs w:val="32"/>
        </w:rPr>
        <w:t>支出</w:t>
      </w:r>
      <w:r>
        <w:rPr>
          <w:rFonts w:ascii="仿宋_GB2312" w:hAnsi="宋体" w:eastAsia="仿宋_GB2312" w:cs="仿宋_GB2312"/>
          <w:sz w:val="32"/>
          <w:szCs w:val="32"/>
        </w:rPr>
        <w:t>2.3</w:t>
      </w:r>
      <w:r>
        <w:rPr>
          <w:rFonts w:hint="eastAsia" w:ascii="仿宋_GB2312" w:hAnsi="宋体" w:eastAsia="仿宋_GB2312" w:cs="仿宋_GB2312"/>
          <w:sz w:val="32"/>
          <w:szCs w:val="32"/>
        </w:rPr>
        <w:t>万元。其中：</w:t>
      </w:r>
    </w:p>
    <w:p>
      <w:pPr>
        <w:numPr>
          <w:ilvl w:val="0"/>
          <w:numId w:val="0"/>
        </w:numPr>
        <w:kinsoku w:val="0"/>
        <w:overflowPunct w:val="0"/>
        <w:autoSpaceDE w:val="0"/>
        <w:autoSpaceDN w:val="0"/>
        <w:adjustRightInd w:val="0"/>
        <w:snapToGrid w:val="0"/>
        <w:spacing w:line="360" w:lineRule="auto"/>
        <w:ind w:firstLine="640" w:firstLineChars="200"/>
        <w:rPr>
          <w:rFonts w:ascii="仿宋_GB2312" w:hAnsi="宋体" w:eastAsia="仿宋_GB2312" w:cs="Times New Roman"/>
          <w:b w:val="0"/>
          <w:bCs w:val="0"/>
          <w:sz w:val="32"/>
          <w:szCs w:val="32"/>
        </w:rPr>
      </w:pPr>
      <w:r>
        <w:rPr>
          <w:rFonts w:hint="eastAsia" w:ascii="仿宋_GB2312" w:hAnsi="宋体" w:eastAsia="仿宋_GB2312" w:cs="Courier New"/>
          <w:b w:val="0"/>
          <w:bCs w:val="0"/>
          <w:sz w:val="32"/>
          <w:szCs w:val="32"/>
          <w:lang w:val="en-US" w:eastAsia="zh-CN"/>
        </w:rPr>
        <w:t>外宾接待支出 0 万元。无外宾接待支出。2018 年共接待国（境）外来访团组 0 个、来访外宾 0 人次（不包括陪同人员）。</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宋体" w:eastAsia="仿宋_GB2312" w:cs="仿宋_GB2312"/>
          <w:b/>
          <w:bCs/>
          <w:sz w:val="32"/>
          <w:szCs w:val="32"/>
        </w:rPr>
        <w:t>其他国内公务接待</w:t>
      </w:r>
      <w:r>
        <w:rPr>
          <w:rFonts w:hint="eastAsia" w:ascii="仿宋_GB2312" w:hAnsi="宋体" w:eastAsia="仿宋_GB2312" w:cs="仿宋_GB2312"/>
          <w:sz w:val="32"/>
          <w:szCs w:val="32"/>
        </w:rPr>
        <w:t>支出为</w:t>
      </w:r>
      <w:r>
        <w:rPr>
          <w:rFonts w:ascii="仿宋_GB2312" w:hAnsi="宋体" w:eastAsia="仿宋_GB2312" w:cs="仿宋_GB2312"/>
          <w:sz w:val="32"/>
          <w:szCs w:val="32"/>
        </w:rPr>
        <w:t>2.3</w:t>
      </w:r>
      <w:r>
        <w:rPr>
          <w:rFonts w:hint="eastAsia" w:ascii="仿宋_GB2312" w:hAnsi="宋体" w:eastAsia="仿宋_GB2312" w:cs="仿宋_GB2312"/>
          <w:sz w:val="32"/>
          <w:szCs w:val="32"/>
        </w:rPr>
        <w:t>万元。主要用于公务来往和招待费报销。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年共接待国内来访团组</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次、来宾</w:t>
      </w:r>
      <w:r>
        <w:rPr>
          <w:rFonts w:ascii="仿宋_GB2312" w:hAnsi="仿宋_GB2312" w:eastAsia="仿宋_GB2312" w:cs="仿宋_GB2312"/>
          <w:sz w:val="32"/>
          <w:szCs w:val="32"/>
        </w:rPr>
        <w:t>160</w:t>
      </w:r>
      <w:r>
        <w:rPr>
          <w:rFonts w:hint="eastAsia" w:ascii="仿宋_GB2312" w:hAnsi="仿宋_GB2312" w:eastAsia="仿宋_GB2312" w:cs="仿宋_GB2312"/>
          <w:sz w:val="32"/>
          <w:szCs w:val="32"/>
        </w:rPr>
        <w:t>人（不包括陪同人员）。</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绩效管理工作开展情况。二级机构自我评价的基础上，根据上级工作要求结合我办实际，通过选定评价对象、调研项目情况、收集项目资料、完善评价指标、、实施现场评价、审核评价报告等一系列规范有序的程序，从预算编制与执行、资金分配与使用、资金监督与管理以及财务会计信息，客观公正地反映了财政支出总体绩效和存在的主要问题，为下一步有针对性地加强和改进财政资金分配、使用、管理提供了有益参考。自评覆盖率达到</w:t>
      </w:r>
      <w:r>
        <w:rPr>
          <w:rFonts w:ascii="仿宋_GB2312" w:hAnsi="宋体" w:eastAsia="仿宋_GB2312" w:cs="仿宋_GB2312"/>
          <w:sz w:val="32"/>
          <w:szCs w:val="32"/>
        </w:rPr>
        <w:t>90%</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20" w:firstLineChars="100"/>
        <w:rPr>
          <w:rFonts w:ascii="仿宋_GB2312" w:hAnsi="宋体" w:eastAsia="仿宋_GB2312" w:cs="Times New Roman"/>
          <w:sz w:val="32"/>
          <w:szCs w:val="32"/>
        </w:rPr>
      </w:pPr>
      <w:r>
        <w:rPr>
          <w:rFonts w:hint="eastAsia" w:ascii="仿宋_GB2312" w:hAnsi="宋体" w:eastAsia="仿宋_GB2312" w:cs="仿宋_GB2312"/>
          <w:sz w:val="32"/>
          <w:szCs w:val="32"/>
        </w:rPr>
        <w:t>（二）部门决算中项目绩效自评结果。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年，我办评价目标是以专项支出整体绩效评价为重点。对我办物价检查、价格认证经费、价格监测经费等进行了自评。根据</w:t>
      </w:r>
      <w:r>
        <w:rPr>
          <w:rFonts w:ascii="仿宋_GB2312" w:hAnsi="宋体" w:eastAsia="仿宋_GB2312" w:cs="仿宋_GB2312"/>
          <w:sz w:val="32"/>
          <w:szCs w:val="32"/>
        </w:rPr>
        <w:t>2018</w:t>
      </w:r>
      <w:r>
        <w:rPr>
          <w:rFonts w:hint="eastAsia" w:ascii="仿宋_GB2312" w:hAnsi="宋体" w:eastAsia="仿宋_GB2312" w:cs="仿宋_GB2312"/>
          <w:sz w:val="32"/>
          <w:szCs w:val="32"/>
        </w:rPr>
        <w:t>年年初设定的绩效目标，“价格认证”专项自评得分为</w:t>
      </w:r>
      <w:r>
        <w:rPr>
          <w:rFonts w:ascii="仿宋_GB2312" w:hAnsi="宋体" w:eastAsia="仿宋_GB2312" w:cs="仿宋_GB2312"/>
          <w:sz w:val="32"/>
          <w:szCs w:val="32"/>
        </w:rPr>
        <w:t>90</w:t>
      </w:r>
      <w:r>
        <w:rPr>
          <w:rFonts w:hint="eastAsia" w:ascii="仿宋_GB2312" w:hAnsi="宋体" w:eastAsia="仿宋_GB2312" w:cs="仿宋_GB2312"/>
          <w:sz w:val="32"/>
          <w:szCs w:val="32"/>
        </w:rPr>
        <w:t>分。发现的主要问题：报告质量标准不够，因人员专业素质欠缺，加之全方位预算绩效还不到位等因素的制约，导致绩效报告的工作质量，准确性不高。下一步改进措施：对我办绩效自评情况进行检验，对产生的效果进行评价，对存在的问题进行暴露和整改。</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201</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年度政府性基金预算财政拨款支出年初预算为0元，支出决算为 0 万元，完成年初预算的 0%。</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说明：我单位 201</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年度没有政府性基金收入，也没有使用政府性基金安排的支出。</w:t>
      </w:r>
    </w:p>
    <w:p>
      <w:pPr>
        <w:numPr>
          <w:ilvl w:val="0"/>
          <w:numId w:val="0"/>
        </w:numPr>
        <w:adjustRightInd w:val="0"/>
        <w:snapToGrid w:val="0"/>
        <w:spacing w:line="360" w:lineRule="auto"/>
        <w:ind w:firstLine="320" w:firstLineChars="1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201</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年度机关运行经费年初预算为</w:t>
      </w:r>
      <w:r>
        <w:rPr>
          <w:rFonts w:ascii="仿宋_GB2312" w:hAnsi="宋体" w:eastAsia="仿宋_GB2312" w:cs="仿宋_GB2312"/>
          <w:sz w:val="32"/>
          <w:szCs w:val="32"/>
        </w:rPr>
        <w:t>63.25</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63.25</w:t>
      </w:r>
      <w:r>
        <w:rPr>
          <w:rFonts w:hint="eastAsia" w:ascii="仿宋_GB2312" w:hAnsi="宋体" w:eastAsia="仿宋_GB2312" w:cs="仿宋_GB2312"/>
          <w:sz w:val="32"/>
          <w:szCs w:val="32"/>
        </w:rPr>
        <w:t>万元，完成年初预算的100%。决算数与年初预算数</w:t>
      </w:r>
      <w:r>
        <w:rPr>
          <w:rFonts w:hint="eastAsia" w:ascii="仿宋_GB2312" w:hAnsi="宋体" w:eastAsia="仿宋_GB2312" w:cs="仿宋_GB2312"/>
          <w:sz w:val="32"/>
          <w:szCs w:val="32"/>
          <w:lang w:val="en-US" w:eastAsia="zh-CN"/>
        </w:rPr>
        <w:t>不</w:t>
      </w:r>
      <w:r>
        <w:rPr>
          <w:rFonts w:hint="eastAsia" w:ascii="仿宋_GB2312" w:hAnsi="宋体" w:eastAsia="仿宋_GB2312" w:cs="仿宋_GB2312"/>
          <w:sz w:val="32"/>
          <w:szCs w:val="32"/>
        </w:rPr>
        <w:t>存在差异</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比</w:t>
      </w:r>
      <w:r>
        <w:rPr>
          <w:rFonts w:ascii="仿宋_GB2312" w:hAnsi="宋体" w:eastAsia="仿宋_GB2312" w:cs="仿宋_GB2312"/>
          <w:sz w:val="32"/>
          <w:szCs w:val="32"/>
        </w:rPr>
        <w:t>2017</w:t>
      </w:r>
      <w:r>
        <w:rPr>
          <w:rFonts w:hint="eastAsia" w:ascii="仿宋_GB2312" w:hAnsi="宋体" w:eastAsia="仿宋_GB2312" w:cs="仿宋_GB2312"/>
          <w:sz w:val="32"/>
          <w:szCs w:val="32"/>
        </w:rPr>
        <w:t>年增加</w:t>
      </w:r>
      <w:r>
        <w:rPr>
          <w:rFonts w:ascii="仿宋_GB2312" w:hAnsi="宋体" w:eastAsia="仿宋_GB2312" w:cs="仿宋_GB2312"/>
          <w:sz w:val="32"/>
          <w:szCs w:val="32"/>
        </w:rPr>
        <w:t>4.21</w:t>
      </w:r>
      <w:r>
        <w:rPr>
          <w:rFonts w:hint="eastAsia" w:ascii="仿宋_GB2312" w:hAnsi="宋体" w:eastAsia="仿宋_GB2312" w:cs="仿宋_GB2312"/>
          <w:sz w:val="32"/>
          <w:szCs w:val="32"/>
        </w:rPr>
        <w:t>万元，增长</w:t>
      </w:r>
      <w:r>
        <w:rPr>
          <w:rFonts w:ascii="仿宋_GB2312" w:hAnsi="宋体" w:eastAsia="仿宋_GB2312" w:cs="仿宋_GB2312"/>
          <w:sz w:val="32"/>
          <w:szCs w:val="32"/>
        </w:rPr>
        <w:t>7%</w:t>
      </w:r>
      <w:r>
        <w:rPr>
          <w:rFonts w:hint="eastAsia" w:ascii="仿宋_GB2312" w:hAnsi="宋体" w:eastAsia="仿宋_GB2312" w:cs="仿宋_GB2312"/>
          <w:sz w:val="32"/>
          <w:szCs w:val="32"/>
        </w:rPr>
        <w:t>。</w:t>
      </w:r>
    </w:p>
    <w:p>
      <w:pPr>
        <w:numPr>
          <w:ilvl w:val="0"/>
          <w:numId w:val="0"/>
        </w:numPr>
        <w:adjustRightInd w:val="0"/>
        <w:snapToGrid w:val="0"/>
        <w:spacing w:line="360" w:lineRule="auto"/>
        <w:ind w:firstLine="320" w:firstLineChars="1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201</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0"/>
        </w:numPr>
        <w:adjustRightInd w:val="0"/>
        <w:snapToGrid w:val="0"/>
        <w:spacing w:line="360" w:lineRule="auto"/>
        <w:ind w:firstLine="320" w:firstLineChars="1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lang w:val="en-US" w:eastAsia="zh-CN"/>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黑体" w:hAnsi="黑体" w:eastAsia="黑体"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48"/>
          <w:szCs w:val="48"/>
        </w:rPr>
        <w:t>第四部分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用事业基金弥补收支差额：</w:t>
      </w:r>
      <w:r>
        <w:rPr>
          <w:rFonts w:hint="eastAsia" w:ascii="仿宋_GB2312" w:hAnsi="宋体"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仿宋_GB2312"/>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sz w:val="32"/>
          <w:szCs w:val="32"/>
        </w:rPr>
        <w:t>是指区物价办用于保障机构正常运行、开展日常工作的基本支出。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一般公共服务（类）财政事务（款）一般行政管理事务（项）：</w:t>
      </w:r>
      <w:r>
        <w:rPr>
          <w:rFonts w:hint="eastAsia" w:ascii="仿宋_GB2312" w:hAnsi="宋体" w:eastAsia="仿宋_GB2312" w:cs="仿宋_GB2312"/>
          <w:sz w:val="32"/>
          <w:szCs w:val="32"/>
        </w:rPr>
        <w:t>指区物价办行政单位及参照公务员法管理的事业单位开展财政立法、决算编审、资产产权管理等未单独设置项级科目的专门性财政管理工作的项目支出。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项目支出：</w:t>
      </w:r>
      <w:r>
        <w:rPr>
          <w:rFonts w:hint="eastAsia" w:ascii="仿宋_GB2312" w:hAnsi="宋体" w:eastAsia="仿宋_GB2312" w:cs="仿宋_GB2312"/>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经营支出：</w:t>
      </w:r>
      <w:r>
        <w:rPr>
          <w:rFonts w:hint="eastAsia" w:ascii="仿宋_GB2312" w:hAnsi="宋体" w:eastAsia="仿宋_GB2312" w:cs="仿宋_GB2312"/>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cs="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- 8 -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C193"/>
    <w:multiLevelType w:val="singleLevel"/>
    <w:tmpl w:val="5971C193"/>
    <w:lvl w:ilvl="0" w:tentative="0">
      <w:start w:val="2"/>
      <w:numFmt w:val="chineseCounting"/>
      <w:suff w:val="nothing"/>
      <w:lvlText w:val="%1、"/>
      <w:lvlJc w:val="left"/>
    </w:lvl>
  </w:abstractNum>
  <w:abstractNum w:abstractNumId="1">
    <w:nsid w:val="5971C2CF"/>
    <w:multiLevelType w:val="singleLevel"/>
    <w:tmpl w:val="5971C2CF"/>
    <w:lvl w:ilvl="0" w:tentative="0">
      <w:start w:val="1"/>
      <w:numFmt w:val="decimal"/>
      <w:suff w:val="nothing"/>
      <w:lvlText w:val="%1．"/>
      <w:lvlJc w:val="left"/>
      <w:pPr>
        <w:ind w:firstLine="400"/>
      </w:pPr>
      <w:rPr>
        <w:rFonts w:hint="default"/>
      </w:rPr>
    </w:lvl>
  </w:abstractNum>
  <w:abstractNum w:abstractNumId="2">
    <w:nsid w:val="5971DAC2"/>
    <w:multiLevelType w:val="singleLevel"/>
    <w:tmpl w:val="5971DAC2"/>
    <w:lvl w:ilvl="0" w:tentative="0">
      <w:start w:val="1"/>
      <w:numFmt w:val="chineseCounting"/>
      <w:suff w:val="nothing"/>
      <w:lvlText w:val="%1、"/>
      <w:lvlJc w:val="left"/>
      <w:pPr>
        <w:ind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rPr>
    </w:lvl>
  </w:abstractNum>
  <w:abstractNum w:abstractNumId="7">
    <w:nsid w:val="6A13FAC6"/>
    <w:multiLevelType w:val="singleLevel"/>
    <w:tmpl w:val="6A13FAC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54E7A"/>
    <w:rsid w:val="00172A27"/>
    <w:rsid w:val="00172CAF"/>
    <w:rsid w:val="00180A14"/>
    <w:rsid w:val="001A2726"/>
    <w:rsid w:val="002050F1"/>
    <w:rsid w:val="003630EA"/>
    <w:rsid w:val="003B306D"/>
    <w:rsid w:val="003B5C00"/>
    <w:rsid w:val="0046495F"/>
    <w:rsid w:val="0048268C"/>
    <w:rsid w:val="004D5B09"/>
    <w:rsid w:val="004E3BE8"/>
    <w:rsid w:val="004F7261"/>
    <w:rsid w:val="00574265"/>
    <w:rsid w:val="00630D31"/>
    <w:rsid w:val="00644992"/>
    <w:rsid w:val="00646999"/>
    <w:rsid w:val="00652E9C"/>
    <w:rsid w:val="00786923"/>
    <w:rsid w:val="00831421"/>
    <w:rsid w:val="008522F2"/>
    <w:rsid w:val="00860FA4"/>
    <w:rsid w:val="00963596"/>
    <w:rsid w:val="00971FA9"/>
    <w:rsid w:val="00990F7B"/>
    <w:rsid w:val="009A66D0"/>
    <w:rsid w:val="009B0535"/>
    <w:rsid w:val="009E06F1"/>
    <w:rsid w:val="00A03E82"/>
    <w:rsid w:val="00A213EB"/>
    <w:rsid w:val="00B14BD2"/>
    <w:rsid w:val="00B54309"/>
    <w:rsid w:val="00B5713B"/>
    <w:rsid w:val="00B84FB0"/>
    <w:rsid w:val="00BD20A0"/>
    <w:rsid w:val="00BF48AF"/>
    <w:rsid w:val="00C70777"/>
    <w:rsid w:val="00C70C27"/>
    <w:rsid w:val="00CA7C2D"/>
    <w:rsid w:val="00CC6EEC"/>
    <w:rsid w:val="00CF4E79"/>
    <w:rsid w:val="00D6014E"/>
    <w:rsid w:val="00E15339"/>
    <w:rsid w:val="00E977DE"/>
    <w:rsid w:val="00F43F6E"/>
    <w:rsid w:val="00F75E4F"/>
    <w:rsid w:val="01064770"/>
    <w:rsid w:val="04453648"/>
    <w:rsid w:val="09BB2134"/>
    <w:rsid w:val="1258447D"/>
    <w:rsid w:val="13DA4090"/>
    <w:rsid w:val="15492582"/>
    <w:rsid w:val="1BB26345"/>
    <w:rsid w:val="1E7D3B34"/>
    <w:rsid w:val="209C4FF0"/>
    <w:rsid w:val="258F34D6"/>
    <w:rsid w:val="25F929C3"/>
    <w:rsid w:val="2BA4769A"/>
    <w:rsid w:val="2BFE1E74"/>
    <w:rsid w:val="2CD06EF4"/>
    <w:rsid w:val="32EF40CE"/>
    <w:rsid w:val="372974AC"/>
    <w:rsid w:val="3CE47224"/>
    <w:rsid w:val="42271DDB"/>
    <w:rsid w:val="48036E61"/>
    <w:rsid w:val="48B52937"/>
    <w:rsid w:val="48EE3EF3"/>
    <w:rsid w:val="4C1E2F28"/>
    <w:rsid w:val="51AD42DE"/>
    <w:rsid w:val="524D642A"/>
    <w:rsid w:val="53E9756D"/>
    <w:rsid w:val="5651051D"/>
    <w:rsid w:val="57BB5F84"/>
    <w:rsid w:val="57E961A8"/>
    <w:rsid w:val="581E77CF"/>
    <w:rsid w:val="58B06254"/>
    <w:rsid w:val="59E3092F"/>
    <w:rsid w:val="5AF25131"/>
    <w:rsid w:val="5F3A0145"/>
    <w:rsid w:val="5F886B4A"/>
    <w:rsid w:val="600176AC"/>
    <w:rsid w:val="627358F6"/>
    <w:rsid w:val="63DC7C16"/>
    <w:rsid w:val="6431638A"/>
    <w:rsid w:val="664A46E0"/>
    <w:rsid w:val="674E08EC"/>
    <w:rsid w:val="6A2415C4"/>
    <w:rsid w:val="6C2F3976"/>
    <w:rsid w:val="737A5BE5"/>
    <w:rsid w:val="73F1196C"/>
    <w:rsid w:val="75531EF6"/>
    <w:rsid w:val="75D0003D"/>
    <w:rsid w:val="779E3F57"/>
    <w:rsid w:val="77EB5E49"/>
    <w:rsid w:val="79960645"/>
    <w:rsid w:val="7D0D382E"/>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99"/>
    <w:rPr>
      <w:b/>
      <w:bCs/>
    </w:rPr>
  </w:style>
  <w:style w:type="character" w:customStyle="1" w:styleId="8">
    <w:name w:val="Footer Char"/>
    <w:basedOn w:val="6"/>
    <w:link w:val="2"/>
    <w:semiHidden/>
    <w:qFormat/>
    <w:locked/>
    <w:uiPriority w:val="99"/>
    <w:rPr>
      <w:rFonts w:ascii="Calibri" w:hAnsi="Calibri" w:cs="Calibri"/>
      <w:sz w:val="18"/>
      <w:szCs w:val="18"/>
    </w:rPr>
  </w:style>
  <w:style w:type="character" w:customStyle="1" w:styleId="9">
    <w:name w:val="Header Char"/>
    <w:basedOn w:val="6"/>
    <w:link w:val="3"/>
    <w:semiHidden/>
    <w:qFormat/>
    <w:locked/>
    <w:uiPriority w:val="99"/>
    <w:rPr>
      <w:rFonts w:ascii="Calibri" w:hAnsi="Calibri" w:cs="Calibri"/>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645</Words>
  <Characters>3683</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2019-09-17T02:42:00Z</dcterms:created>
  <dc:creator>wsj</dc:creator>
  <cp:lastModifiedBy>棒棒糖</cp:lastModifiedBy>
  <cp:lastPrinted>2017-07-25T02:47:00Z</cp:lastPrinted>
  <dcterms:modified xsi:type="dcterms:W3CDTF">2021-06-19T06:36:33Z</dcterms:modified>
  <dc:title>2018年度部门决算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1474419A3EDE457E893C41B26AEFD6F0</vt:lpwstr>
  </property>
</Properties>
</file>