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中共信阳市浉河区委区直机关工作委员会</w:t>
      </w:r>
    </w:p>
    <w:p>
      <w:pPr>
        <w:jc w:val="center"/>
        <w:rPr>
          <w:rFonts w:ascii="隶书" w:hAnsi="隶书" w:eastAsia="隶书" w:cs="隶书"/>
          <w:sz w:val="52"/>
          <w:szCs w:val="52"/>
        </w:rPr>
      </w:pPr>
      <w:r>
        <w:rPr>
          <w:rFonts w:hint="eastAsia" w:ascii="隶书" w:hAnsi="隶书" w:eastAsia="隶书" w:cs="隶书"/>
          <w:sz w:val="52"/>
          <w:szCs w:val="52"/>
        </w:rPr>
        <w:t>201</w:t>
      </w:r>
      <w:r>
        <w:rPr>
          <w:rFonts w:hint="eastAsia" w:ascii="隶书" w:hAnsi="隶书" w:eastAsia="隶书" w:cs="隶书"/>
          <w:sz w:val="52"/>
          <w:szCs w:val="52"/>
          <w:lang w:val="en-US" w:eastAsia="zh-CN"/>
        </w:rPr>
        <w:t>8</w:t>
      </w:r>
      <w:r>
        <w:rPr>
          <w:rFonts w:hint="eastAsia" w:ascii="隶书" w:hAnsi="隶书" w:eastAsia="隶书" w:cs="隶书"/>
          <w:sz w:val="52"/>
          <w:szCs w:val="52"/>
        </w:rPr>
        <w:t>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hint="eastAsia" w:ascii="仿宋" w:hAnsi="仿宋" w:eastAsia="仿宋" w:cs="隶书"/>
          <w:sz w:val="32"/>
          <w:szCs w:val="32"/>
        </w:rPr>
      </w:pPr>
      <w:r>
        <w:rPr>
          <w:rFonts w:hint="eastAsia" w:ascii="仿宋" w:hAnsi="仿宋" w:eastAsia="仿宋" w:cs="隶书"/>
          <w:sz w:val="32"/>
          <w:szCs w:val="32"/>
        </w:rPr>
        <w:t>公开单位联系人：谢晨       联系方式：15083472508</w:t>
      </w: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rPr>
          <w:rFonts w:hint="default" w:ascii="仿宋" w:hAnsi="仿宋" w:eastAsia="仿宋" w:cs="隶书"/>
          <w:sz w:val="32"/>
          <w:szCs w:val="3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lang w:val="en-US" w:eastAsia="zh-CN"/>
        </w:rPr>
        <w:t xml:space="preserve">                      二〇一九年九月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中共信阳市浉河区委区直机关工作委员会</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ind w:left="1920" w:hanging="1920" w:hangingChars="600"/>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中共信阳市浉河区委区直机关工作委员会</w:t>
      </w:r>
      <w:r>
        <w:rPr>
          <w:rFonts w:hint="eastAsia" w:ascii="黑体" w:hAnsi="黑体" w:eastAsia="黑体" w:cs="黑体"/>
          <w:sz w:val="32"/>
          <w:szCs w:val="32"/>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  2018年部门决算表（Excel表格）</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一、收入支出决算总表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二、收入决算表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三、支出决算表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四、财政拨款收入支出决算总表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五、一般公共预算财政拨款支出决算表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六、一般公共预算财政拨款基本支出决算表</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七、一般公共预算财政拨款“三公”经费支出决算表</w:t>
      </w:r>
    </w:p>
    <w:p>
      <w:pPr>
        <w:jc w:val="left"/>
        <w:rPr>
          <w:rFonts w:ascii="黑体" w:hAnsi="黑体" w:eastAsia="黑体" w:cs="黑体"/>
          <w:sz w:val="32"/>
          <w:szCs w:val="32"/>
        </w:rPr>
      </w:pPr>
      <w:r>
        <w:rPr>
          <w:rFonts w:hint="eastAsia" w:ascii="黑体" w:hAnsi="黑体" w:eastAsia="黑体" w:cs="黑体"/>
          <w:sz w:val="32"/>
          <w:szCs w:val="32"/>
          <w:lang w:val="en-US" w:eastAsia="zh-CN"/>
        </w:rPr>
        <w:t>八、政府性基金预算财政拨款收入支出决算表</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中共信阳市浉河区委区直</w:t>
      </w:r>
      <w:r>
        <w:rPr>
          <w:rFonts w:hint="eastAsia" w:ascii="隶书" w:hAnsi="隶书" w:eastAsia="隶书" w:cs="隶书"/>
          <w:sz w:val="48"/>
          <w:szCs w:val="48"/>
          <w:lang w:val="en-US" w:eastAsia="zh-CN"/>
        </w:rPr>
        <w:t xml:space="preserve"> </w:t>
      </w:r>
      <w:r>
        <w:rPr>
          <w:rFonts w:hint="eastAsia" w:ascii="隶书" w:hAnsi="隶书" w:eastAsia="隶书" w:cs="隶书"/>
          <w:sz w:val="48"/>
          <w:szCs w:val="48"/>
          <w:lang w:eastAsia="zh-CN"/>
        </w:rPr>
        <w:t>机关工作委员会</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spacing w:line="360" w:lineRule="auto"/>
        <w:ind w:firstLine="960" w:firstLineChars="300"/>
        <w:jc w:val="left"/>
        <w:rPr>
          <w:rFonts w:ascii="楷体_GB2312" w:hAnsi="楷体_GB2312" w:eastAsia="楷体_GB2312" w:cs="楷体_GB2312"/>
          <w:sz w:val="32"/>
          <w:szCs w:val="32"/>
        </w:rPr>
      </w:pPr>
      <w:r>
        <w:rPr>
          <w:rFonts w:hint="eastAsia" w:ascii="仿宋_GB2312" w:eastAsia="仿宋_GB2312"/>
          <w:sz w:val="32"/>
          <w:szCs w:val="32"/>
          <w:lang w:eastAsia="zh-CN"/>
        </w:rPr>
        <w:t>中共信阳市浉河区委区直机关工作委员会</w:t>
      </w:r>
      <w:r>
        <w:rPr>
          <w:rFonts w:hint="eastAsia" w:ascii="仿宋_GB2312" w:eastAsia="仿宋_GB2312"/>
          <w:sz w:val="32"/>
          <w:szCs w:val="32"/>
        </w:rPr>
        <w:t>机关无内设职能科室和二级归口预算单位。主要职责是：负责制订区直机关党的建设规划；分类指导区直机关、企事业单位党的建设工作。指导区直机关党组织加强党的思想、组织、作风建设和党员管理教育，抓好股级以下党员干部的政治理论培训。指导区直机关党组织加强党风和廉政建设，实施对党员特别是党员领导干部的监督；了解党员和群众对部门领导干部的意见，及时向区委反映领导班子和领导干部的情况和问题。指导区直机关党组织配合单位行政领导做好思想政治工作。领导区直部门机关党的纪检工作，按照干部管理权限，呈报和审批党员干部违反党纪的处理决定。检查指导区直机关发展党员工作，审批不设党委的单位吸收新党员和预备党员转正。负责党员统计和党费收缴工作。审批区直机关党组织设置，考核、任免党组织成员职务。领导和协调区直机关群团工作。完成区委交办的其他任务。</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中共信阳市浉河区委区直机关工作委员会</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年度部门决算编制范围的单位包括：</w:t>
      </w:r>
      <w:r>
        <w:rPr>
          <w:rFonts w:hint="eastAsia" w:ascii="仿宋_GB2312" w:hAnsi="仿宋_GB2312" w:eastAsia="仿宋_GB2312" w:cs="仿宋_GB2312"/>
          <w:sz w:val="32"/>
          <w:szCs w:val="32"/>
          <w:lang w:eastAsia="zh-CN"/>
        </w:rPr>
        <w:t>中共信阳市浉河区委区直机关工作委员会</w:t>
      </w:r>
      <w:r>
        <w:rPr>
          <w:rFonts w:hint="eastAsia" w:ascii="仿宋_GB2312" w:hAnsi="仿宋_GB2312" w:eastAsia="仿宋_GB2312" w:cs="仿宋_GB2312"/>
          <w:sz w:val="32"/>
          <w:szCs w:val="32"/>
        </w:rPr>
        <w:t>本级</w:t>
      </w:r>
    </w:p>
    <w:p>
      <w:pPr>
        <w:jc w:val="left"/>
        <w:rPr>
          <w:rFonts w:ascii="黑体" w:hAnsi="黑体" w:eastAsia="黑体" w:cs="黑体"/>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eastAsia="zh-CN"/>
        </w:rPr>
        <w:t>中共信阳市浉河区委区直机关工作委员会</w:t>
      </w:r>
      <w:r>
        <w:rPr>
          <w:rFonts w:hint="eastAsia" w:ascii="仿宋_GB2312" w:hAnsi="仿宋_GB2312" w:eastAsia="仿宋_GB2312" w:cs="仿宋_GB2312"/>
          <w:sz w:val="32"/>
          <w:szCs w:val="32"/>
        </w:rPr>
        <w:t>按照人员分工未设置二级机构和处室。</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val="en-US" w:eastAsia="zh-CN"/>
        </w:rPr>
        <w:t>二</w:t>
      </w:r>
      <w:r>
        <w:rPr>
          <w:rFonts w:hint="eastAsia" w:ascii="隶书" w:hAnsi="隶书" w:eastAsia="隶书" w:cs="隶书"/>
          <w:sz w:val="48"/>
          <w:szCs w:val="48"/>
        </w:rPr>
        <w:t>部分</w:t>
      </w:r>
    </w:p>
    <w:p>
      <w:pPr>
        <w:jc w:val="center"/>
        <w:rPr>
          <w:rFonts w:ascii="隶书" w:hAnsi="隶书" w:eastAsia="隶书" w:cs="隶书"/>
          <w:sz w:val="48"/>
          <w:szCs w:val="48"/>
        </w:rPr>
      </w:pP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中共信阳市浉河区委区直机关工作委员会</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w:t>
      </w:r>
      <w:r>
        <w:rPr>
          <w:rFonts w:hint="eastAsia" w:ascii="隶书" w:hAnsi="隶书" w:eastAsia="隶书" w:cs="隶书"/>
          <w:sz w:val="48"/>
          <w:szCs w:val="48"/>
          <w:lang w:val="en-US" w:eastAsia="zh-CN"/>
        </w:rPr>
        <w:t>8</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2018年度收入、支出总计均为49.58万元，与2017年相比，收、支总计均减少9.53 万元，下</w:t>
      </w:r>
      <w:r>
        <w:rPr>
          <w:rFonts w:hint="eastAsia" w:ascii="仿宋_GB2312" w:hAnsi="宋体" w:eastAsia="仿宋_GB2312" w:cs="Courier New"/>
          <w:sz w:val="32"/>
          <w:szCs w:val="32"/>
          <w:lang w:val="en-US" w:eastAsia="zh-CN"/>
        </w:rPr>
        <w:t>降16.13</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val="en-US" w:eastAsia="zh-CN"/>
        </w:rPr>
        <w:t>小</w:t>
      </w:r>
      <w:r>
        <w:rPr>
          <w:rFonts w:hint="eastAsia" w:ascii="仿宋_GB2312" w:hAnsi="宋体" w:eastAsia="仿宋_GB2312" w:cs="Courier New"/>
          <w:sz w:val="32"/>
          <w:szCs w:val="32"/>
        </w:rPr>
        <w:t>于去年决算数的主要原因是党建活动由组织部统一支付经费。</w:t>
      </w: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宋体" w:eastAsia="仿宋_GB2312" w:cs="Courier New"/>
          <w:sz w:val="32"/>
          <w:szCs w:val="32"/>
        </w:rPr>
        <w:t>48.82</w:t>
      </w:r>
      <w:r>
        <w:rPr>
          <w:rFonts w:hint="eastAsia" w:ascii="仿宋_GB2312" w:hAnsi="Times New Roman" w:eastAsia="仿宋_GB2312"/>
          <w:sz w:val="32"/>
          <w:szCs w:val="32"/>
        </w:rPr>
        <w:t>万元，其中：财政拨款收入</w:t>
      </w:r>
      <w:r>
        <w:rPr>
          <w:rFonts w:hint="eastAsia" w:ascii="仿宋_GB2312" w:hAnsi="宋体" w:eastAsia="仿宋_GB2312" w:cs="Courier New"/>
          <w:sz w:val="32"/>
          <w:szCs w:val="32"/>
        </w:rPr>
        <w:t>48.82</w:t>
      </w:r>
      <w:r>
        <w:rPr>
          <w:rFonts w:hint="eastAsia" w:ascii="仿宋_GB2312" w:hAnsi="Times New Roman" w:eastAsia="仿宋_GB2312"/>
          <w:sz w:val="32"/>
          <w:szCs w:val="32"/>
        </w:rPr>
        <w:t>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；事业收入0万元，经营收入0万元，其他收入0万元。</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41.75</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41.75</w:t>
      </w:r>
      <w:r>
        <w:rPr>
          <w:rFonts w:hint="eastAsia" w:ascii="仿宋_GB2312" w:hAnsi="宋体" w:eastAsia="仿宋_GB2312" w:cs="Courier New"/>
          <w:sz w:val="32"/>
          <w:szCs w:val="32"/>
        </w:rPr>
        <w:t>万元，占100</w:t>
      </w:r>
      <w:r>
        <w:rPr>
          <w:rFonts w:ascii="仿宋_GB2312" w:hAnsi="宋体" w:eastAsia="仿宋_GB2312" w:cs="Courier New"/>
          <w:sz w:val="32"/>
          <w:szCs w:val="32"/>
        </w:rPr>
        <w:t>%</w:t>
      </w:r>
      <w:r>
        <w:rPr>
          <w:rFonts w:hint="eastAsia" w:ascii="仿宋_GB2312" w:hAnsi="宋体" w:eastAsia="仿宋_GB2312" w:cs="Courier New"/>
          <w:sz w:val="32"/>
          <w:szCs w:val="32"/>
        </w:rPr>
        <w:t>；项目支出0万元，经营支出0万元。</w:t>
      </w:r>
    </w:p>
    <w:p>
      <w:pPr>
        <w:adjustRightInd w:val="0"/>
        <w:snapToGrid w:val="0"/>
        <w:spacing w:line="360" w:lineRule="auto"/>
        <w:ind w:firstLine="640" w:firstLineChars="200"/>
        <w:rPr>
          <w:rFonts w:ascii="仿宋_GB2312" w:hAnsi="Times New Roman" w:eastAsia="仿宋_GB2312"/>
          <w:sz w:val="32"/>
          <w:szCs w:val="32"/>
        </w:rPr>
      </w:pPr>
      <w:bookmarkStart w:id="0" w:name="_GoBack"/>
      <w:bookmarkEnd w:id="0"/>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仿宋_GB2312" w:hAnsi="宋体" w:eastAsia="仿宋_GB2312" w:cs="Courier New"/>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2018年度财政拨款收入、支出总计均为49.58万元，与2017年相比，收、支总计均减少9.53 万元，下</w:t>
      </w:r>
      <w:r>
        <w:rPr>
          <w:rFonts w:hint="eastAsia" w:ascii="仿宋_GB2312" w:hAnsi="宋体" w:eastAsia="仿宋_GB2312" w:cs="Courier New"/>
          <w:sz w:val="32"/>
          <w:szCs w:val="32"/>
          <w:lang w:val="en-US" w:eastAsia="zh-CN"/>
        </w:rPr>
        <w:t>降16.13</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val="en-US" w:eastAsia="zh-CN"/>
        </w:rPr>
        <w:t>小</w:t>
      </w:r>
      <w:r>
        <w:rPr>
          <w:rFonts w:hint="eastAsia" w:ascii="仿宋_GB2312" w:hAnsi="宋体" w:eastAsia="仿宋_GB2312" w:cs="Courier New"/>
          <w:sz w:val="32"/>
          <w:szCs w:val="32"/>
        </w:rPr>
        <w:t>于去年决算数的主要原因是党建活动由组织部统一支付经费。</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41.75</w:t>
      </w:r>
      <w:r>
        <w:rPr>
          <w:rFonts w:hint="eastAsia" w:ascii="仿宋_GB2312" w:hAnsi="宋体" w:eastAsia="仿宋_GB2312" w:cs="Courier New"/>
          <w:sz w:val="32"/>
          <w:szCs w:val="32"/>
        </w:rPr>
        <w:t>万元，占支出合计的100%。与201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年相比，一般公共预算财政拨款支出减少</w:t>
      </w:r>
      <w:r>
        <w:rPr>
          <w:rFonts w:hint="eastAsia" w:ascii="仿宋_GB2312" w:hAnsi="宋体" w:eastAsia="仿宋_GB2312" w:cs="Courier New"/>
          <w:sz w:val="32"/>
          <w:szCs w:val="32"/>
          <w:lang w:val="en-US" w:eastAsia="zh-CN"/>
        </w:rPr>
        <w:t>11.1</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21</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41.75</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支出33.09万元，占</w:t>
      </w:r>
      <w:r>
        <w:rPr>
          <w:rFonts w:hint="eastAsia" w:ascii="仿宋_GB2312" w:hAnsi="宋体" w:eastAsia="仿宋_GB2312" w:cs="Courier New"/>
          <w:sz w:val="32"/>
          <w:szCs w:val="32"/>
          <w:lang w:val="en-US" w:eastAsia="zh-CN"/>
        </w:rPr>
        <w:t>79.3</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社会保障和就业支出</w:t>
      </w:r>
      <w:r>
        <w:rPr>
          <w:rFonts w:hint="eastAsia" w:ascii="仿宋_GB2312" w:hAnsi="宋体" w:eastAsia="仿宋_GB2312" w:cs="Courier New"/>
          <w:sz w:val="32"/>
          <w:szCs w:val="32"/>
        </w:rPr>
        <w:t>支出5.63万元，占</w:t>
      </w:r>
      <w:r>
        <w:rPr>
          <w:rFonts w:hint="eastAsia" w:ascii="仿宋_GB2312" w:hAnsi="宋体" w:eastAsia="仿宋_GB2312" w:cs="Courier New"/>
          <w:sz w:val="32"/>
          <w:szCs w:val="32"/>
          <w:lang w:val="en-US" w:eastAsia="zh-CN"/>
        </w:rPr>
        <w:t>13.5</w:t>
      </w:r>
      <w:r>
        <w:rPr>
          <w:rFonts w:hint="eastAsia" w:ascii="仿宋_GB2312" w:hAnsi="宋体" w:eastAsia="仿宋_GB2312" w:cs="Courier New"/>
          <w:sz w:val="32"/>
          <w:szCs w:val="32"/>
        </w:rPr>
        <w:t>%；医疗卫生与计划生育支出支出1.13万元，占2.7%，住房保障支出1.89万元，占</w:t>
      </w:r>
      <w:r>
        <w:rPr>
          <w:rFonts w:hint="eastAsia" w:ascii="仿宋_GB2312" w:hAnsi="宋体" w:eastAsia="仿宋_GB2312" w:cs="Courier New"/>
          <w:sz w:val="32"/>
          <w:szCs w:val="32"/>
          <w:lang w:val="en-US" w:eastAsia="zh-CN"/>
        </w:rPr>
        <w:t>4.5</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年度一般公共预算财政拨款支出年初预算为36.</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41.75</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113</w:t>
      </w:r>
      <w:r>
        <w:rPr>
          <w:rFonts w:hint="eastAsia" w:ascii="仿宋_GB2312" w:hAnsi="宋体" w:eastAsia="仿宋_GB2312" w:cs="Courier New"/>
          <w:sz w:val="32"/>
          <w:szCs w:val="32"/>
        </w:rPr>
        <w:t>%。决算数大于预算数的主要原因：区委组织部党建活动经费由工委账户下拨至基层党组织。</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一般公共服务（类）党委办公厅/室及相关机构事务（款）行政运行（项）。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22.56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23.26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103</w:t>
      </w:r>
      <w:r>
        <w:rPr>
          <w:rFonts w:hint="eastAsia" w:ascii="仿宋_GB2312" w:hAnsi="宋体" w:eastAsia="仿宋_GB2312" w:cs="Courier New"/>
          <w:sz w:val="32"/>
          <w:szCs w:val="32"/>
        </w:rPr>
        <w:t>%。决算数大于预算数的主要原因是党建任务加重。</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一般公共服务（类）党委办公厅/室及相关机构事务（款）其他党委办公厅（室）及相关机构事务支出（项）</w:t>
      </w:r>
      <w:r>
        <w:rPr>
          <w:rFonts w:hint="eastAsia" w:ascii="仿宋_GB2312" w:hAnsi="宋体" w:eastAsia="仿宋_GB2312" w:cs="Courier New"/>
          <w:b/>
          <w:bCs/>
          <w:sz w:val="32"/>
          <w:szCs w:val="32"/>
          <w:lang w:eastAsia="zh-CN"/>
        </w:rPr>
        <w:t>。</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9.84</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9.84</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无差异</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社会保障和就业支出（类）财政对基本养老保险基金的补助（款） 财政对其他基本养老保险基金的补助（项）。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2.1</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5.63</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268</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大于</w:t>
      </w:r>
      <w:r>
        <w:rPr>
          <w:rFonts w:hint="eastAsia" w:ascii="仿宋_GB2312" w:hAnsi="宋体" w:eastAsia="仿宋_GB2312" w:cs="Courier New"/>
          <w:sz w:val="32"/>
          <w:szCs w:val="32"/>
        </w:rPr>
        <w:t>预算数的主要原因</w:t>
      </w:r>
      <w:r>
        <w:rPr>
          <w:rFonts w:hint="eastAsia" w:ascii="仿宋_GB2312" w:hAnsi="宋体" w:eastAsia="仿宋_GB2312" w:cs="Courier New"/>
          <w:sz w:val="32"/>
          <w:szCs w:val="32"/>
          <w:lang w:eastAsia="zh-CN"/>
        </w:rPr>
        <w:t>有人员调入</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医疗卫生与计划生育支出（类）财政对基本医疗保险基金的补助（款）财政对其他基本医疗保险基金的补助（项）。</w:t>
      </w:r>
      <w:r>
        <w:rPr>
          <w:rFonts w:hint="eastAsia" w:ascii="仿宋_GB2312" w:hAnsi="宋体" w:eastAsia="仿宋_GB2312" w:cs="Courier New"/>
          <w:sz w:val="32"/>
          <w:szCs w:val="32"/>
        </w:rPr>
        <w:t>年初预算为0.9万元，支出决算为1.1</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万元，完成年初预算的1</w:t>
      </w:r>
      <w:r>
        <w:rPr>
          <w:rFonts w:hint="eastAsia" w:ascii="仿宋_GB2312" w:hAnsi="宋体" w:eastAsia="仿宋_GB2312" w:cs="Courier New"/>
          <w:sz w:val="32"/>
          <w:szCs w:val="32"/>
          <w:lang w:val="en-US" w:eastAsia="zh-CN"/>
        </w:rPr>
        <w:t>26</w:t>
      </w:r>
      <w:r>
        <w:rPr>
          <w:rFonts w:hint="eastAsia" w:ascii="仿宋_GB2312" w:hAnsi="宋体" w:eastAsia="仿宋_GB2312" w:cs="Courier New"/>
          <w:sz w:val="32"/>
          <w:szCs w:val="32"/>
        </w:rPr>
        <w:t>%。决算数大于预算数的主要原因是医疗保险基数增加。</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住房保障支出（类）住房改革支出（款）  住房公积金（项）。</w:t>
      </w:r>
      <w:r>
        <w:rPr>
          <w:rFonts w:hint="eastAsia" w:ascii="仿宋_GB2312" w:hAnsi="宋体" w:eastAsia="仿宋_GB2312" w:cs="Courier New"/>
          <w:sz w:val="32"/>
          <w:szCs w:val="32"/>
        </w:rPr>
        <w:t>年初预算为1.4万元，支出决算为1.</w:t>
      </w:r>
      <w:r>
        <w:rPr>
          <w:rFonts w:hint="eastAsia" w:ascii="仿宋_GB2312" w:hAnsi="宋体" w:eastAsia="仿宋_GB2312" w:cs="Courier New"/>
          <w:sz w:val="32"/>
          <w:szCs w:val="32"/>
          <w:lang w:val="en-US" w:eastAsia="zh-CN"/>
        </w:rPr>
        <w:t>89</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135</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大于</w:t>
      </w:r>
      <w:r>
        <w:rPr>
          <w:rFonts w:hint="eastAsia" w:ascii="仿宋_GB2312" w:hAnsi="宋体" w:eastAsia="仿宋_GB2312" w:cs="Courier New"/>
          <w:sz w:val="32"/>
          <w:szCs w:val="32"/>
        </w:rPr>
        <w:t>预算数的主要原因是</w:t>
      </w:r>
      <w:r>
        <w:rPr>
          <w:rFonts w:hint="eastAsia" w:ascii="仿宋_GB2312" w:hAnsi="宋体" w:eastAsia="仿宋_GB2312" w:cs="Courier New"/>
          <w:sz w:val="32"/>
          <w:szCs w:val="32"/>
          <w:lang w:eastAsia="zh-CN"/>
        </w:rPr>
        <w:t>有人员调入</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41.75</w:t>
      </w:r>
      <w:r>
        <w:rPr>
          <w:rFonts w:hint="eastAsia" w:ascii="仿宋_GB2312" w:hAnsi="宋体" w:eastAsia="仿宋_GB2312" w:cs="Courier New"/>
          <w:sz w:val="32"/>
          <w:szCs w:val="32"/>
        </w:rPr>
        <w:t>万元，其中：</w:t>
      </w:r>
      <w:r>
        <w:rPr>
          <w:rFonts w:hint="eastAsia" w:ascii="仿宋_GB2312" w:hAnsi="Times New Roman" w:eastAsia="仿宋_GB2312" w:cs="仿宋_GB2312"/>
          <w:b/>
          <w:bCs w:val="0"/>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31.39</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主要包括：基本工资、津贴补贴、绩效工资；</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10.36</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，主要包括：办公费用。</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1.2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0.2</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17</w:t>
      </w:r>
      <w:r>
        <w:rPr>
          <w:rFonts w:hint="eastAsia" w:ascii="仿宋_GB2312" w:hAnsi="宋体" w:eastAsia="仿宋_GB2312" w:cs="Courier New"/>
          <w:sz w:val="32"/>
          <w:szCs w:val="32"/>
        </w:rPr>
        <w:t>%，其中：因公出国（境）费支出决算为0万元，完成预算的0%；公务用车购置及运行费支出决算为0万元，完成预算的0%；公务接待费支出决算为</w:t>
      </w:r>
      <w:r>
        <w:rPr>
          <w:rFonts w:hint="eastAsia" w:ascii="仿宋_GB2312" w:hAnsi="宋体" w:eastAsia="仿宋_GB2312" w:cs="Courier New"/>
          <w:sz w:val="32"/>
          <w:szCs w:val="32"/>
          <w:lang w:val="en-US" w:eastAsia="zh-CN"/>
        </w:rPr>
        <w:t>0.2</w:t>
      </w:r>
      <w:r>
        <w:rPr>
          <w:rFonts w:hint="eastAsia" w:ascii="仿宋_GB2312" w:hAnsi="宋体" w:eastAsia="仿宋_GB2312" w:cs="Courier New"/>
          <w:sz w:val="32"/>
          <w:szCs w:val="32"/>
        </w:rPr>
        <w:t>万元，完成预算的1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年度“三公”经费支出决算数小于预算数的主要原因是严格限制公务接待费用。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年度“三公”经费财政拨款支出决算数比201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83</w:t>
      </w:r>
      <w:r>
        <w:rPr>
          <w:rFonts w:hint="eastAsia" w:ascii="仿宋_GB2312" w:hAnsi="宋体" w:eastAsia="仿宋_GB2312" w:cs="Courier New"/>
          <w:sz w:val="32"/>
          <w:szCs w:val="32"/>
        </w:rPr>
        <w:t>%，其中：因公出国（境）费支出决算增加0万元，增长0%；公务用车购置及运行费支出决算增加0万元，增长0%；公务接待费支出决算减少</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83</w:t>
      </w:r>
      <w:r>
        <w:rPr>
          <w:rFonts w:hint="eastAsia" w:ascii="仿宋_GB2312" w:hAnsi="宋体" w:eastAsia="仿宋_GB2312" w:cs="Courier New"/>
          <w:sz w:val="32"/>
          <w:szCs w:val="32"/>
        </w:rPr>
        <w:t>%。公务接待费支出减少的主要原因是严格限制公务接待费用。</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年度“三公”经费财政拨款支出决算中，因公出国（境）费支出决算0万元，占0%；公务用车购置及运行费支出决算0万元，占0%；公务接待费支出决算</w:t>
      </w:r>
      <w:r>
        <w:rPr>
          <w:rFonts w:hint="eastAsia" w:ascii="仿宋_GB2312" w:hAnsi="宋体" w:eastAsia="仿宋_GB2312" w:cs="Courier New"/>
          <w:sz w:val="32"/>
          <w:szCs w:val="32"/>
          <w:lang w:val="en-US" w:eastAsia="zh-CN"/>
        </w:rPr>
        <w:t>0.2</w:t>
      </w:r>
      <w:r>
        <w:rPr>
          <w:rFonts w:hint="eastAsia" w:ascii="仿宋_GB2312" w:hAnsi="宋体" w:eastAsia="仿宋_GB2312" w:cs="Courier New"/>
          <w:sz w:val="32"/>
          <w:szCs w:val="32"/>
        </w:rPr>
        <w:t>万元，占100%。具体情况如下：</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lang w:val="en-US" w:eastAsia="zh-CN"/>
        </w:rPr>
        <w:t>1、</w:t>
      </w: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支出0万元。全年安排厅（局）机关因公出国（境）团组0个，累计0人次。</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支出支出0万元。</w:t>
      </w:r>
    </w:p>
    <w:p>
      <w:pPr>
        <w:numPr>
          <w:ilvl w:val="0"/>
          <w:numId w:val="0"/>
        </w:numPr>
        <w:kinsoku w:val="0"/>
        <w:overflowPunct w:val="0"/>
        <w:autoSpaceDE w:val="0"/>
        <w:autoSpaceDN w:val="0"/>
        <w:adjustRightInd w:val="0"/>
        <w:snapToGrid w:val="0"/>
        <w:spacing w:line="360" w:lineRule="auto"/>
        <w:ind w:leftChars="200" w:firstLine="321" w:firstLineChars="1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2、</w:t>
      </w: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支出0万元。其中：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eastAsia="zh-CN"/>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r>
        <w:rPr>
          <w:rFonts w:hint="eastAsia" w:ascii="仿宋_GB2312" w:hAnsi="宋体" w:eastAsia="仿宋_GB2312" w:cs="Courier New"/>
          <w:sz w:val="32"/>
          <w:szCs w:val="32"/>
          <w:lang w:eastAsia="zh-CN"/>
        </w:rPr>
        <w:t>（公车购置数为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支出0万元。</w:t>
      </w:r>
      <w:r>
        <w:rPr>
          <w:rFonts w:hint="eastAsia" w:ascii="仿宋_GB2312" w:hAnsi="宋体" w:eastAsia="仿宋_GB2312" w:cs="Courier New"/>
          <w:sz w:val="32"/>
          <w:szCs w:val="32"/>
          <w:lang w:eastAsia="zh-CN"/>
        </w:rPr>
        <w:t>公车保有量为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0"/>
        </w:numPr>
        <w:kinsoku w:val="0"/>
        <w:overflowPunct w:val="0"/>
        <w:autoSpaceDE w:val="0"/>
        <w:autoSpaceDN w:val="0"/>
        <w:adjustRightInd w:val="0"/>
        <w:snapToGrid w:val="0"/>
        <w:spacing w:line="360" w:lineRule="auto"/>
        <w:ind w:leftChars="200" w:firstLine="321" w:firstLineChars="1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3、</w:t>
      </w: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0.2</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0.2</w:t>
      </w:r>
      <w:r>
        <w:rPr>
          <w:rFonts w:hint="eastAsia" w:ascii="仿宋_GB2312" w:hAnsi="宋体" w:eastAsia="仿宋_GB2312" w:cs="Courier New"/>
          <w:sz w:val="32"/>
          <w:szCs w:val="32"/>
        </w:rPr>
        <w:t>万元，共计</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批次</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人次。主要用于日常公务接待。</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w:t>
      </w:r>
      <w:r>
        <w:rPr>
          <w:rFonts w:hint="eastAsia" w:ascii="仿宋_GB2312" w:eastAsia="仿宋_GB2312"/>
          <w:kern w:val="2"/>
          <w:sz w:val="32"/>
          <w:szCs w:val="32"/>
          <w:lang w:eastAsia="zh-CN"/>
        </w:rPr>
        <w:t>全</w:t>
      </w:r>
      <w:r>
        <w:rPr>
          <w:rFonts w:hint="eastAsia" w:ascii="仿宋_GB2312" w:eastAsia="仿宋_GB2312"/>
          <w:kern w:val="2"/>
          <w:sz w:val="32"/>
          <w:szCs w:val="32"/>
        </w:rPr>
        <w:t>年共接待国（境）外来访团组</w:t>
      </w:r>
      <w:r>
        <w:rPr>
          <w:rFonts w:hint="eastAsia" w:ascii="仿宋_GB2312" w:eastAsia="仿宋_GB2312"/>
          <w:kern w:val="2"/>
          <w:sz w:val="32"/>
          <w:szCs w:val="32"/>
          <w:lang w:val="en-US" w:eastAsia="zh-CN"/>
        </w:rPr>
        <w:t>0</w:t>
      </w:r>
      <w:r>
        <w:rPr>
          <w:rFonts w:hint="eastAsia" w:ascii="仿宋_GB2312" w:eastAsia="仿宋_GB2312"/>
          <w:kern w:val="2"/>
          <w:sz w:val="32"/>
          <w:szCs w:val="32"/>
        </w:rPr>
        <w:t>个、来访外宾</w:t>
      </w:r>
      <w:r>
        <w:rPr>
          <w:rFonts w:hint="eastAsia" w:ascii="仿宋_GB2312" w:eastAsia="仿宋_GB2312"/>
          <w:kern w:val="2"/>
          <w:sz w:val="32"/>
          <w:szCs w:val="32"/>
          <w:lang w:val="en-US" w:eastAsia="zh-CN"/>
        </w:rPr>
        <w:t>0</w:t>
      </w:r>
      <w:r>
        <w:rPr>
          <w:rFonts w:hint="eastAsia" w:ascii="仿宋_GB2312" w:eastAsia="仿宋_GB2312"/>
          <w:kern w:val="2"/>
          <w:sz w:val="32"/>
          <w:szCs w:val="32"/>
        </w:rPr>
        <w:t>人次（不包括陪同人员）。</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根据财政预算管理要求，工委对201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年度一般公共预算项目支出全面开展绩效自评。其中，一级项目0个，二级项目0个，共涉及预算资金0万元，自评覆盖率达到0%。</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中共信阳市浉河区委区直机关工作委员会</w:t>
      </w:r>
      <w:r>
        <w:rPr>
          <w:rFonts w:hint="eastAsia" w:ascii="仿宋_GB2312" w:hAnsi="宋体" w:eastAsia="仿宋_GB2312" w:cs="Courier New"/>
          <w:sz w:val="32"/>
          <w:szCs w:val="32"/>
        </w:rPr>
        <w:t>在201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年度部门决算中未增加项目绩效评价结果。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年度政府性基金预算财政拨款支出年初预算为0万元，支出决算为0万元，完成年初预算的0%。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10.36</w:t>
      </w:r>
      <w:r>
        <w:rPr>
          <w:rFonts w:hint="eastAsia" w:ascii="仿宋_GB2312" w:hAnsi="宋体" w:eastAsia="仿宋_GB2312" w:cs="Courier New"/>
          <w:sz w:val="32"/>
          <w:szCs w:val="32"/>
        </w:rPr>
        <w:t>万元，比201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7.64</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42.4</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中共信阳市浉河区委区直机关工作委员会</w:t>
      </w:r>
      <w:r>
        <w:rPr>
          <w:rFonts w:hint="eastAsia" w:ascii="仿宋_GB2312" w:hAnsi="宋体" w:eastAsia="仿宋_GB2312" w:cs="Courier New"/>
          <w:sz w:val="32"/>
          <w:szCs w:val="32"/>
        </w:rPr>
        <w:t>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auto"/>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w:t>
      </w:r>
      <w:r>
        <w:rPr>
          <w:rFonts w:hint="eastAsia" w:ascii="仿宋_GB2312" w:hAnsi="宋体" w:eastAsia="仿宋_GB2312" w:cs="Courier New"/>
          <w:color w:val="auto"/>
          <w:sz w:val="32"/>
          <w:szCs w:val="32"/>
        </w:rPr>
        <w:t>年按有关规定继续使用的资金。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color w:val="auto"/>
          <w:sz w:val="32"/>
          <w:szCs w:val="32"/>
        </w:rPr>
        <w:t>一般公共服务（类）财政事务（款）行政运行（项）（请根据单位实际情况，参照《2017年政府收支分类科目》和对口中央部门决算公开信息填写）：</w:t>
      </w:r>
      <w:r>
        <w:rPr>
          <w:rFonts w:hint="eastAsia" w:ascii="仿宋_GB2312" w:hAnsi="宋体" w:eastAsia="仿宋_GB2312" w:cs="Courier New"/>
          <w:color w:val="auto"/>
          <w:sz w:val="32"/>
          <w:szCs w:val="32"/>
        </w:rPr>
        <w:t>是指</w:t>
      </w:r>
      <w:r>
        <w:rPr>
          <w:rFonts w:hint="eastAsia" w:ascii="仿宋_GB2312" w:hAnsi="宋体" w:eastAsia="仿宋_GB2312" w:cs="Courier New"/>
          <w:sz w:val="32"/>
          <w:szCs w:val="32"/>
        </w:rPr>
        <w:t>ＸＸ厅（局）用于保障机构正常运行、开展日常工作的基本支出。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8">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9">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0BE7"/>
    <w:rsid w:val="00172A27"/>
    <w:rsid w:val="002534ED"/>
    <w:rsid w:val="003762B5"/>
    <w:rsid w:val="00451F26"/>
    <w:rsid w:val="00603B5C"/>
    <w:rsid w:val="00630D31"/>
    <w:rsid w:val="00783862"/>
    <w:rsid w:val="00AD527E"/>
    <w:rsid w:val="00B54309"/>
    <w:rsid w:val="00B84FB0"/>
    <w:rsid w:val="00EE0BEE"/>
    <w:rsid w:val="00F93487"/>
    <w:rsid w:val="01064770"/>
    <w:rsid w:val="040D3547"/>
    <w:rsid w:val="04453648"/>
    <w:rsid w:val="09BB2134"/>
    <w:rsid w:val="13DA4090"/>
    <w:rsid w:val="15492582"/>
    <w:rsid w:val="1AA061FF"/>
    <w:rsid w:val="1BB26345"/>
    <w:rsid w:val="1C184C86"/>
    <w:rsid w:val="1E7D3B34"/>
    <w:rsid w:val="209C4FF0"/>
    <w:rsid w:val="240B206D"/>
    <w:rsid w:val="24562D97"/>
    <w:rsid w:val="258F34D6"/>
    <w:rsid w:val="2948112A"/>
    <w:rsid w:val="2ABA7A74"/>
    <w:rsid w:val="2BA4769A"/>
    <w:rsid w:val="2C445961"/>
    <w:rsid w:val="2CD06EF4"/>
    <w:rsid w:val="2CE71B06"/>
    <w:rsid w:val="32EF40CE"/>
    <w:rsid w:val="372974AC"/>
    <w:rsid w:val="3CE47224"/>
    <w:rsid w:val="42271DDB"/>
    <w:rsid w:val="48036E61"/>
    <w:rsid w:val="48847B89"/>
    <w:rsid w:val="48B52937"/>
    <w:rsid w:val="48EE3EF3"/>
    <w:rsid w:val="4972454D"/>
    <w:rsid w:val="4C1E2F28"/>
    <w:rsid w:val="50F9662E"/>
    <w:rsid w:val="51AD42DE"/>
    <w:rsid w:val="53866AE6"/>
    <w:rsid w:val="53E9756D"/>
    <w:rsid w:val="5651051D"/>
    <w:rsid w:val="57BB5F84"/>
    <w:rsid w:val="57E961A8"/>
    <w:rsid w:val="581E77CF"/>
    <w:rsid w:val="58B06254"/>
    <w:rsid w:val="59E3092F"/>
    <w:rsid w:val="5AF25131"/>
    <w:rsid w:val="5F3A0145"/>
    <w:rsid w:val="5F7B61C4"/>
    <w:rsid w:val="600176AC"/>
    <w:rsid w:val="627358F6"/>
    <w:rsid w:val="6431638A"/>
    <w:rsid w:val="664A46E0"/>
    <w:rsid w:val="674E08EC"/>
    <w:rsid w:val="6A2415C4"/>
    <w:rsid w:val="6C2F3976"/>
    <w:rsid w:val="6E3431F2"/>
    <w:rsid w:val="737A5BE5"/>
    <w:rsid w:val="73F1196C"/>
    <w:rsid w:val="75531EF6"/>
    <w:rsid w:val="75D0003D"/>
    <w:rsid w:val="779E3F57"/>
    <w:rsid w:val="79960645"/>
    <w:rsid w:val="7D0D382E"/>
    <w:rsid w:val="7D82493B"/>
    <w:rsid w:val="7E5B5875"/>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5"/>
    <w:qFormat/>
    <w:uiPriority w:val="0"/>
    <w:rPr>
      <w:rFonts w:ascii="Arial" w:hAnsi="Arial" w:cs="Arial"/>
      <w:color w:val="000000"/>
      <w:sz w:val="16"/>
      <w:szCs w:val="16"/>
      <w:u w:val="none"/>
    </w:rPr>
  </w:style>
  <w:style w:type="character" w:customStyle="1" w:styleId="7">
    <w:name w:val="font01"/>
    <w:basedOn w:val="5"/>
    <w:qFormat/>
    <w:uiPriority w:val="0"/>
    <w:rPr>
      <w:rFonts w:hint="default" w:ascii="Arial" w:hAnsi="Arial" w:cs="Arial"/>
      <w:color w:val="000000"/>
      <w:sz w:val="16"/>
      <w:szCs w:val="16"/>
      <w:u w:val="none"/>
    </w:rPr>
  </w:style>
  <w:style w:type="character" w:customStyle="1" w:styleId="8">
    <w:name w:val="font4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728</Words>
  <Characters>4156</Characters>
  <Lines>34</Lines>
  <Paragraphs>9</Paragraphs>
  <TotalTime>9</TotalTime>
  <ScaleCrop>false</ScaleCrop>
  <LinksUpToDate>false</LinksUpToDate>
  <CharactersWithSpaces>4875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2021-06-19T07:13:18Z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A2ADF03135244A43AE22CB99A502DB57</vt:lpwstr>
  </property>
</Properties>
</file>