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河南省信阳市浉河区司法局</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2018年度部门决算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公开单位联系人：曹燕          联系方式：0376-6652256</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center" w:pos="4153"/>
        </w:tabs>
        <w:bidi w:val="0"/>
        <w:jc w:val="left"/>
        <w:rPr>
          <w:rFonts w:hint="eastAsia"/>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lang w:val="en-US" w:eastAsia="zh-CN"/>
        </w:rPr>
        <w:tab/>
        <w:t>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河南省信阳市浉河区司法局</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河南省信阳市浉河区司法局</w:t>
      </w:r>
      <w:r>
        <w:rPr>
          <w:rFonts w:hint="eastAsia" w:ascii="黑体" w:hAnsi="黑体" w:eastAsia="黑体" w:cs="黑体"/>
          <w:sz w:val="32"/>
          <w:szCs w:val="32"/>
        </w:rPr>
        <w:t>2018年度部门决算情况说明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附表  2018年部门决算表（Excel表格）</w:t>
      </w:r>
    </w:p>
    <w:p>
      <w:pPr>
        <w:jc w:val="left"/>
        <w:rPr>
          <w:rFonts w:hint="eastAsia" w:ascii="黑体" w:hAnsi="黑体" w:eastAsia="黑体" w:cs="黑体"/>
          <w:sz w:val="32"/>
          <w:szCs w:val="32"/>
        </w:rPr>
      </w:pPr>
      <w:r>
        <w:rPr>
          <w:rFonts w:hint="eastAsia" w:ascii="黑体" w:hAnsi="黑体" w:eastAsia="黑体" w:cs="黑体"/>
          <w:sz w:val="32"/>
          <w:szCs w:val="32"/>
        </w:rPr>
        <w:t>一、收入支出决算总表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二、收入决算表</w:t>
      </w:r>
    </w:p>
    <w:p>
      <w:pPr>
        <w:jc w:val="left"/>
        <w:rPr>
          <w:rFonts w:hint="eastAsia" w:ascii="黑体" w:hAnsi="黑体" w:eastAsia="黑体" w:cs="黑体"/>
          <w:sz w:val="32"/>
          <w:szCs w:val="32"/>
        </w:rPr>
      </w:pPr>
      <w:r>
        <w:rPr>
          <w:rFonts w:hint="eastAsia" w:ascii="黑体" w:hAnsi="黑体" w:eastAsia="黑体" w:cs="黑体"/>
          <w:sz w:val="32"/>
          <w:szCs w:val="32"/>
        </w:rPr>
        <w:t>三、支出决算表</w:t>
      </w:r>
    </w:p>
    <w:p>
      <w:pPr>
        <w:jc w:val="left"/>
        <w:rPr>
          <w:rFonts w:hint="eastAsia" w:ascii="黑体" w:hAnsi="黑体" w:eastAsia="黑体" w:cs="黑体"/>
          <w:sz w:val="32"/>
          <w:szCs w:val="32"/>
        </w:rPr>
      </w:pPr>
      <w:r>
        <w:rPr>
          <w:rFonts w:hint="eastAsia" w:ascii="黑体" w:hAnsi="黑体" w:eastAsia="黑体" w:cs="黑体"/>
          <w:sz w:val="32"/>
          <w:szCs w:val="32"/>
        </w:rPr>
        <w:t>四、财政拨款收入支出决算总表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五、一般公共预算财政拨款支出决算表</w:t>
      </w:r>
    </w:p>
    <w:p>
      <w:pPr>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六、一般公共预算财政拨款基本支出决算表</w:t>
      </w:r>
    </w:p>
    <w:p>
      <w:pPr>
        <w:jc w:val="left"/>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八、政府性基金预算财政拨款收入支出决算表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河南省信阳市浉河区司法局</w:t>
      </w:r>
      <w:r>
        <w:rPr>
          <w:rFonts w:hint="eastAsia" w:ascii="隶书" w:hAnsi="隶书" w:eastAsia="隶书" w:cs="隶书"/>
          <w:sz w:val="48"/>
          <w:szCs w:val="48"/>
        </w:rPr>
        <w:t>概况</w:t>
      </w:r>
    </w:p>
    <w:p>
      <w:pPr>
        <w:pStyle w:val="10"/>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pStyle w:val="10"/>
        <w:widowControl/>
        <w:numPr>
          <w:ilvl w:val="0"/>
          <w:numId w:val="3"/>
        </w:numPr>
        <w:shd w:val="clear" w:color="auto" w:fill="FFFFFF"/>
        <w:spacing w:before="100" w:beforeAutospacing="1" w:after="100" w:afterAutospacing="1"/>
        <w:ind w:firstLineChars="0"/>
        <w:rPr>
          <w:rFonts w:ascii="仿宋" w:hAnsi="仿宋" w:eastAsia="仿宋" w:cs="宋体"/>
          <w:color w:val="000000"/>
          <w:kern w:val="0"/>
          <w:sz w:val="27"/>
          <w:szCs w:val="27"/>
        </w:rPr>
      </w:pPr>
      <w:r>
        <w:rPr>
          <w:rFonts w:ascii="仿宋" w:hAnsi="仿宋" w:eastAsia="仿宋" w:cs="宋体"/>
          <w:color w:val="000000"/>
          <w:kern w:val="0"/>
          <w:sz w:val="30"/>
          <w:szCs w:val="30"/>
        </w:rPr>
        <w:t>部门机构设置、职能</w:t>
      </w:r>
    </w:p>
    <w:p>
      <w:pPr>
        <w:pStyle w:val="4"/>
        <w:widowControl/>
        <w:spacing w:before="0" w:beforeAutospacing="0" w:after="0" w:afterAutospacing="0" w:line="540" w:lineRule="exact"/>
        <w:ind w:firstLine="600" w:firstLineChars="200"/>
        <w:rPr>
          <w:rFonts w:ascii="仿宋_GB2312" w:eastAsia="仿宋_GB2312"/>
          <w:sz w:val="32"/>
          <w:szCs w:val="32"/>
        </w:rPr>
      </w:pPr>
      <w:r>
        <w:rPr>
          <w:rFonts w:hint="eastAsia" w:ascii="仿宋" w:hAnsi="仿宋" w:eastAsia="仿宋" w:cs="宋体"/>
          <w:color w:val="000000"/>
          <w:kern w:val="0"/>
          <w:sz w:val="30"/>
          <w:szCs w:val="30"/>
          <w:lang w:eastAsia="zh-CN"/>
        </w:rPr>
        <w:t>河南省信阳市浉河区司法局</w:t>
      </w:r>
      <w:r>
        <w:rPr>
          <w:rFonts w:ascii="仿宋" w:hAnsi="仿宋" w:eastAsia="仿宋" w:cs="宋体"/>
          <w:color w:val="000000"/>
          <w:kern w:val="0"/>
          <w:sz w:val="30"/>
          <w:szCs w:val="30"/>
        </w:rPr>
        <w:t>设立8个内设股室。三个二级机构（法律援助中心，公证处、148协调指挥中心）</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主要职责是：</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（一）</w:t>
      </w:r>
      <w:r>
        <w:rPr>
          <w:rFonts w:hint="eastAsia" w:ascii="仿宋" w:hAnsi="仿宋" w:eastAsia="仿宋" w:cs="仿宋"/>
          <w:sz w:val="30"/>
          <w:szCs w:val="30"/>
        </w:rPr>
        <w:t>承担全面依法治区重大问题的政策研究，协调有关方面提出全面依法治区中长期规划建议，负责有关重大决策部署督察工作。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（二）</w:t>
      </w:r>
      <w:r>
        <w:rPr>
          <w:rFonts w:hint="eastAsia" w:ascii="仿宋" w:hAnsi="仿宋" w:eastAsia="仿宋" w:cs="仿宋"/>
          <w:sz w:val="30"/>
          <w:szCs w:val="30"/>
        </w:rPr>
        <w:t>负责区政府规范性文件的清理编纂工作。组织指导全区规范性文件清理工作。承担乡镇政府和区政府各部门规范性文件备案审查工作。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（三）</w:t>
      </w:r>
      <w:r>
        <w:rPr>
          <w:rFonts w:hint="eastAsia" w:ascii="仿宋" w:hAnsi="仿宋" w:eastAsia="仿宋" w:cs="仿宋"/>
          <w:sz w:val="30"/>
          <w:szCs w:val="30"/>
        </w:rPr>
        <w:t>承担统筹推进法治政府建设工作。负责推进全区依法行政、建设法治政府方面的统筹规划、综合协调、督促指导、考核评价工作。指导监督区政府各部门依法行政工作。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（四）</w:t>
      </w:r>
      <w:r>
        <w:rPr>
          <w:rFonts w:hint="eastAsia" w:ascii="仿宋" w:hAnsi="仿宋" w:eastAsia="仿宋" w:cs="仿宋"/>
          <w:sz w:val="30"/>
          <w:szCs w:val="30"/>
        </w:rPr>
        <w:t>承担综合协调、指导、监督全区行政执法工作。研究完善规范行政执法有关制度，推进严格规范公正文明执法。负责推进服务型行政执法建设，全面落实行政执法责任制。协助推进行政执法体制改革有关工作。负责全区行政执法主体和行政执法人员资格管理。负责指导行政裁决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（五）</w:t>
      </w:r>
      <w:r>
        <w:rPr>
          <w:rFonts w:hint="eastAsia" w:ascii="仿宋" w:hAnsi="仿宋" w:eastAsia="仿宋" w:cs="仿宋"/>
          <w:sz w:val="30"/>
          <w:szCs w:val="30"/>
        </w:rPr>
        <w:t>承担区政府交办的法律事务。负责区政府涉法重大决策和重要事务合法性审查，负责对以区政府名义制发的规范性文件的合法性审查。推进全区法律顾问工作。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（六）</w:t>
      </w:r>
      <w:r>
        <w:rPr>
          <w:rFonts w:hint="eastAsia" w:ascii="仿宋" w:hAnsi="仿宋" w:eastAsia="仿宋" w:cs="仿宋"/>
          <w:sz w:val="30"/>
          <w:szCs w:val="30"/>
        </w:rPr>
        <w:t>承担区政府行政复议、行政应诉工作。承办以区政府为赔偿义务机关的国家赔偿案件。承担全区重大行政复议案件决定的备案和行政复议、行政诉讼案件的统计分析工作。指导监督全区行政复议、行政诉讼工作。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（七）</w:t>
      </w:r>
      <w:r>
        <w:rPr>
          <w:rFonts w:hint="eastAsia" w:ascii="仿宋" w:hAnsi="仿宋" w:eastAsia="仿宋" w:cs="仿宋"/>
          <w:sz w:val="30"/>
          <w:szCs w:val="30"/>
        </w:rPr>
        <w:t>承担统筹规划法治社会建设工作。负责拟订全区法治宣传教育规划，组织实施普法宣传工作。推动人民参与和促进法治建设。指导全区依法治理和法治创建工作。指导全区人民调解、行政调解、行业性专业性调解工作和人民陪审员、人民监督员选任管理工作。推进司法所建设。</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（八）</w:t>
      </w:r>
      <w:r>
        <w:rPr>
          <w:rFonts w:hint="eastAsia" w:ascii="仿宋" w:hAnsi="仿宋" w:eastAsia="仿宋" w:cs="仿宋"/>
          <w:sz w:val="30"/>
          <w:szCs w:val="30"/>
        </w:rPr>
        <w:t>负责拟订全区公共法律服务体系建设规划并指导实施。统筹和布局全区城乡、区域法律服务资源。指导、监督全区律师、法律援助、司法鉴定、公证、仲裁和基层法律服务管理工作。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（九）</w:t>
      </w:r>
      <w:r>
        <w:rPr>
          <w:rFonts w:hint="eastAsia" w:ascii="仿宋" w:hAnsi="仿宋" w:eastAsia="仿宋" w:cs="仿宋"/>
          <w:sz w:val="30"/>
          <w:szCs w:val="30"/>
        </w:rPr>
        <w:t>负责全区社区矫正管理工作。指导、管理全区社区矫正工作，指导社会力量和志愿者参与社区矫正工作。指导刑满释放人员帮教安置工作。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（十）</w:t>
      </w:r>
      <w:r>
        <w:rPr>
          <w:rFonts w:hint="eastAsia" w:ascii="仿宋" w:hAnsi="仿宋" w:eastAsia="仿宋" w:cs="仿宋"/>
          <w:sz w:val="30"/>
          <w:szCs w:val="30"/>
        </w:rPr>
        <w:t>指导监督全区司法行政系统财务、装备、设施、场所建设等保障工作。</w:t>
      </w:r>
    </w:p>
    <w:p>
      <w:pPr>
        <w:pStyle w:val="4"/>
        <w:widowControl/>
        <w:spacing w:before="0" w:beforeAutospacing="0" w:after="0" w:afterAutospacing="0" w:line="540" w:lineRule="exact"/>
        <w:ind w:firstLine="602" w:firstLineChars="200"/>
        <w:rPr>
          <w:rFonts w:ascii="仿宋" w:hAnsi="仿宋" w:eastAsia="仿宋" w:cs="仿宋"/>
          <w:sz w:val="30"/>
          <w:szCs w:val="30"/>
        </w:rPr>
      </w:pPr>
      <w:r>
        <w:rPr>
          <w:rFonts w:hint="eastAsia" w:ascii="仿宋" w:hAnsi="仿宋" w:eastAsia="仿宋" w:cs="仿宋"/>
          <w:b/>
          <w:sz w:val="30"/>
          <w:szCs w:val="30"/>
        </w:rPr>
        <w:t>（十一）</w:t>
      </w:r>
      <w:r>
        <w:rPr>
          <w:rFonts w:hint="eastAsia" w:ascii="仿宋" w:hAnsi="仿宋" w:eastAsia="仿宋" w:cs="仿宋"/>
          <w:sz w:val="30"/>
          <w:szCs w:val="30"/>
        </w:rPr>
        <w:t>指导监督全区司法行政系统队伍建设、思想政治工作和干部培训工作；负责局机关、局属单位的组织、人事工作；管理乡、镇办事处司法所领导干部。</w:t>
      </w:r>
    </w:p>
    <w:p>
      <w:pPr>
        <w:pStyle w:val="4"/>
        <w:widowControl/>
        <w:spacing w:before="0" w:beforeAutospacing="0" w:after="0" w:afterAutospacing="0" w:line="540" w:lineRule="exact"/>
        <w:ind w:firstLine="602" w:firstLineChars="200"/>
        <w:rPr>
          <w:rFonts w:ascii="仿宋" w:hAnsi="仿宋" w:eastAsia="仿宋" w:cs="仿宋"/>
          <w:color w:val="000000"/>
          <w:kern w:val="0"/>
          <w:sz w:val="30"/>
          <w:szCs w:val="30"/>
        </w:rPr>
      </w:pPr>
      <w:r>
        <w:rPr>
          <w:rFonts w:hint="eastAsia" w:ascii="仿宋" w:hAnsi="仿宋" w:eastAsia="仿宋" w:cs="仿宋"/>
          <w:b/>
          <w:sz w:val="30"/>
          <w:szCs w:val="30"/>
        </w:rPr>
        <w:t>（十二）</w:t>
      </w:r>
      <w:r>
        <w:rPr>
          <w:rFonts w:hint="eastAsia" w:ascii="仿宋" w:hAnsi="仿宋" w:eastAsia="仿宋" w:cs="仿宋"/>
          <w:sz w:val="30"/>
          <w:szCs w:val="30"/>
        </w:rPr>
        <w:t xml:space="preserve">完成区委、区政府交办的其他任务。 </w:t>
      </w:r>
    </w:p>
    <w:p>
      <w:pPr>
        <w:pStyle w:val="10"/>
        <w:widowControl/>
        <w:numPr>
          <w:ilvl w:val="0"/>
          <w:numId w:val="3"/>
        </w:numPr>
        <w:shd w:val="clear" w:color="auto" w:fill="FFFFFF"/>
        <w:spacing w:before="100" w:beforeAutospacing="1" w:after="100" w:afterAutospacing="1"/>
        <w:ind w:firstLineChars="0"/>
        <w:rPr>
          <w:rFonts w:ascii="仿宋" w:hAnsi="仿宋" w:eastAsia="仿宋" w:cs="宋体"/>
          <w:color w:val="000000"/>
          <w:kern w:val="0"/>
          <w:sz w:val="30"/>
          <w:szCs w:val="30"/>
        </w:rPr>
      </w:pPr>
      <w:r>
        <w:rPr>
          <w:rFonts w:ascii="仿宋" w:hAnsi="仿宋" w:eastAsia="仿宋" w:cs="宋体"/>
          <w:color w:val="000000"/>
          <w:kern w:val="0"/>
          <w:sz w:val="30"/>
          <w:szCs w:val="30"/>
        </w:rPr>
        <w:t>人员构成情况</w:t>
      </w:r>
    </w:p>
    <w:p>
      <w:pPr>
        <w:widowControl/>
        <w:shd w:val="clear" w:color="auto" w:fill="FFFFFF"/>
        <w:spacing w:before="100" w:beforeAutospacing="1" w:after="100" w:afterAutospacing="1"/>
        <w:ind w:firstLine="600" w:firstLineChars="200"/>
        <w:rPr>
          <w:rFonts w:ascii="仿宋" w:hAnsi="仿宋" w:eastAsia="仿宋" w:cs="宋体"/>
          <w:color w:val="000000"/>
          <w:kern w:val="0"/>
          <w:sz w:val="27"/>
          <w:szCs w:val="27"/>
        </w:rPr>
      </w:pPr>
      <w:r>
        <w:rPr>
          <w:rFonts w:ascii="仿宋" w:hAnsi="仿宋" w:eastAsia="仿宋" w:cs="宋体"/>
          <w:color w:val="000000"/>
          <w:kern w:val="0"/>
          <w:sz w:val="30"/>
          <w:szCs w:val="30"/>
        </w:rPr>
        <w:t>核定</w:t>
      </w:r>
      <w:r>
        <w:rPr>
          <w:rFonts w:hint="eastAsia" w:ascii="仿宋" w:hAnsi="仿宋" w:eastAsia="仿宋" w:cs="宋体"/>
          <w:color w:val="000000"/>
          <w:kern w:val="0"/>
          <w:sz w:val="30"/>
          <w:szCs w:val="30"/>
          <w:lang w:eastAsia="zh-CN"/>
        </w:rPr>
        <w:t>河南省信阳市浉河区司法局</w:t>
      </w:r>
      <w:r>
        <w:rPr>
          <w:rFonts w:ascii="仿宋" w:hAnsi="仿宋" w:eastAsia="仿宋" w:cs="宋体"/>
          <w:color w:val="000000"/>
          <w:kern w:val="0"/>
          <w:sz w:val="30"/>
          <w:szCs w:val="30"/>
        </w:rPr>
        <w:t>机关专项行政政法编制4</w:t>
      </w:r>
      <w:r>
        <w:rPr>
          <w:rFonts w:hint="eastAsia" w:ascii="仿宋" w:hAnsi="仿宋" w:eastAsia="仿宋" w:cs="宋体"/>
          <w:color w:val="000000"/>
          <w:kern w:val="0"/>
          <w:sz w:val="30"/>
          <w:szCs w:val="30"/>
        </w:rPr>
        <w:t>4</w:t>
      </w:r>
      <w:r>
        <w:rPr>
          <w:rFonts w:ascii="仿宋" w:hAnsi="仿宋" w:eastAsia="仿宋" w:cs="宋体"/>
          <w:color w:val="000000"/>
          <w:kern w:val="0"/>
          <w:sz w:val="30"/>
          <w:szCs w:val="30"/>
        </w:rPr>
        <w:t>名，事业编制22名， 单位实有人数4</w:t>
      </w:r>
      <w:r>
        <w:rPr>
          <w:rFonts w:hint="eastAsia" w:ascii="仿宋" w:hAnsi="仿宋" w:eastAsia="仿宋" w:cs="宋体"/>
          <w:color w:val="000000"/>
          <w:kern w:val="0"/>
          <w:sz w:val="30"/>
          <w:szCs w:val="30"/>
        </w:rPr>
        <w:t>5</w:t>
      </w:r>
      <w:r>
        <w:rPr>
          <w:rFonts w:ascii="仿宋" w:hAnsi="仿宋" w:eastAsia="仿宋" w:cs="宋体"/>
          <w:color w:val="000000"/>
          <w:kern w:val="0"/>
          <w:sz w:val="30"/>
          <w:szCs w:val="30"/>
        </w:rPr>
        <w:t>人。</w:t>
      </w:r>
    </w:p>
    <w:p>
      <w:pPr>
        <w:ind w:firstLine="640" w:firstLineChars="200"/>
        <w:rPr>
          <w:rFonts w:ascii="仿宋" w:hAnsi="仿宋" w:eastAsia="仿宋"/>
          <w:sz w:val="32"/>
          <w:szCs w:val="32"/>
        </w:rPr>
      </w:pP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 w:hAnsi="仿宋" w:eastAsia="仿宋" w:cs="??_GB2312"/>
          <w:sz w:val="32"/>
          <w:szCs w:val="32"/>
        </w:rPr>
      </w:pPr>
      <w:r>
        <w:rPr>
          <w:rFonts w:hint="eastAsia" w:ascii="仿宋_GB2312" w:hAnsi="仿宋_GB2312" w:eastAsia="仿宋_GB2312" w:cs="仿宋_GB2312"/>
          <w:sz w:val="32"/>
          <w:szCs w:val="32"/>
        </w:rPr>
        <w:t>（一）</w:t>
      </w:r>
      <w:r>
        <w:rPr>
          <w:rFonts w:hint="eastAsia" w:ascii="仿宋" w:hAnsi="仿宋" w:eastAsia="仿宋" w:cs="宋体"/>
          <w:sz w:val="32"/>
          <w:szCs w:val="32"/>
        </w:rPr>
        <w:t>纳入</w:t>
      </w:r>
      <w:r>
        <w:rPr>
          <w:rFonts w:hint="eastAsia" w:ascii="仿宋" w:hAnsi="仿宋" w:eastAsia="仿宋" w:cs="宋体"/>
          <w:sz w:val="32"/>
          <w:szCs w:val="32"/>
          <w:lang w:eastAsia="zh-CN"/>
        </w:rPr>
        <w:t>河南省信阳市浉河区司法局</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年度部门决算编制范围的单位包括：</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河南省信阳市浉河区司法局</w:t>
      </w:r>
      <w:r>
        <w:rPr>
          <w:rFonts w:hint="eastAsia" w:ascii="仿宋_GB2312" w:hAnsi="仿宋_GB2312" w:eastAsia="仿宋_GB2312" w:cs="仿宋_GB2312"/>
          <w:sz w:val="32"/>
          <w:szCs w:val="32"/>
        </w:rPr>
        <w:t>本级</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法律援助中心</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公证处</w:t>
      </w:r>
    </w:p>
    <w:p>
      <w:pPr>
        <w:pStyle w:val="10"/>
        <w:spacing w:line="360" w:lineRule="auto"/>
        <w:ind w:left="40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0"/>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河南省信阳市浉河区司法局</w:t>
      </w:r>
      <w:r>
        <w:rPr>
          <w:rFonts w:hint="eastAsia" w:ascii="仿宋_GB2312" w:hAnsi="仿宋_GB2312" w:eastAsia="仿宋_GB2312" w:cs="仿宋_GB2312"/>
          <w:sz w:val="32"/>
          <w:szCs w:val="32"/>
        </w:rPr>
        <w:t>下辖三个二级机构：浉河区法律援助中心和申城公证处两个全供事业单位、148协调指挥中心一个自筹事业单位，单位规格都为正股级。</w:t>
      </w:r>
      <w:r>
        <w:rPr>
          <w:rFonts w:hint="eastAsia" w:ascii="仿宋_GB2312" w:hAnsi="仿宋_GB2312" w:eastAsia="仿宋_GB2312" w:cs="仿宋_GB2312"/>
          <w:sz w:val="32"/>
          <w:szCs w:val="32"/>
          <w:lang w:eastAsia="zh-CN"/>
        </w:rPr>
        <w:t>河南省信阳市浉河区司法局</w:t>
      </w:r>
      <w:r>
        <w:rPr>
          <w:rFonts w:hint="eastAsia" w:ascii="仿宋_GB2312" w:hAnsi="仿宋_GB2312" w:eastAsia="仿宋_GB2312" w:cs="仿宋_GB2312"/>
          <w:sz w:val="32"/>
          <w:szCs w:val="32"/>
        </w:rPr>
        <w:t>内设机构八个；办公室、</w:t>
      </w:r>
      <w:r>
        <w:rPr>
          <w:rFonts w:hint="eastAsia" w:ascii="仿宋_GB2312" w:eastAsia="仿宋_GB2312"/>
          <w:sz w:val="32"/>
          <w:szCs w:val="32"/>
        </w:rPr>
        <w:t>法制宣传教育股（依法治区办公室）</w:t>
      </w:r>
      <w:r>
        <w:rPr>
          <w:rFonts w:hint="eastAsia" w:ascii="仿宋_GB2312" w:hAnsi="仿宋_GB2312" w:eastAsia="仿宋_GB2312" w:cs="仿宋_GB2312"/>
          <w:sz w:val="32"/>
          <w:szCs w:val="32"/>
        </w:rPr>
        <w:t>、</w:t>
      </w:r>
      <w:r>
        <w:rPr>
          <w:rFonts w:hint="eastAsia" w:eastAsia="仿宋_GB2312"/>
          <w:sz w:val="32"/>
        </w:rPr>
        <w:t>法治综合股、</w:t>
      </w:r>
      <w:r>
        <w:rPr>
          <w:rFonts w:hint="eastAsia" w:ascii="仿宋_GB2312" w:eastAsia="仿宋_GB2312"/>
          <w:sz w:val="32"/>
          <w:szCs w:val="32"/>
        </w:rPr>
        <w:t>律师公证股、基层管理股、社区矫正股（社区矫正执法大队）</w:t>
      </w:r>
      <w:r>
        <w:rPr>
          <w:rFonts w:hint="eastAsia" w:ascii="仿宋_GB2312" w:hAnsi="仿宋_GB2312" w:eastAsia="仿宋_GB2312" w:cs="仿宋_GB2312"/>
          <w:sz w:val="32"/>
          <w:szCs w:val="32"/>
        </w:rPr>
        <w:t>、</w:t>
      </w:r>
      <w:r>
        <w:rPr>
          <w:rFonts w:hint="eastAsia" w:ascii="仿宋_GB2312" w:eastAsia="仿宋_GB2312"/>
          <w:sz w:val="32"/>
          <w:szCs w:val="32"/>
        </w:rPr>
        <w:t>计财装备股</w:t>
      </w:r>
      <w:r>
        <w:rPr>
          <w:rFonts w:hint="eastAsia" w:ascii="仿宋_GB2312" w:hAnsi="仿宋_GB2312" w:eastAsia="仿宋_GB2312" w:cs="仿宋_GB2312"/>
          <w:sz w:val="32"/>
          <w:szCs w:val="32"/>
        </w:rPr>
        <w:t>和政工股。</w:t>
      </w:r>
    </w:p>
    <w:p>
      <w:pPr>
        <w:pStyle w:val="10"/>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本决算为汇总决算，纳入</w:t>
      </w:r>
      <w:r>
        <w:rPr>
          <w:rFonts w:hint="eastAsia" w:ascii="仿宋_GB2312" w:hAnsi="仿宋_GB2312" w:eastAsia="仿宋_GB2312" w:cs="仿宋_GB2312"/>
          <w:sz w:val="32"/>
          <w:szCs w:val="32"/>
          <w:lang w:eastAsia="zh-CN"/>
        </w:rPr>
        <w:t>河南省信阳市浉河区司法局</w:t>
      </w:r>
      <w:r>
        <w:rPr>
          <w:rFonts w:hint="eastAsia" w:ascii="仿宋_GB2312" w:hAnsi="仿宋_GB2312" w:eastAsia="仿宋_GB2312" w:cs="仿宋_GB2312"/>
          <w:sz w:val="32"/>
          <w:szCs w:val="32"/>
        </w:rPr>
        <w:t>2018年度部门决算编制范围的单位共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个，其中二级单位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个。具体是：</w:t>
      </w:r>
      <w:bookmarkStart w:id="0" w:name="_GoBack"/>
      <w:bookmarkEnd w:id="0"/>
    </w:p>
    <w:p>
      <w:pPr>
        <w:pStyle w:val="10"/>
        <w:numPr>
          <w:ilvl w:val="0"/>
          <w:numId w:val="6"/>
        </w:numPr>
        <w:spacing w:line="360" w:lineRule="auto"/>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河南省信阳市浉河区司法局</w:t>
      </w:r>
      <w:r>
        <w:rPr>
          <w:rFonts w:hint="eastAsia" w:ascii="仿宋_GB2312" w:hAnsi="仿宋_GB2312" w:eastAsia="仿宋_GB2312" w:cs="仿宋_GB2312"/>
          <w:sz w:val="32"/>
          <w:szCs w:val="32"/>
          <w:lang w:val="en-US" w:eastAsia="zh-CN"/>
        </w:rPr>
        <w:t>本级；</w:t>
      </w:r>
    </w:p>
    <w:p>
      <w:pPr>
        <w:pStyle w:val="10"/>
        <w:widowControl w:val="0"/>
        <w:numPr>
          <w:ilvl w:val="0"/>
          <w:numId w:val="6"/>
        </w:numPr>
        <w:spacing w:line="360" w:lineRule="auto"/>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浉河区法律援助中心</w:t>
      </w:r>
      <w:r>
        <w:rPr>
          <w:rFonts w:hint="eastAsia" w:ascii="仿宋_GB2312" w:hAnsi="仿宋_GB2312" w:eastAsia="仿宋_GB2312" w:cs="仿宋_GB2312"/>
          <w:sz w:val="32"/>
          <w:szCs w:val="32"/>
          <w:lang w:eastAsia="zh-CN"/>
        </w:rPr>
        <w:t>；</w:t>
      </w:r>
    </w:p>
    <w:p>
      <w:pPr>
        <w:pStyle w:val="10"/>
        <w:widowControl w:val="0"/>
        <w:numPr>
          <w:ilvl w:val="0"/>
          <w:numId w:val="6"/>
        </w:numPr>
        <w:spacing w:line="360" w:lineRule="auto"/>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浉河区申城公证处</w:t>
      </w:r>
      <w:r>
        <w:rPr>
          <w:rFonts w:hint="eastAsia" w:ascii="仿宋_GB2312" w:hAnsi="仿宋_GB2312" w:eastAsia="仿宋_GB2312" w:cs="仿宋_GB2312"/>
          <w:sz w:val="32"/>
          <w:szCs w:val="32"/>
          <w:lang w:eastAsia="zh-CN"/>
        </w:rPr>
        <w:t>；</w:t>
      </w:r>
    </w:p>
    <w:p>
      <w:pPr>
        <w:pStyle w:val="10"/>
        <w:widowControl w:val="0"/>
        <w:numPr>
          <w:ilvl w:val="0"/>
          <w:numId w:val="6"/>
        </w:numPr>
        <w:spacing w:line="360" w:lineRule="auto"/>
        <w:ind w:left="0" w:leftChars="0" w:firstLine="640" w:firstLineChars="200"/>
        <w:jc w:val="left"/>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148协调指挥中心</w:t>
      </w:r>
      <w:r>
        <w:rPr>
          <w:rFonts w:hint="eastAsia" w:ascii="仿宋_GB2312" w:hAnsi="仿宋_GB2312" w:eastAsia="仿宋_GB2312" w:cs="仿宋_GB2312"/>
          <w:sz w:val="32"/>
          <w:szCs w:val="32"/>
          <w:lang w:eastAsia="zh-CN"/>
        </w:rPr>
        <w:t>。</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河南省信阳市浉河区司法局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2018年度部门决算情况说明</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2018年度收入、支出总计均为909.51万元，与2017年相比，收、支总计均增加375.19万元，增长70.22%。因为上级专项资金和本级配套经费增加。</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2018年度</w:t>
      </w:r>
      <w:r>
        <w:rPr>
          <w:rFonts w:hint="eastAsia" w:ascii="仿宋_GB2312" w:hAnsi="Times New Roman" w:eastAsia="仿宋_GB2312"/>
          <w:sz w:val="32"/>
          <w:szCs w:val="32"/>
        </w:rPr>
        <w:t>收入合计731.26万元，其中：财政拨款收入731.26万元，占100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2018年度支出合计681.63万元，其中：基本支出681.63万元，占100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2018年度财政拨款收入、支出总计均为909.51万元，与2017年相比，收、支总计均增加375.19万元，增长70.22%。因为上级专项资金和本级配套经费增加。</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2018年一般公共预算财政拨款支出681.63万元，占支出合计的100%。与2017年相比，一般公共预算财政拨款支出减少31.22万元，减少4.3%。</w:t>
      </w:r>
      <w:r>
        <w:rPr>
          <w:rFonts w:hint="eastAsia" w:ascii="仿宋_GB2312" w:hAnsi="宋体" w:eastAsia="仿宋_GB2312" w:cs="Courier New"/>
          <w:sz w:val="32"/>
          <w:szCs w:val="32"/>
          <w:lang w:val="en-US" w:eastAsia="zh-CN"/>
        </w:rPr>
        <w:t>减少原因为厉行节约。</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2018年度一般公共预算财政拨款支出681.63万元，主要用于以下方面：</w:t>
      </w:r>
      <w:r>
        <w:rPr>
          <w:rFonts w:hint="eastAsia" w:ascii="仿宋_GB2312" w:hAnsi="宋体" w:eastAsia="仿宋_GB2312" w:cs="Courier New"/>
          <w:b/>
          <w:bCs/>
          <w:sz w:val="32"/>
          <w:szCs w:val="32"/>
        </w:rPr>
        <w:t>公共安全支出（类）</w:t>
      </w:r>
      <w:r>
        <w:rPr>
          <w:rFonts w:hint="eastAsia" w:ascii="仿宋_GB2312" w:hAnsi="宋体" w:eastAsia="仿宋_GB2312" w:cs="Courier New"/>
          <w:sz w:val="32"/>
          <w:szCs w:val="32"/>
        </w:rPr>
        <w:t>支出681.63万元，占100%。</w:t>
      </w:r>
    </w:p>
    <w:p>
      <w:pPr>
        <w:numPr>
          <w:ilvl w:val="0"/>
          <w:numId w:val="8"/>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2018年度一般公共预算财政拨款支出年初预算为510.7万元，支出决算为681.63万元，完成年初预算的119.2%。决算数大于预算数的主要原因：一是工资增长，二是临时性工作任务。其中：</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公共安全支出（类）司法（款）行政运行（项）。</w:t>
      </w:r>
      <w:r>
        <w:rPr>
          <w:rFonts w:hint="eastAsia" w:ascii="仿宋_GB2312" w:hAnsi="宋体" w:eastAsia="仿宋_GB2312" w:cs="Courier New"/>
          <w:sz w:val="32"/>
          <w:szCs w:val="32"/>
        </w:rPr>
        <w:t>年初预算数为510.7万元，支出决算为582.83万元，完成年初预算的114.1%。决算数大于预算数的主要原因：一是工资增长，二是临时性工作任务。</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公共安全支出（类）司法（款）律师公证管理（项）。</w:t>
      </w:r>
      <w:r>
        <w:rPr>
          <w:rFonts w:hint="eastAsia" w:ascii="仿宋_GB2312" w:hAnsi="宋体" w:eastAsia="仿宋_GB2312" w:cs="Courier New"/>
          <w:sz w:val="32"/>
          <w:szCs w:val="32"/>
        </w:rPr>
        <w:t>年初预算数为28.52万元，支出决算为28.52万元，完成年初预算的100%。决算数与预算数无差异。</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公共安全支出（类）司法（款）法律援助（项）。</w:t>
      </w:r>
      <w:r>
        <w:rPr>
          <w:rFonts w:hint="eastAsia" w:ascii="仿宋_GB2312" w:hAnsi="宋体" w:eastAsia="仿宋_GB2312" w:cs="Courier New"/>
          <w:sz w:val="32"/>
          <w:szCs w:val="32"/>
        </w:rPr>
        <w:t>年初预算数为29.52万元，支出决算为29.52万元，完成年初预算的100%。决算数与预算数无差异。</w:t>
      </w:r>
    </w:p>
    <w:p>
      <w:pPr>
        <w:numPr>
          <w:ilvl w:val="0"/>
          <w:numId w:val="9"/>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公共安全支出（类）司法（款）社区矫正（项）。</w:t>
      </w:r>
      <w:r>
        <w:rPr>
          <w:rFonts w:hint="eastAsia" w:ascii="仿宋_GB2312" w:hAnsi="宋体" w:eastAsia="仿宋_GB2312" w:cs="Courier New"/>
          <w:sz w:val="32"/>
          <w:szCs w:val="32"/>
        </w:rPr>
        <w:t>年初预算数为40.77万元，支出决算为40.77万元，完成年初预算的100%。决算数与预算数无差异。</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2018年一般公共预算财政拨款基本支出681.63万元，其中：</w:t>
      </w:r>
      <w:r>
        <w:rPr>
          <w:rFonts w:hint="eastAsia" w:ascii="仿宋_GB2312" w:hAnsi="Times New Roman" w:eastAsia="仿宋_GB2312" w:cs="仿宋_GB2312"/>
          <w:bCs/>
          <w:spacing w:val="-1"/>
          <w:kern w:val="0"/>
          <w:sz w:val="32"/>
          <w:szCs w:val="32"/>
        </w:rPr>
        <w:t>人员经费413.82万元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 基本工资119.99万元、 津贴补贴</w:t>
      </w:r>
      <w:r>
        <w:rPr>
          <w:rFonts w:hint="eastAsia" w:ascii="仿宋_GB2312" w:hAnsi="宋体" w:eastAsia="仿宋_GB2312" w:cs="Courier New"/>
          <w:sz w:val="32"/>
          <w:szCs w:val="32"/>
        </w:rPr>
        <w:tab/>
      </w:r>
      <w:r>
        <w:rPr>
          <w:rFonts w:hint="eastAsia" w:ascii="仿宋_GB2312" w:hAnsi="宋体" w:eastAsia="仿宋_GB2312" w:cs="Courier New"/>
          <w:sz w:val="32"/>
          <w:szCs w:val="32"/>
        </w:rPr>
        <w:t>125.63万元、 奖金</w:t>
      </w:r>
      <w:r>
        <w:rPr>
          <w:rFonts w:hint="eastAsia" w:ascii="仿宋_GB2312" w:hAnsi="宋体" w:eastAsia="仿宋_GB2312" w:cs="Courier New"/>
          <w:sz w:val="32"/>
          <w:szCs w:val="32"/>
        </w:rPr>
        <w:tab/>
      </w:r>
      <w:r>
        <w:rPr>
          <w:rFonts w:hint="eastAsia" w:ascii="仿宋_GB2312" w:hAnsi="宋体" w:eastAsia="仿宋_GB2312" w:cs="Courier New"/>
          <w:sz w:val="32"/>
          <w:szCs w:val="32"/>
        </w:rPr>
        <w:t>6.58万元、 绩效工资</w:t>
      </w:r>
      <w:r>
        <w:rPr>
          <w:rFonts w:hint="eastAsia" w:ascii="仿宋_GB2312" w:hAnsi="宋体" w:eastAsia="仿宋_GB2312" w:cs="Courier New"/>
          <w:sz w:val="32"/>
          <w:szCs w:val="32"/>
        </w:rPr>
        <w:tab/>
      </w:r>
      <w:r>
        <w:rPr>
          <w:rFonts w:hint="eastAsia" w:ascii="仿宋_GB2312" w:hAnsi="宋体" w:eastAsia="仿宋_GB2312" w:cs="Courier New"/>
          <w:sz w:val="32"/>
          <w:szCs w:val="32"/>
        </w:rPr>
        <w:t>4.76 万元、机关事业单位基本养老保险缴费</w:t>
      </w:r>
      <w:r>
        <w:rPr>
          <w:rFonts w:hint="eastAsia" w:ascii="仿宋_GB2312" w:hAnsi="宋体" w:eastAsia="仿宋_GB2312" w:cs="Courier New"/>
          <w:sz w:val="32"/>
          <w:szCs w:val="32"/>
        </w:rPr>
        <w:tab/>
      </w:r>
      <w:r>
        <w:rPr>
          <w:rFonts w:hint="eastAsia" w:ascii="仿宋_GB2312" w:hAnsi="宋体" w:eastAsia="仿宋_GB2312" w:cs="Courier New"/>
          <w:sz w:val="32"/>
          <w:szCs w:val="32"/>
        </w:rPr>
        <w:t>74.91万元、职工基本医疗保险缴费15.98 万元、 其他社会保障缴费2.71万元、住房公积金23.88万元、其他工资福利支出</w:t>
      </w:r>
      <w:r>
        <w:rPr>
          <w:rFonts w:hint="eastAsia" w:ascii="仿宋_GB2312" w:hAnsi="宋体" w:eastAsia="仿宋_GB2312" w:cs="Courier New"/>
          <w:sz w:val="32"/>
          <w:szCs w:val="32"/>
        </w:rPr>
        <w:tab/>
      </w:r>
      <w:r>
        <w:rPr>
          <w:rFonts w:hint="eastAsia" w:ascii="仿宋_GB2312" w:hAnsi="宋体" w:eastAsia="仿宋_GB2312" w:cs="Courier New"/>
          <w:sz w:val="32"/>
          <w:szCs w:val="32"/>
        </w:rPr>
        <w:t>39.38万元；</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267.81万元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rPr>
        <w:tab/>
      </w:r>
      <w:r>
        <w:rPr>
          <w:rFonts w:hint="eastAsia" w:ascii="仿宋_GB2312" w:hAnsi="宋体" w:eastAsia="仿宋_GB2312" w:cs="Courier New"/>
          <w:sz w:val="32"/>
          <w:szCs w:val="32"/>
        </w:rPr>
        <w:t>16.97万元、印刷费26.41万元、水费2.20万元、电费9.55万元、邮电费12.71万元、物业管理费</w:t>
      </w:r>
      <w:r>
        <w:rPr>
          <w:rFonts w:hint="eastAsia" w:ascii="仿宋_GB2312" w:hAnsi="宋体" w:eastAsia="仿宋_GB2312" w:cs="Courier New"/>
          <w:sz w:val="32"/>
          <w:szCs w:val="32"/>
        </w:rPr>
        <w:tab/>
      </w:r>
      <w:r>
        <w:rPr>
          <w:rFonts w:hint="eastAsia" w:ascii="仿宋_GB2312" w:hAnsi="宋体" w:eastAsia="仿宋_GB2312" w:cs="Courier New"/>
          <w:sz w:val="32"/>
          <w:szCs w:val="32"/>
        </w:rPr>
        <w:t>1.20万元、差旅费</w:t>
      </w:r>
      <w:r>
        <w:rPr>
          <w:rFonts w:hint="eastAsia" w:ascii="仿宋_GB2312" w:hAnsi="宋体" w:eastAsia="仿宋_GB2312" w:cs="Courier New"/>
          <w:sz w:val="32"/>
          <w:szCs w:val="32"/>
        </w:rPr>
        <w:tab/>
      </w:r>
      <w:r>
        <w:rPr>
          <w:rFonts w:hint="eastAsia" w:ascii="仿宋_GB2312" w:hAnsi="宋体" w:eastAsia="仿宋_GB2312" w:cs="Courier New"/>
          <w:sz w:val="32"/>
          <w:szCs w:val="32"/>
        </w:rPr>
        <w:t>34.76万元、维修（护）费</w:t>
      </w:r>
      <w:r>
        <w:rPr>
          <w:rFonts w:hint="eastAsia" w:ascii="仿宋_GB2312" w:hAnsi="宋体" w:eastAsia="仿宋_GB2312" w:cs="Courier New"/>
          <w:sz w:val="32"/>
          <w:szCs w:val="32"/>
        </w:rPr>
        <w:tab/>
      </w:r>
      <w:r>
        <w:rPr>
          <w:rFonts w:hint="eastAsia" w:ascii="仿宋_GB2312" w:hAnsi="宋体" w:eastAsia="仿宋_GB2312" w:cs="Courier New"/>
          <w:sz w:val="32"/>
          <w:szCs w:val="32"/>
        </w:rPr>
        <w:t>5.54万元、租赁费</w:t>
      </w:r>
      <w:r>
        <w:rPr>
          <w:rFonts w:hint="eastAsia" w:ascii="仿宋_GB2312" w:hAnsi="宋体" w:eastAsia="仿宋_GB2312" w:cs="Courier New"/>
          <w:sz w:val="32"/>
          <w:szCs w:val="32"/>
        </w:rPr>
        <w:tab/>
      </w:r>
      <w:r>
        <w:rPr>
          <w:rFonts w:hint="eastAsia" w:ascii="仿宋_GB2312" w:hAnsi="宋体" w:eastAsia="仿宋_GB2312" w:cs="Courier New"/>
          <w:sz w:val="32"/>
          <w:szCs w:val="32"/>
        </w:rPr>
        <w:t>3.60万元、</w:t>
      </w:r>
    </w:p>
    <w:p>
      <w:pPr>
        <w:adjustRightInd w:val="0"/>
        <w:snapToGrid w:val="0"/>
        <w:spacing w:line="360" w:lineRule="auto"/>
        <w:jc w:val="left"/>
        <w:rPr>
          <w:rFonts w:ascii="仿宋_GB2312" w:hAnsi="宋体" w:eastAsia="仿宋_GB2312" w:cs="Courier New"/>
          <w:sz w:val="32"/>
          <w:szCs w:val="32"/>
        </w:rPr>
      </w:pPr>
      <w:r>
        <w:rPr>
          <w:rFonts w:hint="eastAsia" w:ascii="仿宋_GB2312" w:hAnsi="宋体" w:eastAsia="仿宋_GB2312" w:cs="Courier New"/>
          <w:sz w:val="32"/>
          <w:szCs w:val="32"/>
        </w:rPr>
        <w:t>培训费</w:t>
      </w:r>
      <w:r>
        <w:rPr>
          <w:rFonts w:hint="eastAsia" w:ascii="仿宋_GB2312" w:hAnsi="宋体" w:eastAsia="仿宋_GB2312" w:cs="Courier New"/>
          <w:sz w:val="32"/>
          <w:szCs w:val="32"/>
        </w:rPr>
        <w:tab/>
      </w:r>
      <w:r>
        <w:rPr>
          <w:rFonts w:hint="eastAsia" w:ascii="仿宋_GB2312" w:hAnsi="宋体" w:eastAsia="仿宋_GB2312" w:cs="Courier New"/>
          <w:sz w:val="32"/>
          <w:szCs w:val="32"/>
        </w:rPr>
        <w:t>11.80万元、公务接待费</w:t>
      </w:r>
      <w:r>
        <w:rPr>
          <w:rFonts w:hint="eastAsia" w:ascii="仿宋_GB2312" w:hAnsi="宋体" w:eastAsia="仿宋_GB2312" w:cs="Courier New"/>
          <w:sz w:val="32"/>
          <w:szCs w:val="32"/>
        </w:rPr>
        <w:tab/>
      </w:r>
      <w:r>
        <w:rPr>
          <w:rFonts w:hint="eastAsia" w:ascii="仿宋_GB2312" w:hAnsi="宋体" w:eastAsia="仿宋_GB2312" w:cs="Courier New"/>
          <w:sz w:val="32"/>
          <w:szCs w:val="32"/>
        </w:rPr>
        <w:t>1.60万元、委托业务费</w:t>
      </w:r>
      <w:r>
        <w:rPr>
          <w:rFonts w:hint="eastAsia" w:ascii="仿宋_GB2312" w:hAnsi="宋体" w:eastAsia="仿宋_GB2312" w:cs="Courier New"/>
          <w:sz w:val="32"/>
          <w:szCs w:val="32"/>
        </w:rPr>
        <w:tab/>
      </w:r>
      <w:r>
        <w:rPr>
          <w:rFonts w:hint="eastAsia" w:ascii="仿宋_GB2312" w:hAnsi="宋体" w:eastAsia="仿宋_GB2312" w:cs="Courier New"/>
          <w:sz w:val="32"/>
          <w:szCs w:val="32"/>
        </w:rPr>
        <w:t>42.52万元、工会经费</w:t>
      </w:r>
      <w:r>
        <w:rPr>
          <w:rFonts w:hint="eastAsia" w:ascii="仿宋_GB2312" w:hAnsi="宋体" w:eastAsia="仿宋_GB2312" w:cs="Courier New"/>
          <w:sz w:val="32"/>
          <w:szCs w:val="32"/>
        </w:rPr>
        <w:tab/>
      </w:r>
      <w:r>
        <w:rPr>
          <w:rFonts w:hint="eastAsia" w:ascii="仿宋_GB2312" w:hAnsi="宋体" w:eastAsia="仿宋_GB2312" w:cs="Courier New"/>
          <w:sz w:val="32"/>
          <w:szCs w:val="32"/>
        </w:rPr>
        <w:t>11.43万元、公务用车运行维护费</w:t>
      </w:r>
      <w:r>
        <w:rPr>
          <w:rFonts w:hint="eastAsia" w:ascii="仿宋_GB2312" w:hAnsi="宋体" w:eastAsia="仿宋_GB2312" w:cs="Courier New"/>
          <w:sz w:val="32"/>
          <w:szCs w:val="32"/>
        </w:rPr>
        <w:tab/>
      </w:r>
      <w:r>
        <w:rPr>
          <w:rFonts w:hint="eastAsia" w:ascii="仿宋_GB2312" w:hAnsi="宋体" w:eastAsia="仿宋_GB2312" w:cs="Courier New"/>
          <w:sz w:val="32"/>
          <w:szCs w:val="32"/>
        </w:rPr>
        <w:t>5.72万元、</w:t>
      </w:r>
    </w:p>
    <w:p>
      <w:pPr>
        <w:adjustRightInd w:val="0"/>
        <w:snapToGrid w:val="0"/>
        <w:spacing w:line="360" w:lineRule="auto"/>
        <w:ind w:left="640" w:hanging="640" w:hangingChars="200"/>
        <w:jc w:val="left"/>
        <w:rPr>
          <w:rFonts w:ascii="仿宋_GB2312" w:hAnsi="宋体" w:eastAsia="仿宋_GB2312" w:cs="Courier New"/>
          <w:sz w:val="32"/>
          <w:szCs w:val="32"/>
        </w:rPr>
      </w:pPr>
      <w:r>
        <w:rPr>
          <w:rFonts w:hint="eastAsia" w:ascii="仿宋_GB2312" w:hAnsi="宋体" w:eastAsia="仿宋_GB2312" w:cs="Courier New"/>
          <w:sz w:val="32"/>
          <w:szCs w:val="32"/>
        </w:rPr>
        <w:t>其他交通费用</w:t>
      </w:r>
      <w:r>
        <w:rPr>
          <w:rFonts w:hint="eastAsia" w:ascii="仿宋_GB2312" w:hAnsi="宋体" w:eastAsia="仿宋_GB2312" w:cs="Courier New"/>
          <w:sz w:val="32"/>
          <w:szCs w:val="32"/>
        </w:rPr>
        <w:tab/>
      </w:r>
      <w:r>
        <w:rPr>
          <w:rFonts w:hint="eastAsia" w:ascii="仿宋_GB2312" w:hAnsi="宋体" w:eastAsia="仿宋_GB2312" w:cs="Courier New"/>
          <w:sz w:val="32"/>
          <w:szCs w:val="32"/>
        </w:rPr>
        <w:t>19.14万元、其他商品和服务支出</w:t>
      </w:r>
      <w:r>
        <w:rPr>
          <w:rFonts w:hint="eastAsia" w:ascii="仿宋_GB2312" w:hAnsi="宋体" w:eastAsia="仿宋_GB2312" w:cs="Courier New"/>
          <w:sz w:val="32"/>
          <w:szCs w:val="32"/>
        </w:rPr>
        <w:tab/>
      </w:r>
      <w:r>
        <w:rPr>
          <w:rFonts w:hint="eastAsia" w:ascii="仿宋_GB2312" w:hAnsi="宋体" w:eastAsia="仿宋_GB2312" w:cs="Courier New"/>
          <w:sz w:val="32"/>
          <w:szCs w:val="32"/>
        </w:rPr>
        <w:t>7.84万元。</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预算为10万元，支出决算为7.32万元，完成预算的73%，其中：因公出国（境）费支出决算为0万元，完成预算的0%；公务用车购置及运行费支出决算为5.72万元，完成预算的57%；公务接待费支出决算为1.6万元，完成预算的16%。2018年度“三公”经费支出决算数小于预算数的主要原因是单位严格控制</w:t>
      </w:r>
      <w:r>
        <w:rPr>
          <w:rFonts w:ascii="仿宋_GB2312" w:hAnsi="宋体" w:eastAsia="仿宋_GB2312" w:cs="Courier New"/>
          <w:sz w:val="32"/>
          <w:szCs w:val="32"/>
        </w:rPr>
        <w:t>”</w:t>
      </w:r>
      <w:r>
        <w:rPr>
          <w:rFonts w:hint="eastAsia" w:ascii="仿宋_GB2312" w:hAnsi="宋体" w:eastAsia="仿宋_GB2312" w:cs="Courier New"/>
          <w:sz w:val="32"/>
          <w:szCs w:val="32"/>
        </w:rPr>
        <w:t>三公经费</w:t>
      </w:r>
      <w:r>
        <w:rPr>
          <w:rFonts w:ascii="仿宋_GB2312" w:hAnsi="宋体" w:eastAsia="仿宋_GB2312" w:cs="Courier New"/>
          <w:sz w:val="32"/>
          <w:szCs w:val="32"/>
        </w:rPr>
        <w:t>”</w:t>
      </w:r>
      <w:r>
        <w:rPr>
          <w:rFonts w:hint="eastAsia" w:ascii="仿宋_GB2312" w:hAnsi="宋体" w:eastAsia="仿宋_GB2312" w:cs="Courier New"/>
          <w:sz w:val="32"/>
          <w:szCs w:val="32"/>
        </w:rPr>
        <w:t>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数比2017年减少3.1万元，下降25%，其中：因公出国（境）费支出决算增加（减少）０万元，增长（下降）０%；公务用车购置及运行费支出决算减少0.1万元，下降1.7%；公务接待费支出决算减少5.2万元，下降81.3%。因公出国（境）费支出没有增加的主要原因是严格控制因公出国(境)的管理；公务用车购置及运行费支出没有增加的主要原因是严格控制公务用车的管理；公务接待费支出没有增加的主要原因是严格按理公务接待费的支出管理。</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2018年度“三公”经费财政拨款支出决算中，因公出国（境）费支出决算０万元，占０%；公务用车购置及运行费支出决算5.72万元，占78%；公务接待费支出决算1.6万元，占22%。具体情况如下：</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支出0万元。全年安排局机关、局属二级单位因公出国（境）团组0个，累计0人次。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2.公务用车购置及运行费</w:t>
      </w:r>
      <w:r>
        <w:rPr>
          <w:rFonts w:hint="eastAsia" w:ascii="仿宋_GB2312" w:hAnsi="宋体" w:eastAsia="仿宋_GB2312" w:cs="Courier New"/>
          <w:sz w:val="32"/>
          <w:szCs w:val="32"/>
        </w:rPr>
        <w:t>支出5.8万元。其中：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支出5.72万元。主要用于公务用车的加油和维修费用。2018年期末，</w:t>
      </w: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机关、局属二级单位开支财政拨款的公务用车保有量为3辆。</w:t>
      </w:r>
    </w:p>
    <w:p>
      <w:pPr>
        <w:kinsoku w:val="0"/>
        <w:overflowPunct w:val="0"/>
        <w:autoSpaceDE w:val="0"/>
        <w:autoSpaceDN w:val="0"/>
        <w:adjustRightInd w:val="0"/>
        <w:snapToGrid w:val="0"/>
        <w:spacing w:line="360" w:lineRule="auto"/>
        <w:ind w:left="643"/>
        <w:rPr>
          <w:rFonts w:ascii="仿宋_GB2312" w:hAnsi="宋体" w:eastAsia="仿宋_GB2312" w:cs="Courier New"/>
          <w:b/>
          <w:bCs/>
          <w:sz w:val="32"/>
          <w:szCs w:val="32"/>
        </w:rPr>
      </w:pPr>
      <w:r>
        <w:rPr>
          <w:rFonts w:hint="eastAsia" w:ascii="仿宋_GB2312" w:hAnsi="宋体" w:eastAsia="仿宋_GB2312" w:cs="Courier New"/>
          <w:b/>
          <w:bCs/>
          <w:sz w:val="32"/>
          <w:szCs w:val="32"/>
        </w:rPr>
        <w:t>3.公务接待费</w:t>
      </w:r>
      <w:r>
        <w:rPr>
          <w:rFonts w:hint="eastAsia" w:ascii="仿宋_GB2312" w:hAnsi="宋体" w:eastAsia="仿宋_GB2312" w:cs="Courier New"/>
          <w:sz w:val="32"/>
          <w:szCs w:val="32"/>
        </w:rPr>
        <w:t>支出1.6万元。其中：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支出为０万元。</w:t>
      </w: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2018年度共接待国（境）外来访团组０个、来访外宾０人次（不包括陪同人员）。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支出为1.6万元，共计21批次205次（不包括陪同人员），主要用于公务接待和加班用餐。。</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对2018年度一般公共预算项目支出全面开展绩效自评。其中，法律援助和社区矫正，共涉及预算资金81.2万元，自评覆盖率达到100%。</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在2018年度部门决算中增加“法律援助经费”项目绩效评价结果。根据2018年年初设定的绩效目标，“法律援助经费”项目自评得分为90分。发现的主要问题：法律援助经费要求专款专用，不能用于发放值班人员工资。下一步改进措施：退回发放的值班人员工资，按要求使用好法律援助经费，应援尽援。</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2018年度政府性基金预算财政拨款支出年初预算为０万元，支出决算为０万元，完成年初预算的０%。</w:t>
      </w:r>
    </w:p>
    <w:p>
      <w:pPr>
        <w:numPr>
          <w:ilvl w:val="0"/>
          <w:numId w:val="7"/>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2018年度机关运行经费支出267.8万元，比2017年减少116.18万元，下降30.2</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原因为厉行节约。</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2018年度政府采购支出总额54.82万元，其中：政府采购货物支出54.82万元，占比100</w:t>
      </w:r>
      <w:r>
        <w:rPr>
          <w:rFonts w:ascii="仿宋_GB2312" w:hAnsi="宋体" w:eastAsia="仿宋_GB2312" w:cs="Courier New"/>
          <w:sz w:val="32"/>
          <w:szCs w:val="32"/>
        </w:rPr>
        <w:t>%，</w:t>
      </w:r>
      <w:r>
        <w:rPr>
          <w:rFonts w:hint="eastAsia" w:ascii="仿宋_GB2312" w:hAnsi="宋体" w:eastAsia="仿宋_GB2312" w:cs="Courier New"/>
          <w:sz w:val="32"/>
          <w:szCs w:val="32"/>
        </w:rPr>
        <w:t>政府采购工程支出0万元，政府采购服务支出0万元。授予中小企业合同金额0万元，占政府采购支出总额的0%，其中：授予小微企业合同金额0万元，占政府采购支出总额的0%。</w:t>
      </w:r>
    </w:p>
    <w:p>
      <w:pPr>
        <w:numPr>
          <w:ilvl w:val="0"/>
          <w:numId w:val="13"/>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2018年期末，</w:t>
      </w: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共有车辆3辆，其中：省级领导干部用车0辆、一般公务用车0辆、一般执法执勤用车3辆、特种专业技术用车0辆，其他用车0辆，其他用车无；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color w:val="auto"/>
          <w:sz w:val="32"/>
          <w:szCs w:val="32"/>
        </w:rPr>
        <w:t>一般公共服务（类）财政事务（款）行政运行（项）（请根据单位实际情况，参照《2017年政府收支分类科目》和对口中央部门决算公开信息填写）：</w:t>
      </w:r>
      <w:r>
        <w:rPr>
          <w:rFonts w:hint="eastAsia" w:ascii="仿宋_GB2312" w:hAnsi="宋体" w:eastAsia="仿宋_GB2312" w:cs="Courier New"/>
          <w:color w:val="auto"/>
          <w:sz w:val="32"/>
          <w:szCs w:val="32"/>
        </w:rPr>
        <w:t>是指ＸＸ厅（局）用于保障机构正常运行、开展日常工</w:t>
      </w:r>
      <w:r>
        <w:rPr>
          <w:rFonts w:hint="eastAsia" w:ascii="仿宋_GB2312" w:hAnsi="宋体" w:eastAsia="仿宋_GB2312" w:cs="Courier New"/>
          <w:sz w:val="32"/>
          <w:szCs w:val="32"/>
        </w:rPr>
        <w:t>作的基本支出。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6BE5E"/>
    <w:multiLevelType w:val="singleLevel"/>
    <w:tmpl w:val="F086BE5E"/>
    <w:lvl w:ilvl="0" w:tentative="0">
      <w:start w:val="1"/>
      <w:numFmt w:val="decimal"/>
      <w:suff w:val="nothing"/>
      <w:lvlText w:val="%1、"/>
      <w:lvlJc w:val="left"/>
    </w:lvl>
  </w:abstractNum>
  <w:abstractNum w:abstractNumId="1">
    <w:nsid w:val="375579CC"/>
    <w:multiLevelType w:val="multilevel"/>
    <w:tmpl w:val="375579CC"/>
    <w:lvl w:ilvl="0" w:tentative="0">
      <w:start w:val="1"/>
      <w:numFmt w:val="japaneseCounting"/>
      <w:lvlText w:val="（%1）"/>
      <w:lvlJc w:val="left"/>
      <w:pPr>
        <w:ind w:left="900" w:hanging="900"/>
      </w:pPr>
      <w:rPr>
        <w:rFonts w:hint="default" w:ascii="_5b8b_4f53" w:hAnsi="_5b8b_4f53"/>
        <w:i/>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5971BE17"/>
    <w:multiLevelType w:val="singleLevel"/>
    <w:tmpl w:val="5971BE17"/>
    <w:lvl w:ilvl="0" w:tentative="0">
      <w:start w:val="1"/>
      <w:numFmt w:val="chineseCounting"/>
      <w:suff w:val="nothing"/>
      <w:lvlText w:val="%1、"/>
      <w:lvlJc w:val="left"/>
    </w:lvl>
  </w:abstractNum>
  <w:abstractNum w:abstractNumId="4">
    <w:nsid w:val="5971C193"/>
    <w:multiLevelType w:val="singleLevel"/>
    <w:tmpl w:val="5971C193"/>
    <w:lvl w:ilvl="0" w:tentative="0">
      <w:start w:val="2"/>
      <w:numFmt w:val="chineseCounting"/>
      <w:suff w:val="nothing"/>
      <w:lvlText w:val="%1、"/>
      <w:lvlJc w:val="left"/>
    </w:lvl>
  </w:abstractNum>
  <w:abstractNum w:abstractNumId="5">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6">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7">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8">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9">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10">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11">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2">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3">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10AF4"/>
    <w:rsid w:val="002478DD"/>
    <w:rsid w:val="002626CB"/>
    <w:rsid w:val="002A13B5"/>
    <w:rsid w:val="002E6A11"/>
    <w:rsid w:val="00323ADB"/>
    <w:rsid w:val="003C00AF"/>
    <w:rsid w:val="003C1835"/>
    <w:rsid w:val="003C598F"/>
    <w:rsid w:val="004150A8"/>
    <w:rsid w:val="00434965"/>
    <w:rsid w:val="00440EB1"/>
    <w:rsid w:val="004B3644"/>
    <w:rsid w:val="00551EF5"/>
    <w:rsid w:val="00602FE4"/>
    <w:rsid w:val="00630D31"/>
    <w:rsid w:val="006F68AC"/>
    <w:rsid w:val="00722874"/>
    <w:rsid w:val="00737710"/>
    <w:rsid w:val="00756CF2"/>
    <w:rsid w:val="00783862"/>
    <w:rsid w:val="00793F89"/>
    <w:rsid w:val="007F6F76"/>
    <w:rsid w:val="008373E2"/>
    <w:rsid w:val="009B21AA"/>
    <w:rsid w:val="00A2536C"/>
    <w:rsid w:val="00AC166F"/>
    <w:rsid w:val="00B54309"/>
    <w:rsid w:val="00B84FB0"/>
    <w:rsid w:val="00BD7C74"/>
    <w:rsid w:val="00C43FAE"/>
    <w:rsid w:val="00CC4482"/>
    <w:rsid w:val="00DB1288"/>
    <w:rsid w:val="00E10042"/>
    <w:rsid w:val="00E30AAF"/>
    <w:rsid w:val="00E41B4E"/>
    <w:rsid w:val="00EE0BEE"/>
    <w:rsid w:val="00EF313D"/>
    <w:rsid w:val="00F02558"/>
    <w:rsid w:val="00F132F4"/>
    <w:rsid w:val="00F93487"/>
    <w:rsid w:val="01064770"/>
    <w:rsid w:val="035C634F"/>
    <w:rsid w:val="04453648"/>
    <w:rsid w:val="09BB2134"/>
    <w:rsid w:val="0A0F5471"/>
    <w:rsid w:val="105475F3"/>
    <w:rsid w:val="13DA4090"/>
    <w:rsid w:val="15492582"/>
    <w:rsid w:val="1A11054E"/>
    <w:rsid w:val="1BB26345"/>
    <w:rsid w:val="1E7D3B34"/>
    <w:rsid w:val="209C4FF0"/>
    <w:rsid w:val="229854F6"/>
    <w:rsid w:val="258F34D6"/>
    <w:rsid w:val="29022AAF"/>
    <w:rsid w:val="2BA4769A"/>
    <w:rsid w:val="2CD06EF4"/>
    <w:rsid w:val="318B568C"/>
    <w:rsid w:val="32EF40CE"/>
    <w:rsid w:val="372974AC"/>
    <w:rsid w:val="3CE47224"/>
    <w:rsid w:val="3D877412"/>
    <w:rsid w:val="40E20F02"/>
    <w:rsid w:val="42271DDB"/>
    <w:rsid w:val="43870BC7"/>
    <w:rsid w:val="44633879"/>
    <w:rsid w:val="48036E61"/>
    <w:rsid w:val="48B52937"/>
    <w:rsid w:val="48EE3EF3"/>
    <w:rsid w:val="4C1E2F28"/>
    <w:rsid w:val="4CCB0AD4"/>
    <w:rsid w:val="51AD42DE"/>
    <w:rsid w:val="53E9756D"/>
    <w:rsid w:val="54013B51"/>
    <w:rsid w:val="5651051D"/>
    <w:rsid w:val="57BB5F84"/>
    <w:rsid w:val="57E961A8"/>
    <w:rsid w:val="581E77CF"/>
    <w:rsid w:val="58B06254"/>
    <w:rsid w:val="59E3092F"/>
    <w:rsid w:val="5AF25131"/>
    <w:rsid w:val="5F3A0145"/>
    <w:rsid w:val="600176AC"/>
    <w:rsid w:val="627358F6"/>
    <w:rsid w:val="6431638A"/>
    <w:rsid w:val="664A46E0"/>
    <w:rsid w:val="674E08EC"/>
    <w:rsid w:val="68BD3A67"/>
    <w:rsid w:val="6A2415C4"/>
    <w:rsid w:val="6BFC4CD2"/>
    <w:rsid w:val="6C2F3976"/>
    <w:rsid w:val="6F6D1888"/>
    <w:rsid w:val="737A5BE5"/>
    <w:rsid w:val="73F1196C"/>
    <w:rsid w:val="74516561"/>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Calibri" w:hAnsi="Calibri" w:eastAsia="宋体"/>
      <w:sz w:val="24"/>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855</Words>
  <Characters>4875</Characters>
  <Lines>40</Lines>
  <Paragraphs>11</Paragraphs>
  <TotalTime>1</TotalTime>
  <ScaleCrop>false</ScaleCrop>
  <LinksUpToDate>false</LinksUpToDate>
  <CharactersWithSpaces>5719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2021-06-19T07:24:30Z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BE0B2C7C491646D28A2E00DF138B2925</vt:lpwstr>
  </property>
</Properties>
</file>