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lang w:eastAsia="zh-CN"/>
        </w:rPr>
        <w:t>信阳市浉河区民政</w:t>
      </w:r>
      <w:r>
        <w:rPr>
          <w:rFonts w:hint="eastAsia" w:ascii="隶书" w:hAnsi="隶书" w:eastAsia="隶书" w:cs="隶书"/>
          <w:sz w:val="52"/>
          <w:szCs w:val="52"/>
        </w:rPr>
        <w:t>局</w:t>
      </w:r>
    </w:p>
    <w:p>
      <w:pPr>
        <w:jc w:val="center"/>
        <w:rPr>
          <w:rFonts w:ascii="黑体" w:hAnsi="黑体" w:eastAsia="黑体" w:cs="黑体"/>
          <w:sz w:val="52"/>
          <w:szCs w:val="52"/>
        </w:rPr>
      </w:pPr>
    </w:p>
    <w:p>
      <w:pPr>
        <w:jc w:val="center"/>
        <w:rPr>
          <w:rFonts w:hint="eastAsia" w:ascii="隶书" w:hAnsi="隶书" w:eastAsia="隶书" w:cs="隶书"/>
          <w:sz w:val="52"/>
          <w:szCs w:val="52"/>
        </w:rPr>
      </w:pPr>
      <w:r>
        <w:rPr>
          <w:rFonts w:hint="eastAsia" w:ascii="隶书" w:hAnsi="隶书" w:eastAsia="隶书" w:cs="隶书"/>
          <w:sz w:val="52"/>
          <w:szCs w:val="52"/>
          <w:lang w:eastAsia="zh-CN"/>
        </w:rPr>
        <w:t>201</w:t>
      </w:r>
      <w:r>
        <w:rPr>
          <w:rFonts w:hint="eastAsia" w:ascii="隶书" w:hAnsi="隶书" w:eastAsia="隶书" w:cs="隶书"/>
          <w:sz w:val="52"/>
          <w:szCs w:val="52"/>
          <w:lang w:val="en-US" w:eastAsia="zh-CN"/>
        </w:rPr>
        <w:t>8</w:t>
      </w:r>
      <w:r>
        <w:rPr>
          <w:rFonts w:hint="eastAsia" w:ascii="隶书" w:hAnsi="隶书" w:eastAsia="隶书" w:cs="隶书"/>
          <w:sz w:val="52"/>
          <w:szCs w:val="52"/>
        </w:rPr>
        <w:t>年度部门决算</w:t>
      </w: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default" w:ascii="隶书" w:hAnsi="隶书" w:eastAsia="隶书" w:cs="隶书"/>
          <w:sz w:val="52"/>
          <w:szCs w:val="52"/>
          <w:lang w:val="en-US" w:eastAsia="zh-CN"/>
        </w:rPr>
        <w:sectPr>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28"/>
          <w:szCs w:val="28"/>
          <w:lang w:val="en-US" w:eastAsia="zh-CN"/>
        </w:rPr>
        <w:t>二0一九年九月</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信阳市浉河区民政局概况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lang w:eastAsia="zh-CN"/>
        </w:rPr>
        <w:t>部门职责</w:t>
      </w:r>
    </w:p>
    <w:p>
      <w:pPr>
        <w:numPr>
          <w:ilvl w:val="0"/>
          <w:numId w:val="1"/>
        </w:numPr>
        <w:jc w:val="left"/>
        <w:rPr>
          <w:rFonts w:ascii="宋体" w:hAnsi="宋体" w:eastAsia="宋体" w:cs="宋体"/>
          <w:sz w:val="32"/>
          <w:szCs w:val="32"/>
        </w:rPr>
      </w:pPr>
      <w:r>
        <w:rPr>
          <w:rFonts w:hint="eastAsia" w:ascii="宋体" w:hAnsi="宋体" w:eastAsia="宋体" w:cs="宋体"/>
          <w:sz w:val="32"/>
          <w:szCs w:val="32"/>
          <w:lang w:eastAsia="zh-CN"/>
        </w:rPr>
        <w:t>机构设置</w:t>
      </w:r>
    </w:p>
    <w:p>
      <w:pPr>
        <w:jc w:val="left"/>
        <w:rPr>
          <w:rFonts w:hint="eastAsia" w:ascii="黑体" w:hAnsi="黑体" w:eastAsia="黑体" w:cs="黑体"/>
          <w:sz w:val="32"/>
          <w:szCs w:val="32"/>
          <w:lang w:eastAsia="zh-CN"/>
        </w:rPr>
      </w:pPr>
      <w:r>
        <w:rPr>
          <w:rFonts w:hint="eastAsia" w:ascii="黑体" w:hAnsi="黑体" w:eastAsia="黑体" w:cs="黑体"/>
          <w:sz w:val="32"/>
          <w:szCs w:val="32"/>
        </w:rPr>
        <w:t>第二部分　　</w:t>
      </w:r>
      <w:r>
        <w:rPr>
          <w:rFonts w:hint="eastAsia" w:ascii="黑体" w:hAnsi="黑体" w:eastAsia="黑体" w:cs="黑体"/>
          <w:sz w:val="32"/>
          <w:szCs w:val="32"/>
          <w:lang w:eastAsia="zh-CN"/>
        </w:rPr>
        <w:t>201</w:t>
      </w:r>
      <w:r>
        <w:rPr>
          <w:rFonts w:hint="eastAsia" w:ascii="黑体" w:hAnsi="黑体" w:eastAsia="黑体" w:cs="黑体"/>
          <w:sz w:val="32"/>
          <w:szCs w:val="32"/>
          <w:lang w:val="en-US" w:eastAsia="zh-CN"/>
        </w:rPr>
        <w:t>8</w:t>
      </w:r>
      <w:r>
        <w:rPr>
          <w:rFonts w:hint="eastAsia" w:ascii="黑体" w:hAnsi="黑体" w:eastAsia="黑体" w:cs="黑体"/>
          <w:sz w:val="32"/>
          <w:szCs w:val="32"/>
        </w:rPr>
        <w:t>年度部门决算</w:t>
      </w:r>
      <w:r>
        <w:rPr>
          <w:rFonts w:hint="eastAsia" w:ascii="黑体" w:hAnsi="黑体" w:eastAsia="黑体" w:cs="黑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一、收入支出决算</w:t>
      </w:r>
      <w:r>
        <w:rPr>
          <w:rFonts w:hint="eastAsia" w:ascii="宋体" w:hAnsi="宋体" w:eastAsia="宋体" w:cs="宋体"/>
          <w:sz w:val="32"/>
          <w:szCs w:val="32"/>
          <w:lang w:eastAsia="zh-CN"/>
        </w:rPr>
        <w:t>总体情况说明</w:t>
      </w:r>
    </w:p>
    <w:p>
      <w:pPr>
        <w:jc w:val="left"/>
        <w:rPr>
          <w:rFonts w:ascii="宋体" w:hAnsi="宋体" w:eastAsia="宋体" w:cs="宋体"/>
          <w:sz w:val="32"/>
          <w:szCs w:val="32"/>
        </w:rPr>
      </w:pPr>
      <w:r>
        <w:rPr>
          <w:rFonts w:hint="eastAsia" w:ascii="宋体" w:hAnsi="宋体" w:eastAsia="宋体" w:cs="宋体"/>
          <w:sz w:val="32"/>
          <w:szCs w:val="32"/>
        </w:rPr>
        <w:t>二、收入决算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三、支出决算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四、财政拨款收入支出决算总</w:t>
      </w:r>
      <w:r>
        <w:rPr>
          <w:rFonts w:hint="eastAsia" w:ascii="宋体" w:hAnsi="宋体" w:eastAsia="宋体" w:cs="宋体"/>
          <w:sz w:val="32"/>
          <w:szCs w:val="32"/>
          <w:lang w:eastAsia="zh-CN"/>
        </w:rPr>
        <w:t>体情况说明</w:t>
      </w:r>
    </w:p>
    <w:p>
      <w:pPr>
        <w:jc w:val="left"/>
        <w:rPr>
          <w:rFonts w:ascii="宋体" w:hAnsi="宋体" w:eastAsia="宋体" w:cs="宋体"/>
          <w:sz w:val="32"/>
          <w:szCs w:val="32"/>
        </w:rPr>
      </w:pPr>
      <w:r>
        <w:rPr>
          <w:rFonts w:hint="eastAsia" w:ascii="宋体" w:hAnsi="宋体" w:eastAsia="宋体" w:cs="宋体"/>
          <w:sz w:val="32"/>
          <w:szCs w:val="32"/>
        </w:rPr>
        <w:t>五、一般公共预算财政拨款支出决算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六、一般公共预算财政拨款基本支出决算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rPr>
      </w:pPr>
      <w:r>
        <w:rPr>
          <w:rFonts w:hint="eastAsia" w:ascii="宋体" w:hAnsi="宋体" w:eastAsia="宋体" w:cs="宋体"/>
          <w:sz w:val="32"/>
          <w:szCs w:val="32"/>
        </w:rPr>
        <w:t>八、</w:t>
      </w:r>
      <w:r>
        <w:rPr>
          <w:rFonts w:hint="eastAsia" w:ascii="宋体" w:hAnsi="宋体" w:eastAsia="宋体" w:cs="宋体"/>
          <w:sz w:val="32"/>
          <w:szCs w:val="32"/>
          <w:lang w:eastAsia="zh-CN"/>
        </w:rPr>
        <w:t>预算绩效情况说明</w:t>
      </w:r>
    </w:p>
    <w:p>
      <w:pPr>
        <w:jc w:val="left"/>
        <w:rPr>
          <w:rFonts w:hint="eastAsia" w:ascii="宋体" w:hAnsi="宋体" w:eastAsia="宋体" w:cs="宋体"/>
          <w:sz w:val="32"/>
          <w:szCs w:val="32"/>
        </w:rPr>
      </w:pPr>
      <w:r>
        <w:rPr>
          <w:rFonts w:hint="eastAsia" w:ascii="宋体" w:hAnsi="宋体" w:eastAsia="宋体" w:cs="宋体"/>
          <w:sz w:val="32"/>
          <w:szCs w:val="32"/>
          <w:lang w:eastAsia="zh-CN"/>
        </w:rPr>
        <w:t>九、</w:t>
      </w:r>
      <w:r>
        <w:rPr>
          <w:rFonts w:hint="eastAsia" w:ascii="宋体" w:hAnsi="宋体" w:eastAsia="宋体" w:cs="宋体"/>
          <w:sz w:val="32"/>
          <w:szCs w:val="32"/>
        </w:rPr>
        <w:t>政府性基金预算财政拨款支出决算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十、机关运行经费支出情况说明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十一、政府采购支出情况说明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十二、国有资产占用情况说明</w:t>
      </w:r>
    </w:p>
    <w:p>
      <w:pPr>
        <w:jc w:val="left"/>
        <w:rPr>
          <w:rFonts w:hint="eastAsia" w:ascii="黑体" w:hAnsi="黑体" w:eastAsia="黑体" w:cs="黑体"/>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部分　　名词解</w:t>
      </w:r>
      <w:r>
        <w:rPr>
          <w:rFonts w:hint="eastAsia" w:ascii="黑体" w:hAnsi="黑体" w:eastAsia="黑体" w:cs="黑体"/>
          <w:sz w:val="32"/>
          <w:szCs w:val="32"/>
          <w:lang w:eastAsia="zh-CN"/>
        </w:rPr>
        <w:t>释</w:t>
      </w:r>
    </w:p>
    <w:p>
      <w:pPr>
        <w:jc w:val="lef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bookmarkStart w:id="0" w:name="_GoBack"/>
      <w:bookmarkEnd w:id="0"/>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2018年度</w:t>
      </w:r>
      <w:r>
        <w:rPr>
          <w:rFonts w:hint="eastAsia" w:ascii="黑体" w:hAnsi="黑体" w:eastAsia="黑体" w:cs="黑体"/>
          <w:color w:val="auto"/>
          <w:sz w:val="32"/>
          <w:szCs w:val="32"/>
          <w:highlight w:val="none"/>
        </w:rPr>
        <w:t>部门决算表</w:t>
      </w:r>
      <w:r>
        <w:rPr>
          <w:rFonts w:hint="eastAsia" w:ascii="黑体" w:hAnsi="黑体" w:eastAsia="黑体" w:cs="黑体"/>
          <w:color w:val="auto"/>
          <w:sz w:val="32"/>
          <w:szCs w:val="32"/>
          <w:highlight w:val="none"/>
          <w:lang w:eastAsia="zh-CN"/>
        </w:rPr>
        <w:t>（详见附件</w:t>
      </w:r>
      <w:r>
        <w:rPr>
          <w:rFonts w:hint="eastAsia" w:ascii="黑体" w:hAnsi="黑体" w:eastAsia="黑体" w:cs="黑体"/>
          <w:color w:val="auto"/>
          <w:sz w:val="32"/>
          <w:szCs w:val="32"/>
          <w:highlight w:val="none"/>
          <w:lang w:val="en-US" w:eastAsia="zh-CN"/>
        </w:rPr>
        <w:t>Excel表格）</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八、政府性基金预算财政拨款收入支出决算表</w:t>
      </w:r>
    </w:p>
    <w:p>
      <w:pPr>
        <w:jc w:val="left"/>
        <w:rPr>
          <w:rFonts w:hint="default" w:ascii="黑体" w:hAnsi="黑体" w:eastAsia="黑体" w:cs="黑体"/>
          <w:color w:val="auto"/>
          <w:sz w:val="32"/>
          <w:szCs w:val="32"/>
          <w:highlight w:val="none"/>
          <w:lang w:val="en-US"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widowControl w:val="0"/>
        <w:numPr>
          <w:numId w:val="0"/>
        </w:numPr>
        <w:jc w:val="center"/>
        <w:outlineLvl w:val="0"/>
        <w:rPr>
          <w:rFonts w:hint="eastAsia" w:ascii="黑体" w:hAnsi="黑体" w:eastAsia="黑体" w:cs="黑体"/>
          <w:sz w:val="48"/>
          <w:szCs w:val="48"/>
        </w:rPr>
      </w:pPr>
    </w:p>
    <w:p>
      <w:pPr>
        <w:widowControl w:val="0"/>
        <w:numPr>
          <w:numId w:val="0"/>
        </w:numPr>
        <w:jc w:val="center"/>
        <w:outlineLvl w:val="0"/>
        <w:rPr>
          <w:rFonts w:hint="eastAsia" w:ascii="黑体" w:hAnsi="黑体" w:eastAsia="黑体" w:cs="黑体"/>
          <w:sz w:val="48"/>
          <w:szCs w:val="48"/>
        </w:rPr>
      </w:pPr>
    </w:p>
    <w:p>
      <w:pPr>
        <w:widowControl w:val="0"/>
        <w:numPr>
          <w:numId w:val="0"/>
        </w:numPr>
        <w:jc w:val="center"/>
        <w:outlineLvl w:val="0"/>
        <w:rPr>
          <w:rFonts w:hint="eastAsia" w:ascii="黑体" w:hAnsi="黑体" w:eastAsia="黑体" w:cs="黑体"/>
          <w:sz w:val="48"/>
          <w:szCs w:val="48"/>
        </w:rPr>
      </w:pPr>
    </w:p>
    <w:p>
      <w:pPr>
        <w:widowControl w:val="0"/>
        <w:numPr>
          <w:numId w:val="0"/>
        </w:numPr>
        <w:jc w:val="center"/>
        <w:outlineLvl w:val="0"/>
        <w:rPr>
          <w:rFonts w:hint="eastAsia" w:ascii="黑体" w:hAnsi="黑体" w:eastAsia="黑体" w:cs="黑体"/>
          <w:sz w:val="48"/>
          <w:szCs w:val="48"/>
        </w:rPr>
      </w:pPr>
    </w:p>
    <w:p>
      <w:pPr>
        <w:widowControl w:val="0"/>
        <w:numPr>
          <w:numId w:val="0"/>
        </w:numPr>
        <w:jc w:val="center"/>
        <w:outlineLvl w:val="0"/>
        <w:rPr>
          <w:rFonts w:hint="eastAsia" w:ascii="黑体" w:hAnsi="黑体" w:eastAsia="黑体" w:cs="黑体"/>
          <w:sz w:val="48"/>
          <w:szCs w:val="48"/>
        </w:rPr>
      </w:pPr>
    </w:p>
    <w:p>
      <w:pPr>
        <w:widowControl w:val="0"/>
        <w:numPr>
          <w:numId w:val="0"/>
        </w:numPr>
        <w:jc w:val="center"/>
        <w:outlineLvl w:val="0"/>
        <w:rPr>
          <w:rFonts w:hint="eastAsia" w:ascii="黑体" w:hAnsi="黑体" w:eastAsia="黑体" w:cs="黑体"/>
          <w:sz w:val="48"/>
          <w:szCs w:val="48"/>
        </w:rPr>
      </w:pPr>
    </w:p>
    <w:p>
      <w:pPr>
        <w:numPr>
          <w:ilvl w:val="0"/>
          <w:numId w:val="2"/>
        </w:numPr>
        <w:ind w:left="720" w:leftChars="0" w:firstLine="0" w:firstLineChars="0"/>
        <w:jc w:val="both"/>
        <w:outlineLvl w:val="0"/>
        <w:rPr>
          <w:rFonts w:hint="eastAsia" w:ascii="黑体" w:hAnsi="黑体" w:eastAsia="黑体" w:cs="黑体"/>
          <w:sz w:val="48"/>
          <w:szCs w:val="48"/>
        </w:rPr>
      </w:pPr>
      <w:r>
        <w:rPr>
          <w:rFonts w:hint="eastAsia" w:ascii="黑体" w:hAnsi="黑体" w:eastAsia="黑体" w:cs="黑体"/>
          <w:sz w:val="48"/>
          <w:szCs w:val="48"/>
        </w:rPr>
        <w:t>信阳市浉河区民政局概况</w:t>
      </w:r>
    </w:p>
    <w:p>
      <w:pPr>
        <w:widowControl w:val="0"/>
        <w:numPr>
          <w:numId w:val="0"/>
        </w:numPr>
        <w:jc w:val="both"/>
        <w:outlineLvl w:val="0"/>
        <w:rPr>
          <w:rFonts w:hint="eastAsia" w:ascii="黑体" w:hAnsi="黑体" w:eastAsia="黑体" w:cs="黑体"/>
          <w:sz w:val="48"/>
          <w:szCs w:val="48"/>
        </w:rPr>
      </w:pPr>
    </w:p>
    <w:p>
      <w:pPr>
        <w:widowControl w:val="0"/>
        <w:numPr>
          <w:numId w:val="0"/>
        </w:numPr>
        <w:jc w:val="both"/>
        <w:outlineLvl w:val="0"/>
        <w:rPr>
          <w:rFonts w:hint="eastAsia" w:ascii="黑体" w:hAnsi="黑体" w:eastAsia="黑体" w:cs="黑体"/>
          <w:sz w:val="48"/>
          <w:szCs w:val="48"/>
        </w:rPr>
      </w:pPr>
    </w:p>
    <w:p>
      <w:pPr>
        <w:widowControl w:val="0"/>
        <w:numPr>
          <w:numId w:val="0"/>
        </w:numPr>
        <w:jc w:val="both"/>
        <w:outlineLvl w:val="0"/>
        <w:rPr>
          <w:rFonts w:hint="eastAsia" w:ascii="黑体" w:hAnsi="黑体" w:eastAsia="黑体" w:cs="黑体"/>
          <w:sz w:val="48"/>
          <w:szCs w:val="48"/>
        </w:rPr>
      </w:pPr>
    </w:p>
    <w:p>
      <w:pPr>
        <w:widowControl w:val="0"/>
        <w:numPr>
          <w:numId w:val="0"/>
        </w:numPr>
        <w:jc w:val="both"/>
        <w:outlineLvl w:val="0"/>
        <w:rPr>
          <w:rFonts w:hint="eastAsia" w:ascii="黑体" w:hAnsi="黑体" w:eastAsia="黑体" w:cs="黑体"/>
          <w:sz w:val="48"/>
          <w:szCs w:val="48"/>
        </w:rPr>
      </w:pPr>
    </w:p>
    <w:p>
      <w:pPr>
        <w:widowControl w:val="0"/>
        <w:numPr>
          <w:numId w:val="0"/>
        </w:numPr>
        <w:jc w:val="both"/>
        <w:outlineLvl w:val="0"/>
        <w:rPr>
          <w:rFonts w:hint="eastAsia" w:ascii="黑体" w:hAnsi="黑体" w:eastAsia="黑体" w:cs="黑体"/>
          <w:sz w:val="48"/>
          <w:szCs w:val="48"/>
        </w:rPr>
      </w:pPr>
    </w:p>
    <w:p>
      <w:pPr>
        <w:widowControl w:val="0"/>
        <w:numPr>
          <w:numId w:val="0"/>
        </w:numPr>
        <w:jc w:val="both"/>
        <w:outlineLvl w:val="0"/>
        <w:rPr>
          <w:rFonts w:hint="eastAsia" w:ascii="黑体" w:hAnsi="黑体" w:eastAsia="黑体" w:cs="黑体"/>
          <w:sz w:val="48"/>
          <w:szCs w:val="48"/>
        </w:rPr>
      </w:pPr>
    </w:p>
    <w:p>
      <w:pPr>
        <w:widowControl w:val="0"/>
        <w:numPr>
          <w:numId w:val="0"/>
        </w:numPr>
        <w:jc w:val="both"/>
        <w:outlineLvl w:val="0"/>
        <w:rPr>
          <w:rFonts w:hint="eastAsia" w:ascii="黑体" w:hAnsi="黑体" w:eastAsia="黑体" w:cs="黑体"/>
          <w:sz w:val="48"/>
          <w:szCs w:val="48"/>
        </w:rPr>
      </w:pPr>
    </w:p>
    <w:p>
      <w:pPr>
        <w:widowControl w:val="0"/>
        <w:numPr>
          <w:numId w:val="0"/>
        </w:numPr>
        <w:jc w:val="both"/>
        <w:outlineLvl w:val="0"/>
        <w:rPr>
          <w:rFonts w:hint="eastAsia" w:ascii="黑体" w:hAnsi="黑体" w:eastAsia="黑体" w:cs="黑体"/>
          <w:sz w:val="48"/>
          <w:szCs w:val="48"/>
        </w:rPr>
      </w:pPr>
    </w:p>
    <w:p>
      <w:pPr>
        <w:widowControl w:val="0"/>
        <w:numPr>
          <w:numId w:val="0"/>
        </w:numPr>
        <w:jc w:val="both"/>
        <w:outlineLvl w:val="0"/>
        <w:rPr>
          <w:rFonts w:hint="eastAsia" w:ascii="黑体" w:hAnsi="黑体" w:eastAsia="黑体" w:cs="黑体"/>
          <w:sz w:val="48"/>
          <w:szCs w:val="48"/>
        </w:rPr>
      </w:pPr>
    </w:p>
    <w:p>
      <w:pPr>
        <w:widowControl w:val="0"/>
        <w:numPr>
          <w:numId w:val="0"/>
        </w:numPr>
        <w:jc w:val="both"/>
        <w:outlineLvl w:val="0"/>
        <w:rPr>
          <w:rFonts w:hint="eastAsia" w:ascii="黑体" w:hAnsi="黑体" w:eastAsia="黑体" w:cs="黑体"/>
          <w:sz w:val="48"/>
          <w:szCs w:val="48"/>
        </w:rPr>
      </w:pPr>
    </w:p>
    <w:p>
      <w:pPr>
        <w:widowControl w:val="0"/>
        <w:numPr>
          <w:numId w:val="0"/>
        </w:numPr>
        <w:jc w:val="both"/>
        <w:outlineLvl w:val="0"/>
        <w:rPr>
          <w:rFonts w:hint="eastAsia" w:ascii="黑体" w:hAnsi="黑体" w:eastAsia="黑体" w:cs="黑体"/>
          <w:sz w:val="48"/>
          <w:szCs w:val="48"/>
        </w:rPr>
      </w:pPr>
    </w:p>
    <w:p>
      <w:pPr>
        <w:widowControl w:val="0"/>
        <w:numPr>
          <w:numId w:val="0"/>
        </w:numPr>
        <w:jc w:val="both"/>
        <w:outlineLvl w:val="0"/>
        <w:rPr>
          <w:rFonts w:hint="eastAsia" w:ascii="黑体" w:hAnsi="黑体" w:eastAsia="黑体" w:cs="黑体"/>
          <w:sz w:val="48"/>
          <w:szCs w:val="48"/>
        </w:rPr>
      </w:pPr>
    </w:p>
    <w:p>
      <w:pPr>
        <w:widowControl w:val="0"/>
        <w:numPr>
          <w:numId w:val="0"/>
        </w:numPr>
        <w:jc w:val="both"/>
        <w:outlineLvl w:val="0"/>
        <w:rPr>
          <w:rFonts w:hint="eastAsia" w:ascii="黑体" w:hAnsi="黑体" w:eastAsia="黑体" w:cs="黑体"/>
          <w:sz w:val="48"/>
          <w:szCs w:val="48"/>
        </w:rPr>
      </w:pPr>
    </w:p>
    <w:p>
      <w:pPr>
        <w:widowControl w:val="0"/>
        <w:numPr>
          <w:numId w:val="0"/>
        </w:numPr>
        <w:jc w:val="both"/>
        <w:outlineLvl w:val="0"/>
        <w:rPr>
          <w:rFonts w:hint="eastAsia" w:ascii="黑体" w:hAnsi="黑体" w:eastAsia="黑体" w:cs="黑体"/>
          <w:sz w:val="48"/>
          <w:szCs w:val="48"/>
        </w:rPr>
      </w:pPr>
    </w:p>
    <w:p>
      <w:pPr>
        <w:widowControl w:val="0"/>
        <w:numPr>
          <w:numId w:val="0"/>
        </w:numPr>
        <w:jc w:val="both"/>
        <w:outlineLvl w:val="0"/>
        <w:rPr>
          <w:rFonts w:hint="eastAsia" w:ascii="黑体" w:hAnsi="黑体" w:eastAsia="黑体" w:cs="黑体"/>
          <w:sz w:val="48"/>
          <w:szCs w:val="48"/>
        </w:rPr>
      </w:pPr>
    </w:p>
    <w:p>
      <w:pPr>
        <w:widowControl w:val="0"/>
        <w:numPr>
          <w:numId w:val="0"/>
        </w:numPr>
        <w:jc w:val="both"/>
        <w:outlineLvl w:val="0"/>
        <w:rPr>
          <w:rFonts w:hint="eastAsia" w:ascii="黑体" w:hAnsi="黑体" w:eastAsia="黑体" w:cs="黑体"/>
          <w:sz w:val="48"/>
          <w:szCs w:val="48"/>
        </w:rPr>
      </w:pP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lang w:eastAsia="zh-CN"/>
        </w:rPr>
        <w:t>部门职责</w:t>
      </w:r>
    </w:p>
    <w:p>
      <w:pPr>
        <w:spacing w:after="0"/>
        <w:ind w:firstLine="600" w:firstLineChars="200"/>
        <w:jc w:val="left"/>
        <w:rPr>
          <w:rFonts w:ascii="楷体_GB2312" w:hAnsi="楷体_GB2312" w:eastAsia="楷体_GB2312" w:cs="楷体_GB2312"/>
          <w:sz w:val="32"/>
          <w:szCs w:val="32"/>
        </w:rPr>
      </w:pPr>
      <w:r>
        <w:rPr>
          <w:rFonts w:hint="eastAsia" w:ascii="宋体" w:hAnsi="宋体" w:eastAsia="宋体"/>
          <w:sz w:val="30"/>
          <w:szCs w:val="30"/>
        </w:rPr>
        <w:t>主要职责是：坚持“以人为本、为民解困、为民服务”的宗旨，发挥民政部门在构建和谐社会中的基础作用，保障全区人民群众的基本生活权益和民主政治权利，推动民政事业的发展。</w:t>
      </w:r>
      <w:r>
        <w:rPr>
          <w:rFonts w:hint="eastAsia" w:ascii="宋体" w:hAnsi="宋体" w:eastAsia="宋体"/>
          <w:sz w:val="30"/>
          <w:szCs w:val="30"/>
          <w:lang w:eastAsia="zh-CN"/>
        </w:rPr>
        <w:t>认真执行上级有关民生、扶贫等方面的政策，</w:t>
      </w:r>
      <w:r>
        <w:rPr>
          <w:rFonts w:hint="eastAsia" w:ascii="宋体" w:hAnsi="宋体" w:eastAsia="宋体"/>
          <w:sz w:val="30"/>
          <w:szCs w:val="30"/>
        </w:rPr>
        <w:t>紧紧围绕区委、区政府各项重大工作部署，保障民生各项资金的及时发放落实到位。</w:t>
      </w:r>
      <w:r>
        <w:rPr>
          <w:rFonts w:hint="eastAsia" w:ascii="宋体" w:hAnsi="宋体" w:eastAsia="宋体"/>
          <w:sz w:val="30"/>
          <w:szCs w:val="30"/>
          <w:lang w:val="en-US" w:eastAsia="zh-CN"/>
        </w:rPr>
        <w:t xml:space="preserve"> </w:t>
      </w:r>
    </w:p>
    <w:p>
      <w:pPr>
        <w:numPr>
          <w:ilvl w:val="0"/>
          <w:numId w:val="4"/>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lang w:eastAsia="zh-CN"/>
        </w:rPr>
        <w:t>机构设置</w:t>
      </w:r>
    </w:p>
    <w:p>
      <w:pPr>
        <w:spacing w:line="220" w:lineRule="atLeast"/>
        <w:ind w:firstLine="600" w:firstLineChars="200"/>
        <w:rPr>
          <w:rFonts w:ascii="宋体" w:hAnsi="宋体" w:eastAsia="宋体"/>
          <w:sz w:val="30"/>
          <w:szCs w:val="30"/>
        </w:rPr>
      </w:pPr>
      <w:r>
        <w:rPr>
          <w:rFonts w:hint="eastAsia" w:ascii="宋体" w:hAnsi="宋体" w:eastAsia="宋体"/>
          <w:sz w:val="30"/>
          <w:szCs w:val="30"/>
        </w:rPr>
        <w:t>浉河区民政局内设12个职能科室</w:t>
      </w:r>
      <w:r>
        <w:rPr>
          <w:rFonts w:hint="eastAsia" w:ascii="宋体" w:hAnsi="宋体" w:eastAsia="宋体"/>
          <w:sz w:val="30"/>
          <w:szCs w:val="30"/>
          <w:lang w:eastAsia="zh-CN"/>
        </w:rPr>
        <w:t>（办公室、低保股、救灾救济股、老龄股、优抚股、安置股、政权股、计财股、民政股、地名股、婚姻登记中心、区社区福利中心）</w:t>
      </w:r>
      <w:r>
        <w:rPr>
          <w:rFonts w:hint="eastAsia" w:ascii="宋体" w:hAnsi="宋体" w:eastAsia="宋体"/>
          <w:sz w:val="30"/>
          <w:szCs w:val="30"/>
        </w:rPr>
        <w:t>和红军休干所、按摩医院2个归口管理的二级机构。</w:t>
      </w:r>
    </w:p>
    <w:p>
      <w:p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从决算单位构成看，浉河区民政局部门决算包括：本级决算、所属单位决算。另外，由民政局管理的红军休干所、按摩医院部门决算纳入我部门汇总反映。</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本部门201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年度部门决算编制范围的单位</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3个，其中二级预算单位2个（含代管的红军休干所、按摩医院），</w:t>
      </w:r>
      <w:r>
        <w:rPr>
          <w:rFonts w:hint="eastAsia" w:ascii="仿宋_GB2312" w:hAnsi="仿宋_GB2312" w:eastAsia="仿宋_GB2312" w:cs="仿宋_GB2312"/>
          <w:sz w:val="32"/>
          <w:szCs w:val="32"/>
          <w:lang w:eastAsia="zh-CN"/>
        </w:rPr>
        <w:t>具体是</w:t>
      </w:r>
      <w:r>
        <w:rPr>
          <w:rFonts w:hint="eastAsia" w:ascii="仿宋_GB2312" w:hAnsi="仿宋_GB2312" w:eastAsia="仿宋_GB2312" w:cs="仿宋_GB2312"/>
          <w:sz w:val="32"/>
          <w:szCs w:val="32"/>
        </w:rPr>
        <w:t>：</w:t>
      </w:r>
    </w:p>
    <w:p>
      <w:pPr>
        <w:numPr>
          <w:ilvl w:val="0"/>
          <w:numId w:val="0"/>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信阳市浉河区民政</w:t>
      </w:r>
      <w:r>
        <w:rPr>
          <w:rFonts w:hint="eastAsia" w:ascii="仿宋_GB2312" w:hAnsi="仿宋_GB2312" w:eastAsia="仿宋_GB2312" w:cs="仿宋_GB2312"/>
          <w:sz w:val="32"/>
          <w:szCs w:val="32"/>
        </w:rPr>
        <w:t>局本级</w:t>
      </w:r>
    </w:p>
    <w:p>
      <w:p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信阳市浉河区红军干休所</w:t>
      </w:r>
    </w:p>
    <w:p>
      <w:pPr>
        <w:spacing w:line="360" w:lineRule="auto"/>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lang w:val="en-US" w:eastAsia="zh-CN"/>
        </w:rPr>
        <w:t>3.信阳市浉河区按摩医院</w:t>
      </w: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 xml:space="preserve"> </w:t>
      </w:r>
    </w:p>
    <w:p>
      <w:pPr>
        <w:jc w:val="center"/>
        <w:outlineLvl w:val="0"/>
        <w:rPr>
          <w:rFonts w:hint="eastAsia" w:ascii="黑体" w:hAnsi="黑体" w:eastAsia="黑体" w:cs="黑体"/>
          <w:sz w:val="48"/>
          <w:szCs w:val="48"/>
          <w:lang w:val="en-US" w:eastAsia="zh-CN"/>
        </w:rPr>
      </w:pPr>
    </w:p>
    <w:p>
      <w:pPr>
        <w:jc w:val="center"/>
        <w:outlineLvl w:val="0"/>
        <w:rPr>
          <w:rFonts w:hint="eastAsia" w:ascii="黑体" w:hAnsi="黑体" w:eastAsia="黑体" w:cs="黑体"/>
          <w:sz w:val="48"/>
          <w:szCs w:val="48"/>
          <w:lang w:val="en-US" w:eastAsia="zh-CN"/>
        </w:rPr>
      </w:pPr>
    </w:p>
    <w:p>
      <w:pPr>
        <w:jc w:val="center"/>
        <w:outlineLvl w:val="0"/>
        <w:rPr>
          <w:rFonts w:hint="eastAsia" w:ascii="黑体" w:hAnsi="黑体" w:eastAsia="黑体" w:cs="黑体"/>
          <w:sz w:val="48"/>
          <w:szCs w:val="48"/>
          <w:lang w:val="en-US" w:eastAsia="zh-CN"/>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w:t>
      </w:r>
      <w:r>
        <w:rPr>
          <w:rFonts w:hint="eastAsia" w:ascii="黑体" w:hAnsi="黑体" w:eastAsia="黑体" w:cs="黑体"/>
          <w:sz w:val="48"/>
          <w:szCs w:val="48"/>
          <w:lang w:eastAsia="zh-CN"/>
        </w:rPr>
        <w:t>二</w:t>
      </w:r>
      <w:r>
        <w:rPr>
          <w:rFonts w:hint="eastAsia" w:ascii="黑体" w:hAnsi="黑体" w:eastAsia="黑体" w:cs="黑体"/>
          <w:sz w:val="48"/>
          <w:szCs w:val="48"/>
        </w:rPr>
        <w:t>部分</w:t>
      </w:r>
      <w:r>
        <w:rPr>
          <w:rFonts w:hint="eastAsia" w:ascii="黑体" w:hAnsi="黑体" w:eastAsia="黑体" w:cs="黑体"/>
          <w:sz w:val="48"/>
          <w:szCs w:val="48"/>
          <w:lang w:val="en-US" w:eastAsia="zh-CN"/>
        </w:rPr>
        <w:t xml:space="preserve">   信阳市浉河区民政局</w:t>
      </w:r>
    </w:p>
    <w:p>
      <w:pPr>
        <w:jc w:val="center"/>
        <w:rPr>
          <w:rFonts w:hint="eastAsia" w:ascii="黑体" w:hAnsi="黑体" w:eastAsia="黑体" w:cs="黑体"/>
          <w:sz w:val="48"/>
          <w:szCs w:val="48"/>
        </w:rPr>
      </w:pPr>
      <w:r>
        <w:rPr>
          <w:rFonts w:hint="eastAsia" w:ascii="黑体" w:hAnsi="黑体" w:eastAsia="黑体" w:cs="黑体"/>
          <w:sz w:val="48"/>
          <w:szCs w:val="48"/>
          <w:lang w:eastAsia="zh-CN"/>
        </w:rPr>
        <w:t>201</w:t>
      </w:r>
      <w:r>
        <w:rPr>
          <w:rFonts w:hint="eastAsia" w:ascii="黑体" w:hAnsi="黑体" w:eastAsia="黑体" w:cs="黑体"/>
          <w:sz w:val="48"/>
          <w:szCs w:val="48"/>
          <w:lang w:val="en-US" w:eastAsia="zh-CN"/>
        </w:rPr>
        <w:t>8</w:t>
      </w:r>
      <w:r>
        <w:rPr>
          <w:rFonts w:hint="eastAsia" w:ascii="黑体" w:hAnsi="黑体" w:eastAsia="黑体" w:cs="黑体"/>
          <w:sz w:val="48"/>
          <w:szCs w:val="48"/>
        </w:rPr>
        <w:t>年度部门决算情况说明</w:t>
      </w: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both"/>
        <w:rPr>
          <w:rFonts w:hint="eastAsia" w:ascii="黑体" w:hAnsi="黑体" w:eastAsia="黑体" w:cs="黑体"/>
          <w:sz w:val="48"/>
          <w:szCs w:val="48"/>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年度收</w:t>
      </w:r>
      <w:r>
        <w:rPr>
          <w:rFonts w:hint="eastAsia" w:ascii="仿宋_GB2312" w:hAnsi="宋体" w:eastAsia="仿宋_GB2312" w:cs="Courier New"/>
          <w:sz w:val="32"/>
          <w:szCs w:val="32"/>
          <w:lang w:eastAsia="zh-CN"/>
        </w:rPr>
        <w:t>、支</w:t>
      </w:r>
      <w:r>
        <w:rPr>
          <w:rFonts w:hint="eastAsia" w:ascii="仿宋_GB2312" w:hAnsi="宋体" w:eastAsia="仿宋_GB2312" w:cs="Courier New"/>
          <w:sz w:val="32"/>
          <w:szCs w:val="32"/>
        </w:rPr>
        <w:t>总计</w:t>
      </w:r>
      <w:r>
        <w:rPr>
          <w:rFonts w:hint="eastAsia" w:ascii="仿宋_GB2312" w:hAnsi="宋体" w:eastAsia="仿宋_GB2312" w:cs="Courier New"/>
          <w:sz w:val="32"/>
          <w:szCs w:val="32"/>
          <w:lang w:eastAsia="zh-CN"/>
        </w:rPr>
        <w:t>均为</w:t>
      </w:r>
      <w:r>
        <w:rPr>
          <w:rFonts w:hint="eastAsia" w:ascii="仿宋_GB2312" w:hAnsi="宋体" w:eastAsia="仿宋_GB2312" w:cs="Courier New"/>
          <w:sz w:val="32"/>
          <w:szCs w:val="32"/>
          <w:lang w:val="en-US" w:eastAsia="zh-CN"/>
        </w:rPr>
        <w:t>18285.75</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与</w:t>
      </w:r>
      <w:r>
        <w:rPr>
          <w:rFonts w:hint="eastAsia" w:ascii="仿宋_GB2312" w:hAnsi="宋体" w:eastAsia="仿宋_GB2312" w:cs="Courier New"/>
          <w:sz w:val="32"/>
          <w:szCs w:val="32"/>
          <w:lang w:eastAsia="zh-CN"/>
        </w:rPr>
        <w:t>上</w:t>
      </w:r>
      <w:r>
        <w:rPr>
          <w:rFonts w:hint="eastAsia" w:ascii="仿宋_GB2312" w:hAnsi="宋体" w:eastAsia="仿宋_GB2312" w:cs="Courier New"/>
          <w:sz w:val="32"/>
          <w:szCs w:val="32"/>
        </w:rPr>
        <w:t>年</w:t>
      </w:r>
      <w:r>
        <w:rPr>
          <w:rFonts w:hint="eastAsia" w:ascii="仿宋_GB2312" w:hAnsi="宋体" w:eastAsia="仿宋_GB2312" w:cs="Courier New"/>
          <w:sz w:val="32"/>
          <w:szCs w:val="32"/>
          <w:lang w:eastAsia="zh-CN"/>
        </w:rPr>
        <w:t>度</w:t>
      </w:r>
      <w:r>
        <w:rPr>
          <w:rFonts w:hint="eastAsia" w:ascii="仿宋_GB2312" w:hAnsi="宋体" w:eastAsia="仿宋_GB2312" w:cs="Courier New"/>
          <w:sz w:val="32"/>
          <w:szCs w:val="32"/>
        </w:rPr>
        <w:t>相比，收、支总计各</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lang w:val="en-US" w:eastAsia="zh-CN"/>
        </w:rPr>
        <w:t>2192.85</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较上年下降</w:t>
      </w:r>
      <w:r>
        <w:rPr>
          <w:rFonts w:hint="eastAsia" w:ascii="仿宋_GB2312" w:hAnsi="宋体" w:eastAsia="仿宋_GB2312" w:cs="Courier New"/>
          <w:sz w:val="32"/>
          <w:szCs w:val="32"/>
          <w:lang w:val="en-US" w:eastAsia="zh-CN"/>
        </w:rPr>
        <w:t>10.71</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，主要原因是</w:t>
      </w:r>
      <w:r>
        <w:rPr>
          <w:rFonts w:hint="eastAsia" w:ascii="仿宋_GB2312" w:hAnsi="宋体" w:eastAsia="仿宋_GB2312" w:cs="Courier New"/>
          <w:sz w:val="32"/>
          <w:szCs w:val="32"/>
          <w:lang w:val="en-US" w:eastAsia="zh-CN"/>
        </w:rPr>
        <w:t>2016-2017年</w:t>
      </w:r>
      <w:r>
        <w:rPr>
          <w:rFonts w:hint="eastAsia" w:ascii="仿宋_GB2312" w:hAnsi="宋体" w:eastAsia="仿宋_GB2312" w:cs="Courier New"/>
          <w:sz w:val="32"/>
          <w:szCs w:val="32"/>
          <w:lang w:eastAsia="zh-CN"/>
        </w:rPr>
        <w:t>特困人员护理补贴资金都在</w:t>
      </w:r>
      <w:r>
        <w:rPr>
          <w:rFonts w:hint="eastAsia" w:ascii="仿宋_GB2312" w:hAnsi="宋体" w:eastAsia="仿宋_GB2312" w:cs="Courier New"/>
          <w:sz w:val="32"/>
          <w:szCs w:val="32"/>
          <w:lang w:val="en-US" w:eastAsia="zh-CN"/>
        </w:rPr>
        <w:t>2017年度发放</w:t>
      </w:r>
      <w:r>
        <w:rPr>
          <w:rFonts w:hint="eastAsia" w:ascii="仿宋_GB2312" w:hAnsi="宋体" w:eastAsia="仿宋_GB2312" w:cs="Courier New"/>
          <w:sz w:val="32"/>
          <w:szCs w:val="32"/>
          <w:lang w:eastAsia="zh-CN"/>
        </w:rPr>
        <w:t>、补发以前年度退役士兵待安置期间生活补助资金在</w:t>
      </w:r>
      <w:r>
        <w:rPr>
          <w:rFonts w:hint="eastAsia" w:ascii="仿宋_GB2312" w:hAnsi="宋体" w:eastAsia="仿宋_GB2312" w:cs="Courier New"/>
          <w:sz w:val="32"/>
          <w:szCs w:val="32"/>
          <w:lang w:val="en-US" w:eastAsia="zh-CN"/>
        </w:rPr>
        <w:t>2017年度集中解决支付</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2018年度</w:t>
      </w:r>
      <w:r>
        <w:rPr>
          <w:rFonts w:hint="eastAsia" w:ascii="仿宋_GB2312" w:hAnsi="宋体" w:eastAsia="仿宋_GB2312" w:cs="Courier New"/>
          <w:sz w:val="32"/>
          <w:szCs w:val="32"/>
          <w:lang w:eastAsia="zh-CN"/>
        </w:rPr>
        <w:t>城乡低保对象人数核减，</w:t>
      </w:r>
      <w:r>
        <w:rPr>
          <w:rFonts w:hint="eastAsia" w:ascii="仿宋_GB2312" w:hAnsi="宋体" w:eastAsia="仿宋_GB2312" w:cs="Courier New"/>
          <w:sz w:val="32"/>
          <w:szCs w:val="32"/>
          <w:lang w:val="en-US" w:eastAsia="zh-CN"/>
        </w:rPr>
        <w:t>2018年度城乡低保</w:t>
      </w:r>
      <w:r>
        <w:rPr>
          <w:rFonts w:hint="eastAsia" w:ascii="仿宋_GB2312" w:hAnsi="宋体" w:eastAsia="仿宋_GB2312" w:cs="Courier New"/>
          <w:sz w:val="32"/>
          <w:szCs w:val="32"/>
          <w:lang w:eastAsia="zh-CN"/>
        </w:rPr>
        <w:t>支出减少</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lang w:eastAsia="zh-CN"/>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18285.75</w:t>
      </w:r>
      <w:r>
        <w:rPr>
          <w:rFonts w:hint="eastAsia" w:ascii="仿宋_GB2312" w:hAnsi="Times New Roman" w:eastAsia="仿宋_GB2312"/>
          <w:sz w:val="32"/>
          <w:szCs w:val="32"/>
        </w:rPr>
        <w:t>万元，</w:t>
      </w:r>
      <w:r>
        <w:rPr>
          <w:rFonts w:hint="eastAsia" w:ascii="仿宋_GB2312" w:hAnsi="Times New Roman" w:eastAsia="仿宋_GB2312"/>
          <w:sz w:val="32"/>
          <w:szCs w:val="32"/>
          <w:lang w:eastAsia="zh-CN"/>
        </w:rPr>
        <w:t>全部来源于</w:t>
      </w:r>
      <w:r>
        <w:rPr>
          <w:rFonts w:hint="eastAsia" w:ascii="仿宋_GB2312" w:hAnsi="Times New Roman" w:eastAsia="仿宋_GB2312"/>
          <w:sz w:val="32"/>
          <w:szCs w:val="32"/>
        </w:rPr>
        <w:t>财政拨款收入</w:t>
      </w:r>
      <w:r>
        <w:rPr>
          <w:rFonts w:hint="eastAsia" w:ascii="仿宋_GB2312" w:hAnsi="Times New Roman" w:eastAsia="仿宋_GB2312"/>
          <w:sz w:val="32"/>
          <w:szCs w:val="32"/>
          <w:lang w:eastAsia="zh-CN"/>
        </w:rPr>
        <w:t>，无</w:t>
      </w:r>
      <w:r>
        <w:rPr>
          <w:rFonts w:hint="eastAsia" w:ascii="仿宋_GB2312" w:hAnsi="Times New Roman" w:eastAsia="仿宋_GB2312"/>
          <w:sz w:val="32"/>
          <w:szCs w:val="32"/>
        </w:rPr>
        <w:t>事业收入</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经营收入</w:t>
      </w:r>
      <w:r>
        <w:rPr>
          <w:rFonts w:hint="eastAsia" w:ascii="仿宋_GB2312" w:hAnsi="Times New Roman" w:eastAsia="仿宋_GB2312"/>
          <w:sz w:val="32"/>
          <w:szCs w:val="32"/>
          <w:lang w:eastAsia="zh-CN"/>
        </w:rPr>
        <w:t>和</w:t>
      </w:r>
      <w:r>
        <w:rPr>
          <w:rFonts w:hint="eastAsia" w:ascii="仿宋_GB2312" w:hAnsi="Times New Roman" w:eastAsia="仿宋_GB2312"/>
          <w:sz w:val="32"/>
          <w:szCs w:val="32"/>
        </w:rPr>
        <w:t>其他收入。</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年度支出合计</w:t>
      </w:r>
      <w:r>
        <w:rPr>
          <w:rFonts w:hint="eastAsia" w:ascii="仿宋_GB2312" w:hAnsi="宋体" w:eastAsia="仿宋_GB2312" w:cs="Courier New"/>
          <w:sz w:val="32"/>
          <w:szCs w:val="32"/>
          <w:lang w:val="en-US" w:eastAsia="zh-CN"/>
        </w:rPr>
        <w:t>18285.75</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全部属于</w:t>
      </w:r>
      <w:r>
        <w:rPr>
          <w:rFonts w:hint="eastAsia" w:ascii="仿宋_GB2312" w:hAnsi="宋体" w:eastAsia="仿宋_GB2312" w:cs="Courier New"/>
          <w:sz w:val="32"/>
          <w:szCs w:val="32"/>
        </w:rPr>
        <w:t>基本支出，</w:t>
      </w:r>
      <w:r>
        <w:rPr>
          <w:rFonts w:hint="eastAsia" w:ascii="仿宋_GB2312" w:hAnsi="宋体" w:eastAsia="仿宋_GB2312" w:cs="Courier New"/>
          <w:sz w:val="32"/>
          <w:szCs w:val="32"/>
          <w:lang w:eastAsia="zh-CN"/>
        </w:rPr>
        <w:t>无</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eastAsia="zh-CN"/>
        </w:rPr>
        <w:t>、上缴上级支出、</w:t>
      </w:r>
      <w:r>
        <w:rPr>
          <w:rFonts w:hint="eastAsia" w:ascii="仿宋_GB2312" w:hAnsi="宋体" w:eastAsia="仿宋_GB2312" w:cs="Courier New"/>
          <w:sz w:val="32"/>
          <w:szCs w:val="32"/>
        </w:rPr>
        <w:t>经营支出。</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w:t>
      </w:r>
      <w:r>
        <w:rPr>
          <w:rFonts w:hint="eastAsia" w:ascii="仿宋_GB2312" w:hAnsi="宋体" w:eastAsia="仿宋_GB2312" w:cs="Courier New"/>
          <w:sz w:val="32"/>
          <w:szCs w:val="32"/>
          <w:lang w:eastAsia="zh-CN"/>
        </w:rPr>
        <w:t>度</w:t>
      </w:r>
      <w:r>
        <w:rPr>
          <w:rFonts w:hint="eastAsia" w:ascii="仿宋_GB2312" w:hAnsi="宋体" w:eastAsia="仿宋_GB2312" w:cs="Courier New"/>
          <w:sz w:val="32"/>
          <w:szCs w:val="32"/>
        </w:rPr>
        <w:t>财政拨款收</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支总</w:t>
      </w:r>
      <w:r>
        <w:rPr>
          <w:rFonts w:hint="eastAsia" w:ascii="仿宋_GB2312" w:hAnsi="宋体" w:eastAsia="仿宋_GB2312" w:cs="Courier New"/>
          <w:sz w:val="32"/>
          <w:szCs w:val="32"/>
          <w:lang w:eastAsia="zh-CN"/>
        </w:rPr>
        <w:t>计均为</w:t>
      </w:r>
      <w:r>
        <w:rPr>
          <w:rFonts w:hint="eastAsia" w:ascii="仿宋_GB2312" w:hAnsi="宋体" w:eastAsia="仿宋_GB2312" w:cs="Courier New"/>
          <w:sz w:val="32"/>
          <w:szCs w:val="32"/>
          <w:lang w:val="en-US" w:eastAsia="zh-CN"/>
        </w:rPr>
        <w:t>18285.75</w:t>
      </w:r>
      <w:r>
        <w:rPr>
          <w:rFonts w:hint="eastAsia" w:ascii="仿宋_GB2312" w:hAnsi="宋体" w:eastAsia="仿宋_GB2312" w:cs="Courier New"/>
          <w:sz w:val="32"/>
          <w:szCs w:val="32"/>
        </w:rPr>
        <w:t>万元。与</w:t>
      </w:r>
      <w:r>
        <w:rPr>
          <w:rFonts w:hint="eastAsia" w:ascii="仿宋_GB2312" w:hAnsi="宋体" w:eastAsia="仿宋_GB2312" w:cs="Courier New"/>
          <w:sz w:val="32"/>
          <w:szCs w:val="32"/>
          <w:lang w:eastAsia="zh-CN"/>
        </w:rPr>
        <w:t>上年度</w:t>
      </w:r>
      <w:r>
        <w:rPr>
          <w:rFonts w:hint="eastAsia" w:ascii="仿宋_GB2312" w:hAnsi="宋体" w:eastAsia="仿宋_GB2312" w:cs="Courier New"/>
          <w:sz w:val="32"/>
          <w:szCs w:val="32"/>
        </w:rPr>
        <w:t>相比，财政拨款收、支总计各</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lang w:val="en-US" w:eastAsia="zh-CN"/>
        </w:rPr>
        <w:t>2192.85</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较上年下降</w:t>
      </w:r>
      <w:r>
        <w:rPr>
          <w:rFonts w:hint="eastAsia" w:ascii="仿宋_GB2312" w:hAnsi="宋体" w:eastAsia="仿宋_GB2312" w:cs="Courier New"/>
          <w:sz w:val="32"/>
          <w:szCs w:val="32"/>
          <w:lang w:val="en-US" w:eastAsia="zh-CN"/>
        </w:rPr>
        <w:t>10.71</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，主要原因是</w:t>
      </w:r>
      <w:r>
        <w:rPr>
          <w:rFonts w:hint="eastAsia" w:ascii="仿宋_GB2312" w:hAnsi="宋体" w:eastAsia="仿宋_GB2312" w:cs="Courier New"/>
          <w:sz w:val="32"/>
          <w:szCs w:val="32"/>
          <w:lang w:val="en-US" w:eastAsia="zh-CN"/>
        </w:rPr>
        <w:t>2016-2017年</w:t>
      </w:r>
      <w:r>
        <w:rPr>
          <w:rFonts w:hint="eastAsia" w:ascii="仿宋_GB2312" w:hAnsi="宋体" w:eastAsia="仿宋_GB2312" w:cs="Courier New"/>
          <w:sz w:val="32"/>
          <w:szCs w:val="32"/>
          <w:lang w:eastAsia="zh-CN"/>
        </w:rPr>
        <w:t>特困人员护理补贴资金都在</w:t>
      </w:r>
      <w:r>
        <w:rPr>
          <w:rFonts w:hint="eastAsia" w:ascii="仿宋_GB2312" w:hAnsi="宋体" w:eastAsia="仿宋_GB2312" w:cs="Courier New"/>
          <w:sz w:val="32"/>
          <w:szCs w:val="32"/>
          <w:lang w:val="en-US" w:eastAsia="zh-CN"/>
        </w:rPr>
        <w:t>2017年度发放</w:t>
      </w:r>
      <w:r>
        <w:rPr>
          <w:rFonts w:hint="eastAsia" w:ascii="仿宋_GB2312" w:hAnsi="宋体" w:eastAsia="仿宋_GB2312" w:cs="Courier New"/>
          <w:sz w:val="32"/>
          <w:szCs w:val="32"/>
          <w:lang w:eastAsia="zh-CN"/>
        </w:rPr>
        <w:t>、补发以前年度退役士兵待安置期间生活补助资金在</w:t>
      </w:r>
      <w:r>
        <w:rPr>
          <w:rFonts w:hint="eastAsia" w:ascii="仿宋_GB2312" w:hAnsi="宋体" w:eastAsia="仿宋_GB2312" w:cs="Courier New"/>
          <w:sz w:val="32"/>
          <w:szCs w:val="32"/>
          <w:lang w:val="en-US" w:eastAsia="zh-CN"/>
        </w:rPr>
        <w:t>2017年度集中解决支付</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2018年度</w:t>
      </w:r>
      <w:r>
        <w:rPr>
          <w:rFonts w:hint="eastAsia" w:ascii="仿宋_GB2312" w:hAnsi="宋体" w:eastAsia="仿宋_GB2312" w:cs="Courier New"/>
          <w:sz w:val="32"/>
          <w:szCs w:val="32"/>
          <w:lang w:eastAsia="zh-CN"/>
        </w:rPr>
        <w:t>城乡低保对象人数核减，</w:t>
      </w:r>
      <w:r>
        <w:rPr>
          <w:rFonts w:hint="eastAsia" w:ascii="仿宋_GB2312" w:hAnsi="宋体" w:eastAsia="仿宋_GB2312" w:cs="Courier New"/>
          <w:sz w:val="32"/>
          <w:szCs w:val="32"/>
          <w:lang w:val="en-US" w:eastAsia="zh-CN"/>
        </w:rPr>
        <w:t>2018年度城乡低保</w:t>
      </w:r>
      <w:r>
        <w:rPr>
          <w:rFonts w:hint="eastAsia" w:ascii="仿宋_GB2312" w:hAnsi="宋体" w:eastAsia="仿宋_GB2312" w:cs="Courier New"/>
          <w:sz w:val="32"/>
          <w:szCs w:val="32"/>
          <w:lang w:eastAsia="zh-CN"/>
        </w:rPr>
        <w:t>支出减少</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一般公共预算财政拨款支出决算情况说明</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仿宋" w:hAnsi="仿宋" w:eastAsia="仿宋" w:cs="仿宋"/>
          <w:sz w:val="32"/>
          <w:szCs w:val="32"/>
        </w:rPr>
        <w:t>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年一般公共预算财政拨款支出</w:t>
      </w:r>
      <w:r>
        <w:rPr>
          <w:rFonts w:hint="eastAsia" w:ascii="仿宋_GB2312" w:hAnsi="宋体" w:eastAsia="仿宋_GB2312" w:cs="Courier New"/>
          <w:sz w:val="32"/>
          <w:szCs w:val="32"/>
          <w:lang w:val="en-US" w:eastAsia="zh-CN"/>
        </w:rPr>
        <w:t>18285.75</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eastAsia="zh-CN"/>
        </w:rPr>
        <w:t>本年</w:t>
      </w:r>
      <w:r>
        <w:rPr>
          <w:rFonts w:hint="eastAsia" w:ascii="仿宋_GB2312" w:hAnsi="宋体" w:eastAsia="仿宋_GB2312" w:cs="Courier New"/>
          <w:sz w:val="32"/>
          <w:szCs w:val="32"/>
        </w:rPr>
        <w:t>支出合计的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%。与</w:t>
      </w:r>
      <w:r>
        <w:rPr>
          <w:rFonts w:hint="eastAsia" w:ascii="仿宋_GB2312" w:hAnsi="宋体" w:eastAsia="仿宋_GB2312" w:cs="Courier New"/>
          <w:sz w:val="32"/>
          <w:szCs w:val="32"/>
          <w:lang w:eastAsia="zh-CN"/>
        </w:rPr>
        <w:t>上一年度</w:t>
      </w:r>
      <w:r>
        <w:rPr>
          <w:rFonts w:hint="eastAsia" w:ascii="仿宋_GB2312" w:hAnsi="宋体" w:eastAsia="仿宋_GB2312" w:cs="Courier New"/>
          <w:sz w:val="32"/>
          <w:szCs w:val="32"/>
        </w:rPr>
        <w:t>相比，一般公共预算财政拨款支出</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lang w:val="en-US" w:eastAsia="zh-CN"/>
        </w:rPr>
        <w:t>2192.85</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较上年下降</w:t>
      </w:r>
      <w:r>
        <w:rPr>
          <w:rFonts w:hint="eastAsia" w:ascii="仿宋_GB2312" w:hAnsi="宋体" w:eastAsia="仿宋_GB2312" w:cs="Courier New"/>
          <w:sz w:val="32"/>
          <w:szCs w:val="32"/>
          <w:lang w:val="en-US" w:eastAsia="zh-CN"/>
        </w:rPr>
        <w:t>10.71</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，主要原因是</w:t>
      </w:r>
      <w:r>
        <w:rPr>
          <w:rFonts w:hint="eastAsia" w:ascii="仿宋_GB2312" w:hAnsi="宋体" w:eastAsia="仿宋_GB2312" w:cs="Courier New"/>
          <w:sz w:val="32"/>
          <w:szCs w:val="32"/>
          <w:lang w:val="en-US" w:eastAsia="zh-CN"/>
        </w:rPr>
        <w:t>2016-2017年</w:t>
      </w:r>
      <w:r>
        <w:rPr>
          <w:rFonts w:hint="eastAsia" w:ascii="仿宋_GB2312" w:hAnsi="宋体" w:eastAsia="仿宋_GB2312" w:cs="Courier New"/>
          <w:sz w:val="32"/>
          <w:szCs w:val="32"/>
          <w:lang w:eastAsia="zh-CN"/>
        </w:rPr>
        <w:t>特困人员护理补贴资金都在</w:t>
      </w:r>
      <w:r>
        <w:rPr>
          <w:rFonts w:hint="eastAsia" w:ascii="仿宋_GB2312" w:hAnsi="宋体" w:eastAsia="仿宋_GB2312" w:cs="Courier New"/>
          <w:sz w:val="32"/>
          <w:szCs w:val="32"/>
          <w:lang w:val="en-US" w:eastAsia="zh-CN"/>
        </w:rPr>
        <w:t>2017年度发放</w:t>
      </w:r>
      <w:r>
        <w:rPr>
          <w:rFonts w:hint="eastAsia" w:ascii="仿宋_GB2312" w:hAnsi="宋体" w:eastAsia="仿宋_GB2312" w:cs="Courier New"/>
          <w:sz w:val="32"/>
          <w:szCs w:val="32"/>
          <w:lang w:eastAsia="zh-CN"/>
        </w:rPr>
        <w:t>、补发以前年度退役士兵待安置期间生活补助资金在</w:t>
      </w:r>
      <w:r>
        <w:rPr>
          <w:rFonts w:hint="eastAsia" w:ascii="仿宋_GB2312" w:hAnsi="宋体" w:eastAsia="仿宋_GB2312" w:cs="Courier New"/>
          <w:sz w:val="32"/>
          <w:szCs w:val="32"/>
          <w:lang w:val="en-US" w:eastAsia="zh-CN"/>
        </w:rPr>
        <w:t>2017年度集中解决支付</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2018年度</w:t>
      </w:r>
      <w:r>
        <w:rPr>
          <w:rFonts w:hint="eastAsia" w:ascii="仿宋_GB2312" w:hAnsi="宋体" w:eastAsia="仿宋_GB2312" w:cs="Courier New"/>
          <w:sz w:val="32"/>
          <w:szCs w:val="32"/>
          <w:lang w:eastAsia="zh-CN"/>
        </w:rPr>
        <w:t>城乡低保对象人数核减，</w:t>
      </w:r>
      <w:r>
        <w:rPr>
          <w:rFonts w:hint="eastAsia" w:ascii="仿宋_GB2312" w:hAnsi="宋体" w:eastAsia="仿宋_GB2312" w:cs="Courier New"/>
          <w:sz w:val="32"/>
          <w:szCs w:val="32"/>
          <w:lang w:val="en-US" w:eastAsia="zh-CN"/>
        </w:rPr>
        <w:t>2018年度城乡低保</w:t>
      </w:r>
      <w:r>
        <w:rPr>
          <w:rFonts w:hint="eastAsia" w:ascii="仿宋_GB2312" w:hAnsi="宋体" w:eastAsia="仿宋_GB2312" w:cs="Courier New"/>
          <w:sz w:val="32"/>
          <w:szCs w:val="32"/>
          <w:lang w:eastAsia="zh-CN"/>
        </w:rPr>
        <w:t>支出减少</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年度一般公共预算财政拨款支出</w:t>
      </w:r>
      <w:r>
        <w:rPr>
          <w:rFonts w:hint="eastAsia" w:ascii="仿宋_GB2312" w:hAnsi="宋体" w:eastAsia="仿宋_GB2312" w:cs="Courier New"/>
          <w:sz w:val="32"/>
          <w:szCs w:val="32"/>
          <w:lang w:val="en-US" w:eastAsia="zh-CN"/>
        </w:rPr>
        <w:t>18285.75</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17029.16</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93.13</w:t>
      </w:r>
      <w:r>
        <w:rPr>
          <w:rFonts w:hint="eastAsia" w:ascii="仿宋_GB2312" w:hAnsi="宋体" w:eastAsia="仿宋_GB2312" w:cs="Courier New"/>
          <w:sz w:val="32"/>
          <w:szCs w:val="32"/>
        </w:rPr>
        <w:t>%；</w:t>
      </w:r>
      <w:r>
        <w:rPr>
          <w:rFonts w:hint="eastAsia" w:ascii="仿宋_GB2312" w:hAnsi="宋体" w:eastAsia="仿宋_GB2312" w:cs="Courier New"/>
          <w:b/>
          <w:bCs/>
          <w:sz w:val="32"/>
          <w:szCs w:val="32"/>
          <w:lang w:eastAsia="zh-CN"/>
        </w:rPr>
        <w:t>医疗卫生与计划生育支出</w:t>
      </w:r>
      <w:r>
        <w:rPr>
          <w:rFonts w:hint="eastAsia" w:ascii="仿宋_GB2312" w:hAnsi="宋体" w:eastAsia="仿宋_GB2312" w:cs="Courier New"/>
          <w:b/>
          <w:bCs/>
          <w:sz w:val="32"/>
          <w:szCs w:val="32"/>
          <w:lang w:val="en-US" w:eastAsia="zh-CN"/>
        </w:rPr>
        <w:t>1230.54</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6.73</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住房保障支出</w:t>
      </w:r>
      <w:r>
        <w:rPr>
          <w:rFonts w:hint="eastAsia" w:ascii="仿宋_GB2312" w:hAnsi="宋体" w:eastAsia="仿宋_GB2312" w:cs="Courier New"/>
          <w:sz w:val="32"/>
          <w:szCs w:val="32"/>
          <w:lang w:val="en-US" w:eastAsia="zh-CN"/>
        </w:rPr>
        <w:t>26.05万元，占0.14%。</w:t>
      </w:r>
    </w:p>
    <w:p>
      <w:pPr>
        <w:numPr>
          <w:ilvl w:val="0"/>
          <w:numId w:val="6"/>
        </w:num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具体情况。</w:t>
      </w:r>
    </w:p>
    <w:p>
      <w:pPr>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年度一般公共预算财政拨款支出年初预算为</w:t>
      </w:r>
      <w:r>
        <w:rPr>
          <w:rFonts w:hint="eastAsia" w:ascii="仿宋_GB2312" w:hAnsi="宋体" w:eastAsia="仿宋_GB2312" w:cs="Courier New"/>
          <w:sz w:val="32"/>
          <w:szCs w:val="32"/>
          <w:lang w:val="en-US" w:eastAsia="zh-CN"/>
        </w:rPr>
        <w:t>11559.5</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18285.75</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158.18</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其中：</w:t>
      </w:r>
    </w:p>
    <w:p>
      <w:pPr>
        <w:keepNext w:val="0"/>
        <w:keepLines w:val="0"/>
        <w:pageBreakBefore w:val="0"/>
        <w:widowControl/>
        <w:numPr>
          <w:ilvl w:val="0"/>
          <w:numId w:val="7"/>
        </w:numPr>
        <w:kinsoku/>
        <w:wordWrap/>
        <w:overflowPunct/>
        <w:topLinePunct w:val="0"/>
        <w:autoSpaceDE/>
        <w:autoSpaceDN/>
        <w:bidi w:val="0"/>
        <w:adjustRightInd/>
        <w:snapToGrid/>
        <w:spacing w:line="590" w:lineRule="exact"/>
        <w:ind w:left="197" w:leftChars="0" w:right="0" w:rightChars="0" w:firstLine="643"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(类）民政管理事务（款）行政运行（项）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年初预算为299.2万元，支出决算为143.53万元，完成年初预算的47.97%。决算数与年初预算数存在差异的主要原因是年初预算数未包含退役安置人员、自筹人员、临时聘用人员经费指标。</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(类）民政管理事务（款）拥军优属（项）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年初预算为25万元，支出决算为23.1万元，完成年初预算的92.4%。决算数与年初预算数基本相符。</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(类）民政管理事务（款）老龄事务（项）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年初预算为1万元，支出决算为1.08万元，完成年初预算的108%。决算数与年初预算数基本相符。</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(类）民政管理事务（款）行政区划和地名管理（项）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年初预算为13.1万元，支出决算为6.94万元，完成年初预算的52.98%。决算数与年初预算数存在差异的主要原因是本年地名普查压缩开支。</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(类）民政管理事务（款）基层政权和社区建设（项）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年初预算为8万元，支出决算为7.29万元，完成年初预算的91.2%。决算数与年初预算数基本相符。</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(类）民政管理事务（款）其他民政管理事务（项）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年初预算为362.4万元，支出决算为435.3万元，完成年初预算的120.11%。决算数与年初预算数存在差异的主要原因是</w:t>
      </w:r>
      <w:r>
        <w:rPr>
          <w:rFonts w:hint="eastAsia" w:ascii="仿宋_GB2312" w:hAnsi="宋体" w:eastAsia="仿宋_GB2312" w:cs="Courier New"/>
          <w:sz w:val="32"/>
          <w:szCs w:val="32"/>
          <w:lang w:val="en-US" w:eastAsia="zh-CN"/>
        </w:rPr>
        <w:t>年末临时追加元旦春节慰问金指标</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(类）行政事业单位离退休（款）归口管理的行政单位离退休（项）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年初预算为110万元，支出决算为108.76万元，完成年初预算的98.87%。决算数与年初预算数基本相符。</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(类）行政事业单位离退休（款）事业单位离退休（项）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年初预算为62万元，支出决算为60.41万元，完成年初预算的97.44%。决算数与年初预算数基本相符。</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(类）行政事业单位离退休（款）机关事业单位基本养老保险缴费（项）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年初预算为63.5万元，支出决算为57.14万元，完成年初预算的89.98%。决算数与年初预算数存在差异的主要原因是人员调整调出。</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(类）抚恤（款）死亡抚恤（项）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年初预算为67.36 万元，支出决算为112.24万元，完成年初预算的166.62%。决算数与年初预算数存在差异的主要原因是年初预算数未包含上级下达的优抚金指标。</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(类）抚恤（款）伤残抚恤（项）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年初预算为685.07 万元，支出决算为1,141.46万元，完成年初预算的166.62%。决算数与年初预算数存在差异的主要原因是年初预算数未包含上级下达的优抚金指标。</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(类）抚恤（款）在乡复员、退伍军人生活补助（项）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 xml:space="preserve">年初预算为165.35 </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万元，支出决算为275.50万元，完成年初预算的166.62%。决算数与年初预算数存在差异的主要原因是年初预算数未包含上级下达的优抚金指标。</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(类）抚恤（款）义务兵优待（项）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年初预算为755.22 万元，支出决算为1,258.34万元，完成年初预算的166.62%。决算数与年初预算数存在差异的主要原因是年初预算数未包含上级下达的优抚金指标。</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(类）抚恤（款）农村籍退役士兵老年生活补助（项）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年初预算为233.92万元，支出决算为389.75万元，完成年初预算的166.62%。决算数与年初预算数存在差异的主要原因是年初预算数未包含上级下达的优抚金指标。</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(类）抚恤（款）其他优抚支出（项）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年初预算为361.99万元，支出决算为</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603.15万元，完成年初预算的166.62%。决算数与年初预算数存在差异的主要原因是年初预算数未包含上级下达的优抚金指标。</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(类）退役安置（款）退役士兵安置（项）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 xml:space="preserve">年初预算为71.15万元，支出决算为766.72万元，完成年初预算的1077.6%。决算数与年初预算数存在差异的主要原因是年初预算数未包含上级下达的退役安置指标。  </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(类）退役安置（款）军队移交政府的离退休人员安置（项）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 xml:space="preserve">年初预算为113.52万元，支出决算为1,223.34万元，完成年初预算的1077.6%。决算数与年初预算数存在差异的主要原因是年初预算数未包含上级下达的退役安置指标。  </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ab/>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(类）退役安置（款）军队移交政府离退休干部管理机构（项）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 xml:space="preserve">年初预算为0.49万元，支出决算为5.31万元，完成年初预算的1077.6%。决算数与年初预算数存在差异的主要原因是年初预算数未包含上级下达的退役安置指标。  </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ab/>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(类）退役安置（款）退役士兵管理教育（项）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 xml:space="preserve">年初预算为2.73万元，支出决算为29.40万元，完成年初预算的1077.6%。决算数与年初预算数存在差异的主要原因是年初预算数未包含上级下达的退役安置指标。  </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ab/>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20．</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(类）社会福利（款）儿童福利（项）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年初预算为62.30万元，支出决算为135.69万元，完成年初预算的217.8%。决算数与年初预算数存在差异的主要原因是年初预算数未包含上级下达的社会福利补助指标。</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21．</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(类）社会福利（款）老年福利（项）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年初预算为19.70万元，支出决算为42.90万元，完成年初预算的217.8%。决算数与年初预算数存在差异的主要原因是年初预算数未包含上级下达的社会福利补助指标。</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22．</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(类）社会福利（款）殡葬（项）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年初预算为45.06万元，支出决算为98.14万元，完成年初预算的217.8%。决算数与年初预算数存在差异的主要原因是年初预算数未包含上级下达的社会福利补助指标。</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23．</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(类）社会福利（款）其他社会福利支出（项）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年初预算为342.41万元，支出决算为745.77万元，完成年初预算的217.8%。决算数与年初预算数存在差异的主要原因是年初预算数未包含上级下达的社会福利补助指标。</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24．</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(类）残疾人事业（款）残疾人生活和护理补贴（项）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年初预算为358.4万元，支出决算为627.34万元，完成年初预算的175%。决算数与年初预算数存在差异的主要原因是年初预算数未包含上级下达的残疾人两补指标。</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25．</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(类）自然灾害生活救助（款）中央自然灾害生活补助（项）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 xml:space="preserve">年初预算为11.95万元，支出决算为52.00万元，完成年初预算的435%。决算数与年初预算数存在差异的主要原因是年初预算数未包含上级下达的自然灾害救助指标。  </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26．</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(类）自然灾害生活救助（款）地方自然灾害生活补助（项）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 xml:space="preserve">年初预算为11.83万元，支出决算为51.45万元，完成年初预算的435%。决算数与年初预算数存在差异的主要原因是年初预算数未包含上级下达的自然灾害救助指标。  </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numPr>
          <w:ilvl w:val="0"/>
          <w:numId w:val="8"/>
        </w:numPr>
        <w:kinsoku/>
        <w:wordWrap/>
        <w:overflowPunct/>
        <w:topLinePunct w:val="0"/>
        <w:autoSpaceDE/>
        <w:autoSpaceDN/>
        <w:bidi w:val="0"/>
        <w:adjustRightInd/>
        <w:snapToGrid/>
        <w:spacing w:line="590" w:lineRule="exact"/>
        <w:ind w:left="-13" w:leftChars="0" w:right="0" w:rightChars="0" w:firstLine="643"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(类）最低生活保障（款）城市最低生活保障金支出（项）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 xml:space="preserve">年初预算为3,697.52万元，支出决算为4,092.42万元，完成年初预算的110.68%。决算数与年初预算数存在差异的主要原因是年初预算数未包含上级下达的部分指标。 </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28．</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(类）最低生活保障（款）农村最低生活保障金支出（项）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 xml:space="preserve">年初预算为2,132.92万元，支出决算为2,360.72万元，完成年初预算的110.68%。决算数与年初预算数存在差异的主要原因是年初预算数未包含上级下达的部分指标。   </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ab/>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29．</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(类）临时救助（款）临时救助支出（项）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年初预算为55.60万元，支出决算为152.89万元，完成年初预算的275%。决算数与年初预算数存在差异的主要原因是年初预算数未包含上级下达的部分指标。</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30．</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(类）临时救助（款）流浪乞讨人员救助支出（项）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年初预算为14.55万元，支出决算为40.00万元，完成年初预算的275%。决算数与年初预算数存在差异的主要原因是年初预算数未包含上级下达的部分指标。</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31．</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(类）特困人员救助供养（款）农村特困人员救助供养（项）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 xml:space="preserve">年初预算为1250万元，支出决算为1890.61万元，完成年初预算的151.2%。决算数与年初预算数存在差异的主要原因是年初预算数未包含上级下达的部分指标。  </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ab/>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32．</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(类）其他生活救助（款）其他城市生活救助（项）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年初预算为1.20万元，支出决算为6.48万元，完成年初预算的538%。决算数与年初预算数存在差异的主要原因是年初预算数未包含上级下达的部分指标。</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33．</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lang w:val="en-US" w:eastAsia="zh-CN"/>
        </w:rPr>
        <w:t>(类）其他生活救助（款）其他农村生活救助（项）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年初预算为15.61万元，支出决算为84.00万元，完成年初预算的538%。决算数与年初预算数存在差异的主要原因是年初预算数未包含上级下达的部分指标。</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34．</w:t>
      </w:r>
      <w:r>
        <w:rPr>
          <w:rFonts w:hint="eastAsia" w:ascii="仿宋_GB2312" w:hAnsi="宋体" w:eastAsia="仿宋_GB2312" w:cs="Courier New"/>
          <w:b/>
          <w:bCs/>
          <w:sz w:val="32"/>
          <w:szCs w:val="32"/>
          <w:lang w:eastAsia="zh-CN"/>
        </w:rPr>
        <w:t>医疗卫生与计划生育支出</w:t>
      </w:r>
      <w:r>
        <w:rPr>
          <w:rFonts w:hint="eastAsia" w:ascii="仿宋_GB2312" w:hAnsi="宋体" w:eastAsia="仿宋_GB2312" w:cs="Courier New"/>
          <w:b/>
          <w:bCs/>
          <w:sz w:val="32"/>
          <w:szCs w:val="32"/>
          <w:lang w:val="en-US" w:eastAsia="zh-CN"/>
        </w:rPr>
        <w:t>(类）行政事业单位医疗（款）行政单位医疗（项）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 xml:space="preserve">年初预算为8.90万元，支出决算为8.10万元，完成年初预算的91%。决算数与年初预算数存在差异的主要原因是人员调整调出。   </w:t>
      </w:r>
      <w:r>
        <w:rPr>
          <w:rFonts w:hint="eastAsia" w:ascii="仿宋_GB2312" w:hAnsi="仿宋_GB2312" w:eastAsia="仿宋_GB2312" w:cs="仿宋_GB2312"/>
          <w:color w:val="auto"/>
          <w:sz w:val="32"/>
          <w:szCs w:val="32"/>
          <w:highlight w:val="none"/>
          <w:lang w:val="en-US" w:eastAsia="zh-CN"/>
        </w:rPr>
        <w:tab/>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35．</w:t>
      </w:r>
      <w:r>
        <w:rPr>
          <w:rFonts w:hint="eastAsia" w:ascii="仿宋_GB2312" w:hAnsi="宋体" w:eastAsia="仿宋_GB2312" w:cs="Courier New"/>
          <w:b/>
          <w:bCs/>
          <w:sz w:val="32"/>
          <w:szCs w:val="32"/>
          <w:lang w:eastAsia="zh-CN"/>
        </w:rPr>
        <w:t>医疗卫生与计划生育支出</w:t>
      </w:r>
      <w:r>
        <w:rPr>
          <w:rFonts w:hint="eastAsia" w:ascii="仿宋_GB2312" w:hAnsi="宋体" w:eastAsia="仿宋_GB2312" w:cs="Courier New"/>
          <w:b/>
          <w:bCs/>
          <w:sz w:val="32"/>
          <w:szCs w:val="32"/>
          <w:lang w:val="en-US" w:eastAsia="zh-CN"/>
        </w:rPr>
        <w:t>(类）行政事业单位医疗（款）事业单位医疗（项）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 xml:space="preserve">年初预算为10.59万元，支出决算为9.64万元，完成年初预算的91%。决算数与年初预算数存在差异的主要原因是人员调整调出。   </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ab/>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36．</w:t>
      </w:r>
      <w:r>
        <w:rPr>
          <w:rFonts w:hint="eastAsia" w:ascii="仿宋_GB2312" w:hAnsi="宋体" w:eastAsia="仿宋_GB2312" w:cs="Courier New"/>
          <w:b/>
          <w:bCs/>
          <w:sz w:val="32"/>
          <w:szCs w:val="32"/>
          <w:lang w:eastAsia="zh-CN"/>
        </w:rPr>
        <w:t>医疗卫生与计划生育支出</w:t>
      </w:r>
      <w:r>
        <w:rPr>
          <w:rFonts w:hint="eastAsia" w:ascii="仿宋_GB2312" w:hAnsi="宋体" w:eastAsia="仿宋_GB2312" w:cs="Courier New"/>
          <w:b/>
          <w:bCs/>
          <w:sz w:val="32"/>
          <w:szCs w:val="32"/>
          <w:lang w:val="en-US" w:eastAsia="zh-CN"/>
        </w:rPr>
        <w:t>(类）医疗救助（款）城乡医疗救助（项）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年初预算为50万元，支出决算为1119万元，完成年初预算的2238%。决算数与年初预算数存在差异的主要原因是年初预算数未包含上级下达的医疗救助指标。</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37．</w:t>
      </w:r>
      <w:r>
        <w:rPr>
          <w:rFonts w:hint="eastAsia" w:ascii="仿宋_GB2312" w:hAnsi="宋体" w:eastAsia="仿宋_GB2312" w:cs="Courier New"/>
          <w:b/>
          <w:bCs/>
          <w:sz w:val="32"/>
          <w:szCs w:val="32"/>
          <w:lang w:eastAsia="zh-CN"/>
        </w:rPr>
        <w:t>医疗卫生与计划生育支出</w:t>
      </w:r>
      <w:r>
        <w:rPr>
          <w:rFonts w:hint="eastAsia" w:ascii="仿宋_GB2312" w:hAnsi="宋体" w:eastAsia="仿宋_GB2312" w:cs="Courier New"/>
          <w:b/>
          <w:bCs/>
          <w:sz w:val="32"/>
          <w:szCs w:val="32"/>
          <w:lang w:val="en-US" w:eastAsia="zh-CN"/>
        </w:rPr>
        <w:t>(类）优抚对象医疗（款）优抚对象医疗补助（项）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年初预算为35万元，支出决算为93.8万元，完成年初预算的268%。决算数与年初预算数存在差异的主要原因是年初预算数未包含上级下达的优抚对象医疗救助指标。</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38．</w:t>
      </w:r>
      <w:r>
        <w:rPr>
          <w:rFonts w:hint="eastAsia" w:ascii="仿宋_GB2312" w:hAnsi="宋体" w:eastAsia="仿宋_GB2312" w:cs="Courier New"/>
          <w:b/>
          <w:bCs/>
          <w:sz w:val="32"/>
          <w:szCs w:val="32"/>
          <w:lang w:eastAsia="zh-CN"/>
        </w:rPr>
        <w:t>住房保障支出</w:t>
      </w:r>
      <w:r>
        <w:rPr>
          <w:rFonts w:hint="eastAsia" w:ascii="仿宋_GB2312" w:hAnsi="宋体" w:eastAsia="仿宋_GB2312" w:cs="Courier New"/>
          <w:b/>
          <w:bCs/>
          <w:sz w:val="32"/>
          <w:szCs w:val="32"/>
          <w:lang w:val="en-US" w:eastAsia="zh-CN"/>
        </w:rPr>
        <w:t>(类）住房改革支出（款）住房公积金（项）</w:t>
      </w:r>
      <w:r>
        <w:rPr>
          <w:rFonts w:hint="eastAsia" w:ascii="仿宋_GB2312" w:hAnsi="宋体" w:eastAsia="仿宋_GB2312" w:cs="Courier New"/>
          <w:b/>
          <w:bCs/>
          <w:sz w:val="32"/>
          <w:szCs w:val="32"/>
        </w:rPr>
        <w:t>支出</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年初预算为29.3万元，支出决算为26.05万元，完成年初预算的88.91%。决算数与年初预算数存在差异的主要原因是人员调整调出、人员退休。</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一般公共预算财政拨款基本支出18285.75万元。其中：人员经费18108.41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177.34万元，主要包括：办公费、印刷费、咨询费、手续费、水费、电费、邮电费、取暖费、物业管理费、差旅费、因公出国（境）费用、维修（护）费、租赁费、会议费、培训费、公务接待费、专用料费、劳务费、委托业务费、工会经费、福利费、公务用车运行维护费、其他交通费用、税金及附加费用、其他商服务支出、办公设备购置、专用设备购置、信息网络及软件购置更新、其他资本性支出。</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一般公共预算财政拨款“三公”经费支出决算情况说明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仿宋" w:hAnsi="仿宋" w:eastAsia="仿宋" w:cs="仿宋"/>
          <w:sz w:val="32"/>
          <w:szCs w:val="32"/>
        </w:rPr>
        <w:t>“三公”经费财政拨款支出决算总体情况说明。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三公”经费财政拨款支出预算为12万元，支出决算为5.23万元，完成预算的43.58%。2018年度“三公”经费支出决算数与预算数存在差异的主要原因是本年度严格落实“八项规定”，严格落实三单一票一涵制度，杜绝同城公务接待，大幅度压缩公务接待开支。</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仿宋" w:hAnsi="仿宋" w:eastAsia="仿宋" w:cs="仿宋"/>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年度“三公”经费财政拨款支出决算中，</w:t>
      </w:r>
      <w:r>
        <w:rPr>
          <w:rFonts w:hint="eastAsia" w:ascii="仿宋_GB2312" w:hAnsi="宋体" w:eastAsia="仿宋_GB2312" w:cs="Courier New"/>
          <w:sz w:val="32"/>
          <w:szCs w:val="32"/>
          <w:lang w:eastAsia="zh-CN"/>
        </w:rPr>
        <w:t>无</w:t>
      </w:r>
      <w:r>
        <w:rPr>
          <w:rFonts w:hint="eastAsia" w:ascii="仿宋_GB2312" w:hAnsi="宋体" w:eastAsia="仿宋_GB2312" w:cs="Courier New"/>
          <w:sz w:val="32"/>
          <w:szCs w:val="32"/>
        </w:rPr>
        <w:t>因公出国（境）费支出</w:t>
      </w:r>
      <w:r>
        <w:rPr>
          <w:rFonts w:hint="eastAsia" w:ascii="仿宋_GB2312" w:hAnsi="宋体" w:eastAsia="仿宋_GB2312" w:cs="Courier New"/>
          <w:sz w:val="32"/>
          <w:szCs w:val="32"/>
          <w:lang w:eastAsia="zh-CN"/>
        </w:rPr>
        <w:t>，无</w:t>
      </w:r>
      <w:r>
        <w:rPr>
          <w:rFonts w:hint="eastAsia" w:ascii="仿宋_GB2312" w:hAnsi="宋体" w:eastAsia="仿宋_GB2312" w:cs="Courier New"/>
          <w:sz w:val="32"/>
          <w:szCs w:val="32"/>
        </w:rPr>
        <w:t>公务用车购置及运行费支出</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5.23</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完成预算数的</w:t>
      </w:r>
      <w:r>
        <w:rPr>
          <w:rFonts w:hint="eastAsia" w:ascii="仿宋_GB2312" w:hAnsi="宋体" w:eastAsia="仿宋_GB2312" w:cs="Courier New"/>
          <w:sz w:val="32"/>
          <w:szCs w:val="32"/>
          <w:lang w:val="en-US" w:eastAsia="zh-CN"/>
        </w:rPr>
        <w:t>43.58%，</w:t>
      </w:r>
      <w:r>
        <w:rPr>
          <w:rFonts w:hint="eastAsia" w:ascii="仿宋_GB2312" w:hAnsi="宋体" w:eastAsia="仿宋_GB2312" w:cs="Courier New"/>
          <w:sz w:val="32"/>
          <w:szCs w:val="32"/>
        </w:rPr>
        <w:t>占</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%。具体情况如下：</w:t>
      </w:r>
    </w:p>
    <w:p>
      <w:pPr>
        <w:pStyle w:val="6"/>
        <w:numPr>
          <w:ilvl w:val="0"/>
          <w:numId w:val="10"/>
        </w:numPr>
        <w:autoSpaceDE w:val="0"/>
        <w:spacing w:before="0" w:beforeAutospacing="0" w:line="590" w:lineRule="exact"/>
        <w:ind w:firstLine="640" w:firstLineChars="200"/>
        <w:rPr>
          <w:rFonts w:hint="eastAsia" w:ascii="仿宋_GB2312" w:hAnsi="宋体" w:eastAsia="仿宋_GB2312" w:cs="Courier New"/>
          <w:b w:val="0"/>
          <w:bCs w:val="0"/>
          <w:color w:val="000000" w:themeColor="text1"/>
          <w:sz w:val="32"/>
          <w:szCs w:val="32"/>
          <w:lang w:eastAsia="zh-CN"/>
        </w:rPr>
      </w:pPr>
      <w:r>
        <w:rPr>
          <w:rFonts w:hint="eastAsia" w:ascii="仿宋_GB2312" w:hAnsi="宋体" w:eastAsia="仿宋_GB2312" w:cs="Courier New"/>
          <w:b w:val="0"/>
          <w:bCs w:val="0"/>
          <w:color w:val="000000" w:themeColor="text1"/>
          <w:sz w:val="32"/>
          <w:szCs w:val="32"/>
          <w:lang w:eastAsia="zh-CN"/>
        </w:rPr>
        <w:t>因公出国（境）费年初预算为0万元，支出决算为0万元，完成年初预算的0%。全年因公出国（境）团组0个，累计0人次。</w:t>
      </w:r>
    </w:p>
    <w:p>
      <w:pPr>
        <w:pStyle w:val="6"/>
        <w:numPr>
          <w:ilvl w:val="0"/>
          <w:numId w:val="0"/>
        </w:numPr>
        <w:autoSpaceDE w:val="0"/>
        <w:spacing w:before="0" w:beforeAutospacing="0" w:line="590" w:lineRule="exact"/>
        <w:ind w:firstLine="643" w:firstLineChars="200"/>
        <w:rPr>
          <w:rFonts w:hint="eastAsia"/>
        </w:rPr>
      </w:pPr>
      <w:r>
        <w:rPr>
          <w:rFonts w:hint="eastAsia" w:ascii="仿宋_GB2312" w:eastAsia="仿宋_GB2312"/>
          <w:b/>
          <w:bCs/>
          <w:kern w:val="2"/>
          <w:sz w:val="32"/>
          <w:szCs w:val="32"/>
          <w:lang w:val="en-US" w:eastAsia="zh-CN"/>
        </w:rPr>
        <w:t>2.</w:t>
      </w:r>
      <w:r>
        <w:rPr>
          <w:rFonts w:hint="eastAsia" w:ascii="仿宋_GB2312" w:eastAsia="仿宋_GB2312"/>
          <w:b/>
          <w:bCs/>
          <w:kern w:val="2"/>
          <w:sz w:val="32"/>
          <w:szCs w:val="32"/>
        </w:rPr>
        <w:t>公务用车购置及运行费</w:t>
      </w:r>
      <w:r>
        <w:rPr>
          <w:rFonts w:hint="eastAsia" w:ascii="仿宋_GB2312" w:eastAsia="仿宋_GB2312"/>
          <w:kern w:val="2"/>
          <w:sz w:val="32"/>
          <w:szCs w:val="32"/>
        </w:rPr>
        <w:t>预算为</w:t>
      </w:r>
      <w:r>
        <w:rPr>
          <w:rFonts w:hint="eastAsia" w:ascii="仿宋_GB2312" w:eastAsia="仿宋_GB2312"/>
          <w:kern w:val="2"/>
          <w:sz w:val="32"/>
          <w:szCs w:val="32"/>
          <w:lang w:val="en-US" w:eastAsia="zh-CN"/>
        </w:rPr>
        <w:t>0</w:t>
      </w:r>
      <w:r>
        <w:rPr>
          <w:rFonts w:hint="eastAsia" w:ascii="仿宋_GB2312" w:eastAsia="仿宋_GB2312"/>
          <w:kern w:val="2"/>
          <w:sz w:val="32"/>
          <w:szCs w:val="32"/>
        </w:rPr>
        <w:t>万元，支出决算为</w:t>
      </w:r>
      <w:r>
        <w:rPr>
          <w:rFonts w:hint="eastAsia" w:ascii="仿宋_GB2312" w:eastAsia="仿宋_GB2312"/>
          <w:kern w:val="2"/>
          <w:sz w:val="32"/>
          <w:szCs w:val="32"/>
          <w:lang w:val="en-US" w:eastAsia="zh-CN"/>
        </w:rPr>
        <w:t>0</w:t>
      </w:r>
      <w:r>
        <w:rPr>
          <w:rFonts w:hint="eastAsia" w:ascii="仿宋_GB2312" w:eastAsia="仿宋_GB2312"/>
          <w:kern w:val="2"/>
          <w:sz w:val="32"/>
          <w:szCs w:val="32"/>
        </w:rPr>
        <w:t>万元，完成预算的</w:t>
      </w:r>
      <w:r>
        <w:rPr>
          <w:rFonts w:hint="eastAsia" w:ascii="仿宋_GB2312" w:eastAsia="仿宋_GB2312"/>
          <w:sz w:val="32"/>
          <w:szCs w:val="32"/>
          <w:lang w:val="en-US" w:eastAsia="zh-CN"/>
        </w:rPr>
        <w:t>0</w:t>
      </w:r>
      <w:r>
        <w:rPr>
          <w:rFonts w:hint="eastAsia" w:ascii="仿宋_GB2312" w:eastAsia="仿宋_GB2312"/>
          <w:kern w:val="2"/>
          <w:sz w:val="32"/>
          <w:szCs w:val="32"/>
        </w:rPr>
        <w:t>%。决算数与预算数</w:t>
      </w:r>
      <w:r>
        <w:rPr>
          <w:rFonts w:hint="eastAsia" w:ascii="仿宋_GB2312" w:eastAsia="仿宋_GB2312"/>
          <w:kern w:val="2"/>
          <w:sz w:val="32"/>
          <w:szCs w:val="32"/>
          <w:lang w:eastAsia="zh-CN"/>
        </w:rPr>
        <w:t>不</w:t>
      </w:r>
      <w:r>
        <w:rPr>
          <w:rFonts w:hint="eastAsia" w:ascii="仿宋_GB2312" w:eastAsia="仿宋_GB2312"/>
          <w:kern w:val="2"/>
          <w:sz w:val="32"/>
          <w:szCs w:val="32"/>
        </w:rPr>
        <w:t>存在差异。其中：</w:t>
      </w:r>
    </w:p>
    <w:p>
      <w:pPr>
        <w:pStyle w:val="6"/>
        <w:autoSpaceDE w:val="0"/>
        <w:spacing w:before="0" w:beforeAutospacing="0" w:line="590" w:lineRule="exact"/>
        <w:ind w:firstLine="643" w:firstLineChars="200"/>
        <w:rPr>
          <w:rFonts w:hint="eastAsia"/>
        </w:rPr>
      </w:pPr>
      <w:r>
        <w:rPr>
          <w:rFonts w:hint="eastAsia" w:ascii="仿宋_GB2312" w:eastAsia="仿宋_GB2312"/>
          <w:b/>
          <w:bCs/>
          <w:kern w:val="2"/>
          <w:sz w:val="32"/>
          <w:szCs w:val="32"/>
        </w:rPr>
        <w:t>公务用车购置支出</w:t>
      </w:r>
      <w:r>
        <w:rPr>
          <w:rFonts w:hint="eastAsia" w:ascii="仿宋_GB2312" w:eastAsia="仿宋_GB2312"/>
          <w:kern w:val="2"/>
          <w:sz w:val="32"/>
          <w:szCs w:val="32"/>
        </w:rPr>
        <w:t>为</w:t>
      </w:r>
      <w:r>
        <w:rPr>
          <w:rFonts w:hint="eastAsia" w:ascii="仿宋_GB2312" w:eastAsia="仿宋_GB2312"/>
          <w:sz w:val="32"/>
          <w:szCs w:val="32"/>
          <w:lang w:val="en-US" w:eastAsia="zh-CN"/>
        </w:rPr>
        <w:t>0</w:t>
      </w:r>
      <w:r>
        <w:rPr>
          <w:rFonts w:hint="eastAsia" w:ascii="仿宋_GB2312" w:eastAsia="仿宋_GB2312"/>
          <w:kern w:val="2"/>
          <w:sz w:val="32"/>
          <w:szCs w:val="32"/>
        </w:rPr>
        <w:t>万元，购置车辆</w:t>
      </w:r>
      <w:r>
        <w:rPr>
          <w:rFonts w:hint="eastAsia" w:ascii="仿宋_GB2312" w:eastAsia="仿宋_GB2312"/>
          <w:kern w:val="2"/>
          <w:sz w:val="32"/>
          <w:szCs w:val="32"/>
          <w:lang w:val="en-US" w:eastAsia="zh-CN"/>
        </w:rPr>
        <w:t>0</w:t>
      </w:r>
      <w:r>
        <w:rPr>
          <w:rFonts w:hint="eastAsia" w:ascii="仿宋_GB2312" w:eastAsia="仿宋_GB2312"/>
          <w:kern w:val="2"/>
          <w:sz w:val="32"/>
          <w:szCs w:val="32"/>
        </w:rPr>
        <w:t>辆。</w:t>
      </w:r>
    </w:p>
    <w:p>
      <w:pPr>
        <w:pStyle w:val="6"/>
        <w:autoSpaceDE w:val="0"/>
        <w:spacing w:before="0" w:beforeAutospacing="0" w:line="590" w:lineRule="exact"/>
        <w:ind w:firstLine="643" w:firstLineChars="200"/>
        <w:rPr>
          <w:rFonts w:ascii="仿宋_GB2312" w:hAnsi="宋体" w:eastAsia="仿宋_GB2312" w:cs="Courier New"/>
          <w:color w:val="000000" w:themeColor="text1"/>
          <w:sz w:val="32"/>
          <w:szCs w:val="32"/>
        </w:rPr>
      </w:pPr>
      <w:r>
        <w:rPr>
          <w:rFonts w:hint="eastAsia" w:ascii="仿宋_GB2312" w:eastAsia="仿宋_GB2312"/>
          <w:b/>
          <w:bCs/>
          <w:kern w:val="2"/>
          <w:sz w:val="32"/>
          <w:szCs w:val="32"/>
        </w:rPr>
        <w:t>公务用车运行支出</w:t>
      </w:r>
      <w:r>
        <w:rPr>
          <w:rFonts w:hint="eastAsia" w:ascii="仿宋_GB2312" w:eastAsia="仿宋_GB2312"/>
          <w:sz w:val="32"/>
          <w:szCs w:val="32"/>
          <w:lang w:val="en-US" w:eastAsia="zh-CN"/>
        </w:rPr>
        <w:t>0</w:t>
      </w:r>
      <w:r>
        <w:rPr>
          <w:rFonts w:hint="eastAsia" w:ascii="仿宋_GB2312" w:eastAsia="仿宋_GB2312"/>
          <w:kern w:val="2"/>
          <w:sz w:val="32"/>
          <w:szCs w:val="32"/>
        </w:rPr>
        <w:t>万元。201</w:t>
      </w:r>
      <w:r>
        <w:rPr>
          <w:rFonts w:hint="eastAsia" w:ascii="仿宋_GB2312" w:eastAsia="仿宋_GB2312"/>
          <w:kern w:val="2"/>
          <w:sz w:val="32"/>
          <w:szCs w:val="32"/>
          <w:lang w:val="en-US" w:eastAsia="zh-CN"/>
        </w:rPr>
        <w:t>8</w:t>
      </w:r>
      <w:r>
        <w:rPr>
          <w:rFonts w:hint="eastAsia" w:ascii="仿宋_GB2312" w:eastAsia="仿宋_GB2312"/>
          <w:kern w:val="2"/>
          <w:sz w:val="32"/>
          <w:szCs w:val="32"/>
        </w:rPr>
        <w:t>年期末，部门开支财政拨款的公务用车保有量为</w:t>
      </w:r>
      <w:r>
        <w:rPr>
          <w:rFonts w:hint="eastAsia" w:ascii="仿宋_GB2312" w:eastAsia="仿宋_GB2312"/>
          <w:kern w:val="2"/>
          <w:sz w:val="32"/>
          <w:szCs w:val="32"/>
          <w:lang w:val="en-US" w:eastAsia="zh-CN"/>
        </w:rPr>
        <w:t>0</w:t>
      </w:r>
      <w:r>
        <w:rPr>
          <w:rFonts w:hint="eastAsia" w:ascii="仿宋_GB2312" w:eastAsia="仿宋_GB2312"/>
          <w:kern w:val="2"/>
          <w:sz w:val="32"/>
          <w:szCs w:val="32"/>
        </w:rPr>
        <w:t>辆。</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宋体" w:eastAsia="仿宋_GB2312" w:cs="Courier New"/>
          <w:b w:val="0"/>
          <w:bCs w:val="0"/>
          <w:color w:val="000000" w:themeColor="text1"/>
          <w:sz w:val="32"/>
          <w:szCs w:val="32"/>
          <w:lang w:val="en-US" w:eastAsia="zh-CN"/>
        </w:rPr>
        <w:t>3.</w:t>
      </w:r>
      <w:r>
        <w:rPr>
          <w:rFonts w:hint="eastAsia" w:ascii="仿宋_GB2312" w:hAnsi="宋体" w:eastAsia="仿宋_GB2312" w:cs="Courier New"/>
          <w:b w:val="0"/>
          <w:bCs w:val="0"/>
          <w:color w:val="000000" w:themeColor="text1"/>
          <w:sz w:val="32"/>
          <w:szCs w:val="32"/>
        </w:rPr>
        <w:t>公务接待费</w:t>
      </w:r>
      <w:r>
        <w:rPr>
          <w:rFonts w:hint="eastAsia" w:ascii="仿宋_GB2312" w:hAnsi="宋体" w:eastAsia="仿宋_GB2312" w:cs="Courier New"/>
          <w:b w:val="0"/>
          <w:bCs w:val="0"/>
          <w:color w:val="000000" w:themeColor="text1"/>
          <w:sz w:val="32"/>
          <w:szCs w:val="32"/>
          <w:lang w:eastAsia="zh-CN"/>
        </w:rPr>
        <w:t>年初预算为</w:t>
      </w:r>
      <w:r>
        <w:rPr>
          <w:rFonts w:hint="eastAsia" w:ascii="仿宋_GB2312" w:hAnsi="宋体" w:eastAsia="仿宋_GB2312" w:cs="Courier New"/>
          <w:b w:val="0"/>
          <w:bCs w:val="0"/>
          <w:color w:val="000000" w:themeColor="text1"/>
          <w:sz w:val="32"/>
          <w:szCs w:val="32"/>
          <w:lang w:val="en-US" w:eastAsia="zh-CN"/>
        </w:rPr>
        <w:t>12万元，</w:t>
      </w:r>
      <w:r>
        <w:rPr>
          <w:rFonts w:hint="eastAsia" w:ascii="仿宋_GB2312" w:hAnsi="宋体" w:eastAsia="仿宋_GB2312" w:cs="Courier New"/>
          <w:color w:val="000000" w:themeColor="text1"/>
          <w:sz w:val="32"/>
          <w:szCs w:val="32"/>
        </w:rPr>
        <w:t>支出</w:t>
      </w:r>
      <w:r>
        <w:rPr>
          <w:rFonts w:hint="eastAsia" w:ascii="仿宋_GB2312" w:hAnsi="宋体" w:eastAsia="仿宋_GB2312" w:cs="Courier New"/>
          <w:color w:val="000000" w:themeColor="text1"/>
          <w:sz w:val="32"/>
          <w:szCs w:val="32"/>
          <w:lang w:eastAsia="zh-CN"/>
        </w:rPr>
        <w:t>决算为</w:t>
      </w:r>
      <w:r>
        <w:rPr>
          <w:rFonts w:hint="eastAsia" w:ascii="仿宋_GB2312" w:hAnsi="宋体" w:eastAsia="仿宋_GB2312" w:cs="Courier New"/>
          <w:color w:val="000000" w:themeColor="text1"/>
          <w:sz w:val="32"/>
          <w:szCs w:val="32"/>
          <w:lang w:val="en-US" w:eastAsia="zh-CN"/>
        </w:rPr>
        <w:t>5.23</w:t>
      </w:r>
      <w:r>
        <w:rPr>
          <w:rFonts w:hint="eastAsia" w:ascii="仿宋_GB2312" w:hAnsi="宋体" w:eastAsia="仿宋_GB2312" w:cs="Courier New"/>
          <w:color w:val="000000" w:themeColor="text1"/>
          <w:sz w:val="32"/>
          <w:szCs w:val="32"/>
        </w:rPr>
        <w:t>万元</w:t>
      </w:r>
      <w:r>
        <w:rPr>
          <w:rFonts w:hint="eastAsia" w:ascii="仿宋_GB2312" w:hAnsi="宋体" w:eastAsia="仿宋_GB2312" w:cs="Courier New"/>
          <w:color w:val="000000" w:themeColor="text1"/>
          <w:sz w:val="32"/>
          <w:szCs w:val="32"/>
          <w:lang w:eastAsia="zh-CN"/>
        </w:rPr>
        <w:t>，完成年初预算数的</w:t>
      </w:r>
      <w:r>
        <w:rPr>
          <w:rFonts w:hint="eastAsia" w:ascii="仿宋_GB2312" w:hAnsi="宋体" w:eastAsia="仿宋_GB2312" w:cs="Courier New"/>
          <w:color w:val="000000" w:themeColor="text1"/>
          <w:sz w:val="32"/>
          <w:szCs w:val="32"/>
          <w:lang w:val="en-US" w:eastAsia="zh-CN"/>
        </w:rPr>
        <w:t>43.58%</w:t>
      </w:r>
      <w:r>
        <w:rPr>
          <w:rFonts w:hint="eastAsia" w:ascii="仿宋_GB2312" w:hAnsi="宋体" w:eastAsia="仿宋_GB2312" w:cs="Courier New"/>
          <w:color w:val="000000" w:themeColor="text1"/>
          <w:sz w:val="32"/>
          <w:szCs w:val="32"/>
        </w:rPr>
        <w:t>。</w:t>
      </w:r>
      <w:r>
        <w:rPr>
          <w:rFonts w:hint="eastAsia" w:ascii="仿宋_GB2312" w:hAnsi="仿宋_GB2312" w:eastAsia="仿宋_GB2312" w:cs="仿宋_GB2312"/>
          <w:color w:val="000000" w:themeColor="text1"/>
          <w:sz w:val="32"/>
          <w:szCs w:val="32"/>
          <w:highlight w:val="none"/>
          <w:lang w:val="en-US" w:eastAsia="zh-CN"/>
        </w:rPr>
        <w:t>决算数与预算数存在差异的</w:t>
      </w:r>
      <w:r>
        <w:rPr>
          <w:rFonts w:hint="eastAsia" w:ascii="仿宋_GB2312" w:hAnsi="仿宋_GB2312" w:eastAsia="仿宋_GB2312" w:cs="仿宋_GB2312"/>
          <w:color w:val="auto"/>
          <w:sz w:val="32"/>
          <w:szCs w:val="32"/>
          <w:highlight w:val="none"/>
          <w:lang w:val="en-US" w:eastAsia="zh-CN"/>
        </w:rPr>
        <w:t>主要原因是本年度严格落实“八项规定”，严格落实三单一票一涵制度，杜绝同城公务接待，大幅度压缩公务接待开支。</w:t>
      </w:r>
    </w:p>
    <w:p>
      <w:pPr>
        <w:numPr>
          <w:ilvl w:val="0"/>
          <w:numId w:val="0"/>
        </w:numPr>
        <w:kinsoku w:val="0"/>
        <w:overflowPunct w:val="0"/>
        <w:autoSpaceDE w:val="0"/>
        <w:autoSpaceDN w:val="0"/>
        <w:adjustRightInd w:val="0"/>
        <w:snapToGrid w:val="0"/>
        <w:spacing w:line="360" w:lineRule="auto"/>
        <w:rPr>
          <w:rFonts w:hint="eastAsia" w:ascii="仿宋_GB2312" w:hAnsi="宋体" w:eastAsia="仿宋_GB2312" w:cs="Courier New"/>
          <w:color w:val="000000" w:themeColor="text1"/>
          <w:sz w:val="32"/>
          <w:szCs w:val="32"/>
        </w:rPr>
      </w:pPr>
      <w:r>
        <w:rPr>
          <w:rFonts w:hint="eastAsia" w:ascii="仿宋_GB2312" w:hAnsi="宋体" w:eastAsia="仿宋_GB2312" w:cs="Courier New"/>
          <w:color w:val="000000" w:themeColor="text1"/>
          <w:sz w:val="32"/>
          <w:szCs w:val="32"/>
        </w:rPr>
        <w:t>其中：</w:t>
      </w:r>
    </w:p>
    <w:p>
      <w:pPr>
        <w:numPr>
          <w:ilvl w:val="0"/>
          <w:numId w:val="0"/>
        </w:num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b w:val="0"/>
          <w:bCs w:val="0"/>
          <w:color w:val="000000" w:themeColor="text1"/>
          <w:sz w:val="32"/>
          <w:szCs w:val="32"/>
        </w:rPr>
      </w:pPr>
      <w:r>
        <w:rPr>
          <w:rFonts w:hint="eastAsia" w:ascii="仿宋_GB2312" w:eastAsia="仿宋_GB2312"/>
          <w:b/>
          <w:bCs/>
          <w:kern w:val="2"/>
          <w:sz w:val="32"/>
          <w:szCs w:val="32"/>
        </w:rPr>
        <w:t>外宾接待支出</w:t>
      </w:r>
      <w:r>
        <w:rPr>
          <w:rFonts w:hint="eastAsia" w:ascii="仿宋_GB2312" w:eastAsia="仿宋_GB2312"/>
          <w:kern w:val="2"/>
          <w:sz w:val="32"/>
          <w:szCs w:val="32"/>
          <w:lang w:val="en-US" w:eastAsia="zh-CN"/>
        </w:rPr>
        <w:t>0</w:t>
      </w:r>
      <w:r>
        <w:rPr>
          <w:rFonts w:hint="eastAsia" w:ascii="仿宋_GB2312" w:eastAsia="仿宋_GB2312"/>
          <w:kern w:val="2"/>
          <w:sz w:val="32"/>
          <w:szCs w:val="32"/>
        </w:rPr>
        <w:t>万元</w:t>
      </w:r>
      <w:r>
        <w:rPr>
          <w:rFonts w:hint="eastAsia" w:ascii="仿宋_GB2312" w:eastAsia="仿宋_GB2312"/>
          <w:kern w:val="2"/>
          <w:sz w:val="32"/>
          <w:szCs w:val="32"/>
          <w:lang w:eastAsia="zh-CN"/>
        </w:rPr>
        <w:t>。</w:t>
      </w:r>
      <w:r>
        <w:rPr>
          <w:rFonts w:hint="eastAsia" w:ascii="仿宋_GB2312" w:eastAsia="仿宋_GB2312"/>
          <w:kern w:val="2"/>
          <w:sz w:val="32"/>
          <w:szCs w:val="32"/>
        </w:rPr>
        <w:t>201</w:t>
      </w:r>
      <w:r>
        <w:rPr>
          <w:rFonts w:hint="eastAsia" w:ascii="仿宋_GB2312" w:eastAsia="仿宋_GB2312"/>
          <w:kern w:val="2"/>
          <w:sz w:val="32"/>
          <w:szCs w:val="32"/>
          <w:lang w:val="en-US" w:eastAsia="zh-CN"/>
        </w:rPr>
        <w:t>8</w:t>
      </w:r>
      <w:r>
        <w:rPr>
          <w:rFonts w:hint="eastAsia" w:ascii="仿宋_GB2312" w:eastAsia="仿宋_GB2312"/>
          <w:kern w:val="2"/>
          <w:sz w:val="32"/>
          <w:szCs w:val="32"/>
        </w:rPr>
        <w:t>年共接待国（境）外来访团组</w:t>
      </w:r>
      <w:r>
        <w:rPr>
          <w:rFonts w:hint="eastAsia" w:ascii="仿宋_GB2312" w:eastAsia="仿宋_GB2312"/>
          <w:kern w:val="2"/>
          <w:sz w:val="32"/>
          <w:szCs w:val="32"/>
          <w:lang w:val="en-US" w:eastAsia="zh-CN"/>
        </w:rPr>
        <w:t>0</w:t>
      </w:r>
      <w:r>
        <w:rPr>
          <w:rFonts w:hint="eastAsia" w:ascii="仿宋_GB2312" w:eastAsia="仿宋_GB2312"/>
          <w:kern w:val="2"/>
          <w:sz w:val="32"/>
          <w:szCs w:val="32"/>
        </w:rPr>
        <w:t>个、来访外宾</w:t>
      </w:r>
      <w:r>
        <w:rPr>
          <w:rFonts w:hint="eastAsia" w:ascii="仿宋_GB2312" w:eastAsia="仿宋_GB2312"/>
          <w:kern w:val="2"/>
          <w:sz w:val="32"/>
          <w:szCs w:val="32"/>
          <w:lang w:val="en-US" w:eastAsia="zh-CN"/>
        </w:rPr>
        <w:t>0</w:t>
      </w:r>
      <w:r>
        <w:rPr>
          <w:rFonts w:hint="eastAsia" w:ascii="仿宋_GB2312" w:eastAsia="仿宋_GB2312"/>
          <w:kern w:val="2"/>
          <w:sz w:val="32"/>
          <w:szCs w:val="32"/>
        </w:rPr>
        <w:t>人次（不包括陪同人员）。</w:t>
      </w:r>
    </w:p>
    <w:p>
      <w:pPr>
        <w:numPr>
          <w:ilvl w:val="0"/>
          <w:numId w:val="0"/>
        </w:num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000000" w:themeColor="text1"/>
          <w:sz w:val="32"/>
          <w:szCs w:val="32"/>
        </w:rPr>
      </w:pPr>
      <w:r>
        <w:rPr>
          <w:rFonts w:hint="eastAsia" w:ascii="仿宋_GB2312" w:hAnsi="宋体" w:eastAsia="仿宋_GB2312" w:cs="Courier New"/>
          <w:b w:val="0"/>
          <w:bCs w:val="0"/>
          <w:color w:val="000000" w:themeColor="text1"/>
          <w:sz w:val="32"/>
          <w:szCs w:val="32"/>
        </w:rPr>
        <w:t>其他国内公务接待支出为</w:t>
      </w:r>
      <w:r>
        <w:rPr>
          <w:rFonts w:hint="eastAsia" w:ascii="仿宋_GB2312" w:hAnsi="宋体" w:eastAsia="仿宋_GB2312" w:cs="Courier New"/>
          <w:b w:val="0"/>
          <w:bCs w:val="0"/>
          <w:color w:val="000000" w:themeColor="text1"/>
          <w:sz w:val="32"/>
          <w:szCs w:val="32"/>
          <w:lang w:val="en-US" w:eastAsia="zh-CN"/>
        </w:rPr>
        <w:t>5.23</w:t>
      </w:r>
      <w:r>
        <w:rPr>
          <w:rFonts w:hint="eastAsia" w:ascii="仿宋_GB2312" w:hAnsi="宋体" w:eastAsia="仿宋_GB2312" w:cs="Courier New"/>
          <w:b w:val="0"/>
          <w:bCs w:val="0"/>
          <w:color w:val="000000" w:themeColor="text1"/>
          <w:sz w:val="32"/>
          <w:szCs w:val="32"/>
        </w:rPr>
        <w:t>万元。</w:t>
      </w:r>
      <w:r>
        <w:rPr>
          <w:rFonts w:hint="eastAsia" w:ascii="仿宋_GB2312" w:hAnsi="宋体" w:eastAsia="仿宋_GB2312" w:cs="Courier New"/>
          <w:color w:val="000000" w:themeColor="text1"/>
          <w:sz w:val="32"/>
          <w:szCs w:val="32"/>
        </w:rPr>
        <w:t>主要用于</w:t>
      </w:r>
      <w:r>
        <w:rPr>
          <w:rFonts w:hint="eastAsia" w:ascii="仿宋_GB2312" w:hAnsi="宋体" w:eastAsia="仿宋_GB2312" w:cs="Courier New"/>
          <w:color w:val="000000" w:themeColor="text1"/>
          <w:sz w:val="32"/>
          <w:szCs w:val="32"/>
          <w:lang w:eastAsia="zh-CN"/>
        </w:rPr>
        <w:t>接待省厅督查检查工作和兄弟市县业务交流学习</w:t>
      </w:r>
      <w:r>
        <w:rPr>
          <w:rFonts w:hint="eastAsia" w:ascii="仿宋_GB2312" w:hAnsi="宋体" w:eastAsia="仿宋_GB2312" w:cs="Courier New"/>
          <w:color w:val="000000" w:themeColor="text1"/>
          <w:sz w:val="32"/>
          <w:szCs w:val="32"/>
        </w:rPr>
        <w:t>。</w:t>
      </w:r>
      <w:r>
        <w:rPr>
          <w:rFonts w:hint="eastAsia" w:ascii="仿宋_GB2312" w:hAnsi="宋体" w:eastAsia="仿宋_GB2312" w:cs="Courier New"/>
          <w:color w:val="000000" w:themeColor="text1"/>
          <w:sz w:val="32"/>
          <w:szCs w:val="32"/>
          <w:lang w:eastAsia="zh-CN"/>
        </w:rPr>
        <w:t>201</w:t>
      </w:r>
      <w:r>
        <w:rPr>
          <w:rFonts w:hint="eastAsia" w:ascii="仿宋_GB2312" w:hAnsi="宋体" w:eastAsia="仿宋_GB2312" w:cs="Courier New"/>
          <w:color w:val="000000" w:themeColor="text1"/>
          <w:sz w:val="32"/>
          <w:szCs w:val="32"/>
          <w:lang w:val="en-US" w:eastAsia="zh-CN"/>
        </w:rPr>
        <w:t>8</w:t>
      </w:r>
      <w:r>
        <w:rPr>
          <w:rFonts w:hint="eastAsia" w:ascii="仿宋_GB2312" w:hAnsi="宋体" w:eastAsia="仿宋_GB2312" w:cs="Courier New"/>
          <w:color w:val="000000" w:themeColor="text1"/>
          <w:sz w:val="32"/>
          <w:szCs w:val="32"/>
        </w:rPr>
        <w:t>年度共接待国内来访团组</w:t>
      </w:r>
      <w:r>
        <w:rPr>
          <w:rFonts w:hint="eastAsia" w:ascii="仿宋_GB2312" w:hAnsi="宋体" w:eastAsia="仿宋_GB2312" w:cs="Courier New"/>
          <w:color w:val="000000" w:themeColor="text1"/>
          <w:sz w:val="32"/>
          <w:szCs w:val="32"/>
          <w:lang w:val="en-US" w:eastAsia="zh-CN"/>
        </w:rPr>
        <w:t>39</w:t>
      </w:r>
      <w:r>
        <w:rPr>
          <w:rFonts w:hint="eastAsia" w:ascii="仿宋_GB2312" w:hAnsi="宋体" w:eastAsia="仿宋_GB2312" w:cs="Courier New"/>
          <w:color w:val="000000" w:themeColor="text1"/>
          <w:sz w:val="32"/>
          <w:szCs w:val="32"/>
        </w:rPr>
        <w:t>个、</w:t>
      </w:r>
      <w:r>
        <w:rPr>
          <w:rFonts w:hint="eastAsia" w:ascii="仿宋_GB2312" w:hAnsi="宋体" w:eastAsia="仿宋_GB2312" w:cs="Courier New"/>
          <w:color w:val="000000" w:themeColor="text1"/>
          <w:sz w:val="32"/>
          <w:szCs w:val="32"/>
          <w:lang w:eastAsia="zh-CN"/>
        </w:rPr>
        <w:t>接待</w:t>
      </w:r>
      <w:r>
        <w:rPr>
          <w:rFonts w:hint="eastAsia" w:ascii="仿宋_GB2312" w:hAnsi="宋体" w:eastAsia="仿宋_GB2312" w:cs="Courier New"/>
          <w:color w:val="000000" w:themeColor="text1"/>
          <w:sz w:val="32"/>
          <w:szCs w:val="32"/>
        </w:rPr>
        <w:t>来访</w:t>
      </w:r>
      <w:r>
        <w:rPr>
          <w:rFonts w:hint="eastAsia" w:ascii="仿宋_GB2312" w:hAnsi="宋体" w:eastAsia="仿宋_GB2312" w:cs="Courier New"/>
          <w:color w:val="000000" w:themeColor="text1"/>
          <w:sz w:val="32"/>
          <w:szCs w:val="32"/>
          <w:lang w:val="en-US" w:eastAsia="zh-CN"/>
        </w:rPr>
        <w:t>872</w:t>
      </w:r>
      <w:r>
        <w:rPr>
          <w:rFonts w:hint="eastAsia" w:ascii="仿宋_GB2312" w:hAnsi="宋体" w:eastAsia="仿宋_GB2312" w:cs="Courier New"/>
          <w:color w:val="000000" w:themeColor="text1"/>
          <w:sz w:val="32"/>
          <w:szCs w:val="32"/>
        </w:rPr>
        <w:t>人次（不包括陪同人员）。</w:t>
      </w:r>
    </w:p>
    <w:p>
      <w:pPr>
        <w:numPr>
          <w:ilvl w:val="0"/>
          <w:numId w:val="5"/>
        </w:numPr>
        <w:adjustRightInd w:val="0"/>
        <w:snapToGrid w:val="0"/>
        <w:spacing w:line="360" w:lineRule="auto"/>
        <w:ind w:firstLine="640" w:firstLineChars="200"/>
        <w:outlineLvl w:val="1"/>
        <w:rPr>
          <w:rFonts w:ascii="黑体" w:hAnsi="黑体" w:eastAsia="黑体"/>
          <w:color w:val="000000" w:themeColor="text1"/>
          <w:sz w:val="32"/>
          <w:szCs w:val="32"/>
        </w:rPr>
      </w:pPr>
      <w:r>
        <w:rPr>
          <w:rFonts w:hint="eastAsia" w:ascii="黑体" w:hAnsi="黑体" w:eastAsia="黑体"/>
          <w:color w:val="000000" w:themeColor="text1"/>
          <w:sz w:val="32"/>
          <w:szCs w:val="32"/>
        </w:rPr>
        <w:t>关于预算绩效情况说明</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color w:val="000000" w:themeColor="text1"/>
          <w:sz w:val="32"/>
          <w:szCs w:val="32"/>
        </w:rPr>
      </w:pPr>
      <w:r>
        <w:rPr>
          <w:rFonts w:hint="eastAsia" w:ascii="仿宋" w:hAnsi="仿宋" w:eastAsia="仿宋" w:cs="仿宋"/>
          <w:color w:val="000000" w:themeColor="text1"/>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000000" w:themeColor="text1"/>
          <w:sz w:val="32"/>
          <w:szCs w:val="32"/>
        </w:rPr>
      </w:pPr>
      <w:r>
        <w:rPr>
          <w:rFonts w:hint="eastAsia" w:ascii="仿宋_GB2312" w:hAnsi="宋体" w:eastAsia="仿宋_GB2312" w:cs="Courier New"/>
          <w:color w:val="000000" w:themeColor="text1"/>
          <w:sz w:val="32"/>
          <w:szCs w:val="32"/>
        </w:rPr>
        <w:t>根据财政预算管理要求，</w:t>
      </w:r>
      <w:r>
        <w:rPr>
          <w:rFonts w:hint="eastAsia" w:ascii="仿宋_GB2312" w:hAnsi="宋体" w:eastAsia="仿宋_GB2312" w:cs="Courier New"/>
          <w:color w:val="000000" w:themeColor="text1"/>
          <w:sz w:val="32"/>
          <w:szCs w:val="32"/>
          <w:lang w:eastAsia="zh-CN"/>
        </w:rPr>
        <w:t>浉河区民政局</w:t>
      </w:r>
      <w:r>
        <w:rPr>
          <w:rFonts w:hint="eastAsia" w:ascii="仿宋_GB2312" w:hAnsi="宋体" w:eastAsia="仿宋_GB2312" w:cs="Courier New"/>
          <w:color w:val="000000" w:themeColor="text1"/>
          <w:sz w:val="32"/>
          <w:szCs w:val="32"/>
        </w:rPr>
        <w:t>对</w:t>
      </w:r>
      <w:r>
        <w:rPr>
          <w:rFonts w:hint="eastAsia" w:ascii="仿宋_GB2312" w:hAnsi="宋体" w:eastAsia="仿宋_GB2312" w:cs="Courier New"/>
          <w:color w:val="000000" w:themeColor="text1"/>
          <w:sz w:val="32"/>
          <w:szCs w:val="32"/>
          <w:lang w:eastAsia="zh-CN"/>
        </w:rPr>
        <w:t>201</w:t>
      </w:r>
      <w:r>
        <w:rPr>
          <w:rFonts w:hint="eastAsia" w:ascii="仿宋_GB2312" w:hAnsi="宋体" w:eastAsia="仿宋_GB2312" w:cs="Courier New"/>
          <w:color w:val="000000" w:themeColor="text1"/>
          <w:sz w:val="32"/>
          <w:szCs w:val="32"/>
          <w:lang w:val="en-US" w:eastAsia="zh-CN"/>
        </w:rPr>
        <w:t>8</w:t>
      </w:r>
      <w:r>
        <w:rPr>
          <w:rFonts w:hint="eastAsia" w:ascii="仿宋_GB2312" w:hAnsi="宋体" w:eastAsia="仿宋_GB2312" w:cs="Courier New"/>
          <w:color w:val="000000" w:themeColor="text1"/>
          <w:sz w:val="32"/>
          <w:szCs w:val="32"/>
        </w:rPr>
        <w:t>年度一般公共预算项目支出全面开展绩效自评。其中，</w:t>
      </w:r>
      <w:r>
        <w:rPr>
          <w:rFonts w:hint="eastAsia" w:ascii="仿宋_GB2312" w:hAnsi="宋体" w:eastAsia="仿宋_GB2312" w:cs="Courier New"/>
          <w:color w:val="000000" w:themeColor="text1"/>
          <w:sz w:val="32"/>
          <w:szCs w:val="32"/>
          <w:lang w:eastAsia="zh-CN"/>
        </w:rPr>
        <w:t>共涉及上级项目指标</w:t>
      </w:r>
      <w:r>
        <w:rPr>
          <w:rFonts w:hint="eastAsia" w:ascii="仿宋_GB2312" w:hAnsi="宋体" w:eastAsia="仿宋_GB2312" w:cs="Courier New"/>
          <w:color w:val="000000" w:themeColor="text1"/>
          <w:sz w:val="32"/>
          <w:szCs w:val="32"/>
          <w:lang w:val="en-US" w:eastAsia="zh-CN"/>
        </w:rPr>
        <w:t>31</w:t>
      </w:r>
      <w:r>
        <w:rPr>
          <w:rFonts w:hint="eastAsia" w:ascii="仿宋_GB2312" w:hAnsi="宋体" w:eastAsia="仿宋_GB2312" w:cs="Courier New"/>
          <w:color w:val="000000" w:themeColor="text1"/>
          <w:sz w:val="32"/>
          <w:szCs w:val="32"/>
        </w:rPr>
        <w:t>个，</w:t>
      </w:r>
      <w:r>
        <w:rPr>
          <w:rFonts w:hint="eastAsia" w:ascii="仿宋_GB2312" w:hAnsi="宋体" w:eastAsia="仿宋_GB2312" w:cs="Courier New"/>
          <w:color w:val="000000" w:themeColor="text1"/>
          <w:sz w:val="32"/>
          <w:szCs w:val="32"/>
          <w:lang w:eastAsia="zh-CN"/>
        </w:rPr>
        <w:t>本级指标</w:t>
      </w:r>
      <w:r>
        <w:rPr>
          <w:rFonts w:hint="eastAsia" w:ascii="仿宋_GB2312" w:hAnsi="宋体" w:eastAsia="仿宋_GB2312" w:cs="Courier New"/>
          <w:color w:val="000000" w:themeColor="text1"/>
          <w:sz w:val="32"/>
          <w:szCs w:val="32"/>
          <w:lang w:val="en-US" w:eastAsia="zh-CN"/>
        </w:rPr>
        <w:t>2个，</w:t>
      </w:r>
      <w:r>
        <w:rPr>
          <w:rFonts w:hint="eastAsia" w:ascii="仿宋_GB2312" w:hAnsi="宋体" w:eastAsia="仿宋_GB2312" w:cs="Courier New"/>
          <w:color w:val="000000" w:themeColor="text1"/>
          <w:sz w:val="32"/>
          <w:szCs w:val="32"/>
        </w:rPr>
        <w:t>共涉及</w:t>
      </w:r>
      <w:r>
        <w:rPr>
          <w:rFonts w:hint="eastAsia" w:ascii="仿宋_GB2312" w:hAnsi="宋体" w:eastAsia="仿宋_GB2312" w:cs="Courier New"/>
          <w:color w:val="000000" w:themeColor="text1"/>
          <w:sz w:val="32"/>
          <w:szCs w:val="32"/>
          <w:lang w:eastAsia="zh-CN"/>
        </w:rPr>
        <w:t>指标</w:t>
      </w:r>
      <w:r>
        <w:rPr>
          <w:rFonts w:hint="eastAsia" w:ascii="仿宋_GB2312" w:hAnsi="宋体" w:eastAsia="仿宋_GB2312" w:cs="Courier New"/>
          <w:color w:val="000000" w:themeColor="text1"/>
          <w:sz w:val="32"/>
          <w:szCs w:val="32"/>
        </w:rPr>
        <w:t>资金</w:t>
      </w:r>
      <w:r>
        <w:rPr>
          <w:rFonts w:hint="eastAsia" w:ascii="仿宋_GB2312" w:hAnsi="宋体" w:eastAsia="仿宋_GB2312" w:cs="Courier New"/>
          <w:color w:val="000000" w:themeColor="text1"/>
          <w:sz w:val="32"/>
          <w:szCs w:val="32"/>
          <w:lang w:val="en-US" w:eastAsia="zh-CN"/>
        </w:rPr>
        <w:t>15083.32</w:t>
      </w:r>
      <w:r>
        <w:rPr>
          <w:rFonts w:hint="eastAsia" w:ascii="仿宋_GB2312" w:hAnsi="宋体" w:eastAsia="仿宋_GB2312" w:cs="Courier New"/>
          <w:color w:val="000000" w:themeColor="text1"/>
          <w:sz w:val="32"/>
          <w:szCs w:val="32"/>
        </w:rPr>
        <w:t>万元，自评覆盖率达到</w:t>
      </w:r>
      <w:r>
        <w:rPr>
          <w:rFonts w:hint="eastAsia" w:ascii="仿宋_GB2312" w:hAnsi="宋体" w:eastAsia="仿宋_GB2312" w:cs="Courier New"/>
          <w:color w:val="000000" w:themeColor="text1"/>
          <w:sz w:val="32"/>
          <w:szCs w:val="32"/>
          <w:lang w:val="en-US" w:eastAsia="zh-CN"/>
        </w:rPr>
        <w:t>82.5</w:t>
      </w:r>
      <w:r>
        <w:rPr>
          <w:rFonts w:hint="eastAsia" w:ascii="仿宋_GB2312" w:hAnsi="宋体" w:eastAsia="仿宋_GB2312" w:cs="Courier New"/>
          <w:color w:val="000000" w:themeColor="text1"/>
          <w:sz w:val="32"/>
          <w:szCs w:val="32"/>
        </w:rPr>
        <w:t>%。</w:t>
      </w:r>
    </w:p>
    <w:p>
      <w:pPr>
        <w:numPr>
          <w:ilvl w:val="0"/>
          <w:numId w:val="11"/>
        </w:numPr>
        <w:kinsoku w:val="0"/>
        <w:overflowPunct w:val="0"/>
        <w:autoSpaceDE w:val="0"/>
        <w:autoSpaceDN w:val="0"/>
        <w:adjustRightInd w:val="0"/>
        <w:snapToGrid w:val="0"/>
        <w:spacing w:line="360" w:lineRule="auto"/>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项目绩效自评结果。</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color w:val="000000" w:themeColor="text1"/>
          <w:sz w:val="32"/>
          <w:szCs w:val="32"/>
        </w:rPr>
      </w:pPr>
      <w:r>
        <w:rPr>
          <w:rFonts w:hint="eastAsia" w:ascii="仿宋_GB2312" w:hAnsi="宋体" w:eastAsia="仿宋_GB2312" w:cs="Courier New"/>
          <w:color w:val="000000" w:themeColor="text1"/>
          <w:sz w:val="32"/>
          <w:szCs w:val="32"/>
        </w:rPr>
        <w:t>根据</w:t>
      </w:r>
      <w:r>
        <w:rPr>
          <w:rFonts w:hint="eastAsia" w:ascii="仿宋_GB2312" w:hAnsi="宋体" w:eastAsia="仿宋_GB2312" w:cs="Courier New"/>
          <w:color w:val="000000" w:themeColor="text1"/>
          <w:sz w:val="32"/>
          <w:szCs w:val="32"/>
          <w:lang w:eastAsia="zh-CN"/>
        </w:rPr>
        <w:t>201</w:t>
      </w:r>
      <w:r>
        <w:rPr>
          <w:rFonts w:hint="eastAsia" w:ascii="仿宋_GB2312" w:hAnsi="宋体" w:eastAsia="仿宋_GB2312" w:cs="Courier New"/>
          <w:color w:val="000000" w:themeColor="text1"/>
          <w:sz w:val="32"/>
          <w:szCs w:val="32"/>
          <w:lang w:val="en-US" w:eastAsia="zh-CN"/>
        </w:rPr>
        <w:t>8</w:t>
      </w:r>
      <w:r>
        <w:rPr>
          <w:rFonts w:hint="eastAsia" w:ascii="仿宋_GB2312" w:hAnsi="宋体" w:eastAsia="仿宋_GB2312" w:cs="Courier New"/>
          <w:color w:val="000000" w:themeColor="text1"/>
          <w:sz w:val="32"/>
          <w:szCs w:val="32"/>
        </w:rPr>
        <w:t>年年初设定的绩效目标，</w:t>
      </w:r>
      <w:r>
        <w:rPr>
          <w:rFonts w:hint="eastAsia" w:ascii="仿宋_GB2312" w:hAnsi="宋体" w:eastAsia="仿宋_GB2312" w:cs="Courier New"/>
          <w:color w:val="000000" w:themeColor="text1"/>
          <w:sz w:val="32"/>
          <w:szCs w:val="32"/>
          <w:lang w:eastAsia="zh-CN"/>
        </w:rPr>
        <w:t>我局绩效自评为较好</w:t>
      </w:r>
      <w:r>
        <w:rPr>
          <w:rFonts w:hint="eastAsia" w:ascii="仿宋_GB2312" w:hAnsi="宋体" w:eastAsia="仿宋_GB2312" w:cs="Courier New"/>
          <w:color w:val="000000" w:themeColor="text1"/>
          <w:sz w:val="32"/>
          <w:szCs w:val="32"/>
        </w:rPr>
        <w:t>。发现的主要问题：</w:t>
      </w:r>
      <w:r>
        <w:rPr>
          <w:rFonts w:hint="eastAsia" w:ascii="仿宋_GB2312" w:hAnsi="宋体" w:eastAsia="仿宋_GB2312" w:cs="Courier New"/>
          <w:color w:val="000000" w:themeColor="text1"/>
          <w:sz w:val="32"/>
          <w:szCs w:val="32"/>
          <w:lang w:eastAsia="zh-CN"/>
        </w:rPr>
        <w:t>资金拨付时效性和资金使用效率需要提高</w:t>
      </w:r>
      <w:r>
        <w:rPr>
          <w:rFonts w:hint="eastAsia" w:ascii="仿宋_GB2312" w:hAnsi="宋体" w:eastAsia="仿宋_GB2312" w:cs="Courier New"/>
          <w:color w:val="000000" w:themeColor="text1"/>
          <w:sz w:val="32"/>
          <w:szCs w:val="32"/>
        </w:rPr>
        <w:t>。</w:t>
      </w:r>
    </w:p>
    <w:p>
      <w:pPr>
        <w:numPr>
          <w:ilvl w:val="0"/>
          <w:numId w:val="11"/>
        </w:numPr>
        <w:kinsoku w:val="0"/>
        <w:overflowPunct w:val="0"/>
        <w:autoSpaceDE w:val="0"/>
        <w:autoSpaceDN w:val="0"/>
        <w:adjustRightInd w:val="0"/>
        <w:snapToGrid w:val="0"/>
        <w:spacing w:line="360" w:lineRule="auto"/>
        <w:ind w:left="0" w:leftChars="0"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重点</w:t>
      </w:r>
      <w:r>
        <w:rPr>
          <w:rFonts w:hint="eastAsia" w:ascii="仿宋" w:hAnsi="仿宋" w:eastAsia="仿宋" w:cs="仿宋"/>
          <w:color w:val="000000" w:themeColor="text1"/>
          <w:sz w:val="32"/>
          <w:szCs w:val="32"/>
        </w:rPr>
        <w:t>绩效</w:t>
      </w:r>
      <w:r>
        <w:rPr>
          <w:rFonts w:hint="eastAsia" w:ascii="仿宋" w:hAnsi="仿宋" w:eastAsia="仿宋" w:cs="仿宋"/>
          <w:color w:val="000000" w:themeColor="text1"/>
          <w:sz w:val="32"/>
          <w:szCs w:val="32"/>
          <w:lang w:eastAsia="zh-CN"/>
        </w:rPr>
        <w:t>评价</w:t>
      </w:r>
      <w:r>
        <w:rPr>
          <w:rFonts w:hint="eastAsia" w:ascii="仿宋" w:hAnsi="仿宋" w:eastAsia="仿宋" w:cs="仿宋"/>
          <w:color w:val="000000" w:themeColor="text1"/>
          <w:sz w:val="32"/>
          <w:szCs w:val="32"/>
        </w:rPr>
        <w:t>结果。</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eastAsia="zh-CN"/>
        </w:rPr>
        <w:t>按照财政部门要求，</w:t>
      </w:r>
      <w:r>
        <w:rPr>
          <w:rFonts w:hint="eastAsia" w:ascii="仿宋" w:hAnsi="仿宋" w:eastAsia="仿宋" w:cs="仿宋"/>
          <w:color w:val="000000" w:themeColor="text1"/>
          <w:sz w:val="32"/>
          <w:szCs w:val="32"/>
          <w:lang w:val="en-US" w:eastAsia="zh-CN"/>
        </w:rPr>
        <w:t>2018年度我局重点对困难群众基本生活救助补助资金指标7005.9万元、城乡医疗救助补助资金指标1119万元进行绩效评价。</w:t>
      </w:r>
      <w:r>
        <w:rPr>
          <w:rFonts w:hint="eastAsia" w:ascii="仿宋" w:hAnsi="仿宋" w:eastAsia="仿宋" w:cs="仿宋"/>
          <w:color w:val="000000" w:themeColor="text1"/>
          <w:sz w:val="32"/>
          <w:szCs w:val="32"/>
        </w:rPr>
        <w:t>发现的主要问题：</w:t>
      </w:r>
      <w:r>
        <w:rPr>
          <w:rFonts w:hint="eastAsia" w:ascii="仿宋" w:hAnsi="仿宋" w:eastAsia="仿宋" w:cs="仿宋"/>
          <w:color w:val="000000" w:themeColor="text1"/>
          <w:sz w:val="32"/>
          <w:szCs w:val="32"/>
          <w:lang w:eastAsia="zh-CN"/>
        </w:rPr>
        <w:t>群众对政策的知晓率和工作满意度需要提高，资金拨付时效性和资金使用效率需要提高</w:t>
      </w:r>
      <w:r>
        <w:rPr>
          <w:rFonts w:hint="eastAsia" w:ascii="仿宋" w:hAnsi="仿宋" w:eastAsia="仿宋" w:cs="仿宋"/>
          <w:color w:val="000000" w:themeColor="text1"/>
          <w:sz w:val="32"/>
          <w:szCs w:val="32"/>
        </w:rPr>
        <w:t>。</w:t>
      </w:r>
    </w:p>
    <w:p>
      <w:pPr>
        <w:numPr>
          <w:ilvl w:val="0"/>
          <w:numId w:val="5"/>
        </w:numPr>
        <w:adjustRightInd w:val="0"/>
        <w:snapToGrid w:val="0"/>
        <w:spacing w:line="360" w:lineRule="auto"/>
        <w:ind w:firstLine="640" w:firstLineChars="200"/>
        <w:outlineLvl w:val="1"/>
        <w:rPr>
          <w:rFonts w:ascii="黑体" w:hAnsi="黑体" w:eastAsia="黑体"/>
          <w:color w:val="000000" w:themeColor="text1"/>
          <w:sz w:val="32"/>
          <w:szCs w:val="32"/>
        </w:rPr>
      </w:pPr>
      <w:r>
        <w:rPr>
          <w:rFonts w:hint="eastAsia" w:ascii="黑体" w:hAnsi="黑体" w:eastAsia="黑体"/>
          <w:color w:val="000000" w:themeColor="text1"/>
          <w:sz w:val="32"/>
          <w:szCs w:val="32"/>
        </w:rPr>
        <w:t>政府性基金预算财政拨款支出决算情况说明</w:t>
      </w:r>
    </w:p>
    <w:p>
      <w:pPr>
        <w:widowControl/>
        <w:spacing w:beforeLines="0" w:afterLines="0" w:line="59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eastAsia="zh-CN"/>
        </w:rPr>
        <w:t>我部门</w:t>
      </w:r>
      <w:r>
        <w:rPr>
          <w:rFonts w:hint="eastAsia" w:ascii="仿宋" w:hAnsi="仿宋" w:eastAsia="仿宋" w:cs="仿宋"/>
          <w:sz w:val="32"/>
          <w:szCs w:val="32"/>
          <w:lang w:val="en-US" w:eastAsia="zh-CN"/>
        </w:rPr>
        <w:t>2018年度</w:t>
      </w:r>
      <w:r>
        <w:rPr>
          <w:rFonts w:hint="eastAsia" w:ascii="仿宋" w:hAnsi="仿宋" w:eastAsia="仿宋" w:cs="仿宋"/>
          <w:sz w:val="32"/>
          <w:szCs w:val="32"/>
          <w:lang w:eastAsia="zh-CN"/>
        </w:rPr>
        <w:t>政府性基金收入为</w:t>
      </w:r>
      <w:r>
        <w:rPr>
          <w:rFonts w:hint="eastAsia" w:ascii="仿宋" w:hAnsi="仿宋" w:eastAsia="仿宋" w:cs="仿宋"/>
          <w:sz w:val="32"/>
          <w:szCs w:val="32"/>
          <w:lang w:val="en-US" w:eastAsia="zh-CN"/>
        </w:rPr>
        <w:t>0万元</w:t>
      </w:r>
      <w:r>
        <w:rPr>
          <w:rFonts w:hint="eastAsia" w:ascii="仿宋" w:hAnsi="仿宋" w:eastAsia="仿宋" w:cs="仿宋"/>
          <w:sz w:val="32"/>
          <w:szCs w:val="32"/>
          <w:lang w:eastAsia="zh-CN"/>
        </w:rPr>
        <w:t>，政府性基金安排的支出为</w:t>
      </w:r>
      <w:r>
        <w:rPr>
          <w:rFonts w:hint="eastAsia" w:ascii="仿宋" w:hAnsi="仿宋" w:eastAsia="仿宋" w:cs="仿宋"/>
          <w:sz w:val="32"/>
          <w:szCs w:val="32"/>
          <w:lang w:val="en-US" w:eastAsia="zh-CN"/>
        </w:rPr>
        <w:t>0万元，完成年初预算的 0%。</w:t>
      </w:r>
    </w:p>
    <w:p>
      <w:pPr>
        <w:numPr>
          <w:ilvl w:val="0"/>
          <w:numId w:val="0"/>
        </w:numPr>
        <w:kinsoku w:val="0"/>
        <w:overflowPunct w:val="0"/>
        <w:autoSpaceDE w:val="0"/>
        <w:autoSpaceDN w:val="0"/>
        <w:adjustRightInd w:val="0"/>
        <w:snapToGrid w:val="0"/>
        <w:spacing w:line="360" w:lineRule="auto"/>
        <w:ind w:leftChars="200" w:firstLine="320" w:firstLineChars="100"/>
        <w:rPr>
          <w:rFonts w:hint="eastAsia" w:ascii="黑体" w:hAnsi="黑体" w:eastAsia="黑体" w:cs="黑体"/>
          <w:bCs/>
          <w:color w:val="ED7D31" w:themeColor="accent2"/>
          <w:kern w:val="0"/>
          <w:sz w:val="32"/>
          <w:szCs w:val="32"/>
        </w:rPr>
      </w:pPr>
      <w:r>
        <w:rPr>
          <w:rFonts w:hint="eastAsia" w:ascii="黑体" w:hAnsi="黑体" w:eastAsia="黑体" w:cs="黑体"/>
          <w:bCs/>
          <w:color w:val="000000" w:themeColor="text1"/>
          <w:kern w:val="0"/>
          <w:sz w:val="32"/>
          <w:szCs w:val="32"/>
          <w:lang w:eastAsia="zh-CN"/>
        </w:rPr>
        <w:t>十、</w:t>
      </w:r>
      <w:r>
        <w:rPr>
          <w:rFonts w:hint="eastAsia" w:ascii="黑体" w:hAnsi="黑体" w:eastAsia="黑体" w:cs="黑体"/>
          <w:bCs/>
          <w:color w:val="000000" w:themeColor="text1"/>
          <w:kern w:val="0"/>
          <w:sz w:val="32"/>
          <w:szCs w:val="32"/>
        </w:rPr>
        <w:t>机关运行经费支出情况</w:t>
      </w:r>
      <w:r>
        <w:rPr>
          <w:rFonts w:hint="eastAsia" w:ascii="黑体" w:hAnsi="黑体" w:eastAsia="黑体" w:cs="黑体"/>
          <w:bCs/>
          <w:color w:val="000000" w:themeColor="text1"/>
          <w:kern w:val="0"/>
          <w:sz w:val="32"/>
          <w:szCs w:val="32"/>
          <w:lang w:eastAsia="zh-CN"/>
        </w:rPr>
        <w:t>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ED7D31" w:themeColor="accent2"/>
          <w:sz w:val="32"/>
          <w:szCs w:val="32"/>
        </w:rPr>
      </w:pPr>
      <w:r>
        <w:rPr>
          <w:rFonts w:hint="eastAsia" w:ascii="仿宋_GB2312" w:hAnsi="仿宋_GB2312" w:eastAsia="仿宋_GB2312" w:cs="仿宋_GB2312"/>
          <w:color w:val="auto"/>
          <w:sz w:val="32"/>
          <w:szCs w:val="32"/>
          <w:highlight w:val="none"/>
          <w:lang w:val="en-US" w:eastAsia="zh-CN"/>
        </w:rPr>
        <w:t>2018年度机关运行经费年初预算为55.4万元，支出决算为102.6万元，完成年初预算的185.1%。决算数与年初预算数存在差异的主要原因是年初预算人员公用经费测算基数低，文明城市、卫生城市创建宣传活动开支年初未纳入预算计划</w:t>
      </w:r>
      <w:r>
        <w:rPr>
          <w:rFonts w:hint="eastAsia" w:ascii="仿宋_GB2312" w:hAnsi="宋体" w:eastAsia="仿宋_GB2312" w:cs="Courier New"/>
          <w:color w:val="ED7D31" w:themeColor="accent2"/>
          <w:sz w:val="32"/>
          <w:szCs w:val="32"/>
        </w:rPr>
        <w:t>。</w:t>
      </w:r>
    </w:p>
    <w:p>
      <w:pPr>
        <w:numPr>
          <w:ilvl w:val="0"/>
          <w:numId w:val="0"/>
        </w:numPr>
        <w:kinsoku w:val="0"/>
        <w:overflowPunct w:val="0"/>
        <w:autoSpaceDE w:val="0"/>
        <w:autoSpaceDN w:val="0"/>
        <w:adjustRightInd w:val="0"/>
        <w:snapToGrid w:val="0"/>
        <w:spacing w:line="360" w:lineRule="auto"/>
        <w:ind w:leftChars="200"/>
        <w:rPr>
          <w:rFonts w:hint="eastAsia" w:ascii="黑体" w:hAnsi="黑体" w:eastAsia="黑体" w:cs="黑体"/>
          <w:bCs/>
          <w:color w:val="000000" w:themeColor="text1"/>
          <w:kern w:val="0"/>
          <w:sz w:val="32"/>
          <w:szCs w:val="32"/>
          <w:lang w:eastAsia="zh-CN"/>
        </w:rPr>
      </w:pPr>
      <w:r>
        <w:rPr>
          <w:rFonts w:hint="eastAsia" w:ascii="黑体" w:hAnsi="黑体" w:eastAsia="黑体" w:cs="黑体"/>
          <w:bCs/>
          <w:color w:val="000000" w:themeColor="text1"/>
          <w:kern w:val="0"/>
          <w:sz w:val="32"/>
          <w:szCs w:val="32"/>
          <w:lang w:eastAsia="zh-CN"/>
        </w:rPr>
        <w:t>十一、</w:t>
      </w:r>
      <w:r>
        <w:rPr>
          <w:rFonts w:hint="eastAsia" w:ascii="黑体" w:hAnsi="黑体" w:eastAsia="黑体" w:cs="黑体"/>
          <w:bCs/>
          <w:color w:val="000000" w:themeColor="text1"/>
          <w:kern w:val="0"/>
          <w:sz w:val="32"/>
          <w:szCs w:val="32"/>
        </w:rPr>
        <w:t>政府采购支出情况</w:t>
      </w:r>
      <w:r>
        <w:rPr>
          <w:rFonts w:hint="eastAsia" w:ascii="黑体" w:hAnsi="黑体" w:eastAsia="黑体" w:cs="黑体"/>
          <w:bCs/>
          <w:color w:val="000000" w:themeColor="text1"/>
          <w:kern w:val="0"/>
          <w:sz w:val="32"/>
          <w:szCs w:val="32"/>
          <w:lang w:eastAsia="zh-CN"/>
        </w:rPr>
        <w:t>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政府采购支出总额9.62万元，其中：政府采购货物支出9.62万元、无政府采购工程支出、无政府采购服务支出。授予中小企业合同金额9.62万元，占政府采购支出总额的100%，其中：授予小微企业合同金额9.62万元，占政府采购支出总额的100%。</w:t>
      </w:r>
    </w:p>
    <w:p>
      <w:pPr>
        <w:numPr>
          <w:ilvl w:val="0"/>
          <w:numId w:val="0"/>
        </w:numPr>
        <w:kinsoku w:val="0"/>
        <w:overflowPunct w:val="0"/>
        <w:autoSpaceDE w:val="0"/>
        <w:autoSpaceDN w:val="0"/>
        <w:adjustRightInd w:val="0"/>
        <w:snapToGrid w:val="0"/>
        <w:spacing w:line="360" w:lineRule="auto"/>
        <w:ind w:leftChars="200"/>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Cs/>
          <w:color w:val="000000" w:themeColor="text1"/>
          <w:kern w:val="0"/>
          <w:sz w:val="32"/>
          <w:szCs w:val="32"/>
          <w:lang w:eastAsia="zh-CN"/>
        </w:rPr>
        <w:t>十二、</w:t>
      </w:r>
      <w:r>
        <w:rPr>
          <w:rFonts w:hint="eastAsia" w:ascii="黑体" w:hAnsi="黑体" w:eastAsia="黑体" w:cs="黑体"/>
          <w:bCs/>
          <w:color w:val="000000" w:themeColor="text1"/>
          <w:kern w:val="0"/>
          <w:sz w:val="32"/>
          <w:szCs w:val="32"/>
        </w:rPr>
        <w:t>国有资产占用情况</w:t>
      </w:r>
      <w:r>
        <w:rPr>
          <w:rFonts w:hint="eastAsia" w:ascii="黑体" w:hAnsi="黑体" w:eastAsia="黑体" w:cs="黑体"/>
          <w:bCs/>
          <w:color w:val="000000" w:themeColor="text1"/>
          <w:kern w:val="0"/>
          <w:sz w:val="32"/>
          <w:szCs w:val="32"/>
          <w:lang w:eastAsia="zh-CN"/>
        </w:rPr>
        <w:t>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2018年期末，我部门共有车辆2辆，其中：应急保障车1辆（救灾专用车辆）、离退休干部用车1辆（红军休干所）、；无单位价值50万元以上通用设备，无单位价值100万元以上专用设备。</w:t>
      </w:r>
    </w:p>
    <w:p>
      <w:pPr>
        <w:jc w:val="left"/>
        <w:rPr>
          <w:rFonts w:ascii="黑体" w:hAnsi="黑体" w:eastAsia="黑体" w:cs="黑体"/>
          <w:color w:val="ED7D31" w:themeColor="accent2"/>
          <w:sz w:val="32"/>
          <w:szCs w:val="32"/>
        </w:rPr>
      </w:pPr>
    </w:p>
    <w:p>
      <w:pPr>
        <w:jc w:val="left"/>
        <w:rPr>
          <w:rFonts w:ascii="黑体" w:hAnsi="黑体" w:eastAsia="黑体" w:cs="黑体"/>
          <w:color w:val="ED7D31" w:themeColor="accent2"/>
          <w:sz w:val="32"/>
          <w:szCs w:val="32"/>
        </w:rPr>
      </w:pPr>
    </w:p>
    <w:p>
      <w:pPr>
        <w:jc w:val="left"/>
        <w:rPr>
          <w:rFonts w:ascii="黑体" w:hAnsi="黑体" w:eastAsia="黑体" w:cs="黑体"/>
          <w:color w:val="ED7D31" w:themeColor="accent2"/>
          <w:sz w:val="32"/>
          <w:szCs w:val="32"/>
        </w:rPr>
      </w:pPr>
    </w:p>
    <w:p>
      <w:pPr>
        <w:jc w:val="left"/>
        <w:rPr>
          <w:rFonts w:ascii="黑体" w:hAnsi="黑体" w:eastAsia="黑体" w:cs="黑体"/>
          <w:color w:val="ED7D31" w:themeColor="accent2"/>
          <w:sz w:val="32"/>
          <w:szCs w:val="32"/>
        </w:rPr>
      </w:pPr>
    </w:p>
    <w:p>
      <w:pPr>
        <w:jc w:val="left"/>
        <w:rPr>
          <w:rFonts w:ascii="黑体" w:hAnsi="黑体" w:eastAsia="黑体" w:cs="黑体"/>
          <w:color w:val="ED7D31" w:themeColor="accent2"/>
          <w:sz w:val="32"/>
          <w:szCs w:val="32"/>
        </w:rPr>
      </w:pPr>
    </w:p>
    <w:p>
      <w:pPr>
        <w:jc w:val="left"/>
        <w:rPr>
          <w:rFonts w:ascii="黑体" w:hAnsi="黑体" w:eastAsia="黑体" w:cs="黑体"/>
          <w:color w:val="ED7D31" w:themeColor="accent2"/>
          <w:sz w:val="32"/>
          <w:szCs w:val="32"/>
        </w:rPr>
      </w:pPr>
    </w:p>
    <w:p>
      <w:pPr>
        <w:jc w:val="left"/>
        <w:rPr>
          <w:rFonts w:ascii="黑体" w:hAnsi="黑体" w:eastAsia="黑体" w:cs="黑体"/>
          <w:color w:val="ED7D31" w:themeColor="accent2"/>
          <w:sz w:val="32"/>
          <w:szCs w:val="32"/>
        </w:rPr>
      </w:pPr>
    </w:p>
    <w:p>
      <w:pPr>
        <w:numPr>
          <w:numId w:val="0"/>
        </w:numPr>
        <w:ind w:left="720" w:leftChars="0"/>
        <w:jc w:val="center"/>
        <w:outlineLvl w:val="0"/>
        <w:rPr>
          <w:rFonts w:hint="eastAsia" w:ascii="黑体" w:hAnsi="黑体" w:eastAsia="黑体" w:cs="黑体"/>
          <w:color w:val="000000" w:themeColor="text1"/>
          <w:sz w:val="48"/>
          <w:szCs w:val="48"/>
          <w:lang w:eastAsia="zh-CN"/>
        </w:rPr>
      </w:pPr>
      <w:r>
        <w:rPr>
          <w:rFonts w:hint="eastAsia" w:ascii="黑体" w:hAnsi="黑体" w:eastAsia="黑体" w:cs="黑体"/>
          <w:color w:val="000000" w:themeColor="text1"/>
          <w:sz w:val="48"/>
          <w:szCs w:val="48"/>
          <w:lang w:val="en-US" w:eastAsia="zh-CN"/>
        </w:rPr>
        <w:t>第三部分</w:t>
      </w:r>
      <w:r>
        <w:rPr>
          <w:rFonts w:hint="eastAsia" w:ascii="黑体" w:hAnsi="黑体" w:eastAsia="黑体" w:cs="黑体"/>
          <w:color w:val="000000" w:themeColor="text1"/>
          <w:sz w:val="48"/>
          <w:szCs w:val="48"/>
        </w:rPr>
        <w:t>　名词</w:t>
      </w:r>
      <w:r>
        <w:rPr>
          <w:rFonts w:hint="eastAsia" w:ascii="黑体" w:hAnsi="黑体" w:eastAsia="黑体" w:cs="黑体"/>
          <w:color w:val="000000" w:themeColor="text1"/>
          <w:sz w:val="48"/>
          <w:szCs w:val="48"/>
          <w:lang w:eastAsia="zh-CN"/>
        </w:rPr>
        <w:t>解释</w:t>
      </w:r>
    </w:p>
    <w:p>
      <w:pPr>
        <w:widowControl w:val="0"/>
        <w:numPr>
          <w:numId w:val="0"/>
        </w:numPr>
        <w:jc w:val="center"/>
        <w:outlineLvl w:val="0"/>
        <w:rPr>
          <w:rFonts w:hint="eastAsia" w:ascii="黑体" w:hAnsi="黑体" w:eastAsia="黑体" w:cs="黑体"/>
          <w:color w:val="000000" w:themeColor="text1"/>
          <w:sz w:val="48"/>
          <w:szCs w:val="48"/>
          <w:lang w:eastAsia="zh-CN"/>
        </w:rPr>
      </w:pPr>
    </w:p>
    <w:p>
      <w:pPr>
        <w:widowControl w:val="0"/>
        <w:numPr>
          <w:numId w:val="0"/>
        </w:numPr>
        <w:jc w:val="center"/>
        <w:outlineLvl w:val="0"/>
        <w:rPr>
          <w:rFonts w:hint="eastAsia" w:ascii="黑体" w:hAnsi="黑体" w:eastAsia="黑体" w:cs="黑体"/>
          <w:color w:val="000000" w:themeColor="text1"/>
          <w:sz w:val="48"/>
          <w:szCs w:val="48"/>
          <w:lang w:eastAsia="zh-CN"/>
        </w:rPr>
      </w:pPr>
    </w:p>
    <w:p>
      <w:pPr>
        <w:widowControl w:val="0"/>
        <w:numPr>
          <w:numId w:val="0"/>
        </w:numPr>
        <w:jc w:val="center"/>
        <w:outlineLvl w:val="0"/>
        <w:rPr>
          <w:rFonts w:hint="eastAsia" w:ascii="黑体" w:hAnsi="黑体" w:eastAsia="黑体" w:cs="黑体"/>
          <w:color w:val="000000" w:themeColor="text1"/>
          <w:sz w:val="48"/>
          <w:szCs w:val="48"/>
          <w:lang w:eastAsia="zh-CN"/>
        </w:rPr>
      </w:pPr>
    </w:p>
    <w:p>
      <w:pPr>
        <w:widowControl w:val="0"/>
        <w:numPr>
          <w:numId w:val="0"/>
        </w:numPr>
        <w:jc w:val="center"/>
        <w:outlineLvl w:val="0"/>
        <w:rPr>
          <w:rFonts w:hint="eastAsia" w:ascii="黑体" w:hAnsi="黑体" w:eastAsia="黑体" w:cs="黑体"/>
          <w:color w:val="000000" w:themeColor="text1"/>
          <w:sz w:val="48"/>
          <w:szCs w:val="48"/>
          <w:lang w:eastAsia="zh-CN"/>
        </w:rPr>
      </w:pPr>
    </w:p>
    <w:p>
      <w:pPr>
        <w:widowControl w:val="0"/>
        <w:numPr>
          <w:numId w:val="0"/>
        </w:numPr>
        <w:jc w:val="center"/>
        <w:outlineLvl w:val="0"/>
        <w:rPr>
          <w:rFonts w:hint="eastAsia" w:ascii="黑体" w:hAnsi="黑体" w:eastAsia="黑体" w:cs="黑体"/>
          <w:color w:val="000000" w:themeColor="text1"/>
          <w:sz w:val="48"/>
          <w:szCs w:val="48"/>
          <w:lang w:eastAsia="zh-CN"/>
        </w:rPr>
      </w:pPr>
    </w:p>
    <w:p>
      <w:pPr>
        <w:widowControl w:val="0"/>
        <w:numPr>
          <w:numId w:val="0"/>
        </w:numPr>
        <w:jc w:val="center"/>
        <w:outlineLvl w:val="0"/>
        <w:rPr>
          <w:rFonts w:hint="eastAsia" w:ascii="黑体" w:hAnsi="黑体" w:eastAsia="黑体" w:cs="黑体"/>
          <w:color w:val="000000" w:themeColor="text1"/>
          <w:sz w:val="48"/>
          <w:szCs w:val="48"/>
          <w:lang w:eastAsia="zh-CN"/>
        </w:rPr>
      </w:pPr>
    </w:p>
    <w:p>
      <w:pPr>
        <w:widowControl w:val="0"/>
        <w:numPr>
          <w:numId w:val="0"/>
        </w:numPr>
        <w:jc w:val="center"/>
        <w:outlineLvl w:val="0"/>
        <w:rPr>
          <w:rFonts w:hint="eastAsia" w:ascii="黑体" w:hAnsi="黑体" w:eastAsia="黑体" w:cs="黑体"/>
          <w:color w:val="000000" w:themeColor="text1"/>
          <w:sz w:val="48"/>
          <w:szCs w:val="48"/>
          <w:lang w:eastAsia="zh-CN"/>
        </w:rPr>
      </w:pPr>
    </w:p>
    <w:p>
      <w:pPr>
        <w:widowControl w:val="0"/>
        <w:numPr>
          <w:numId w:val="0"/>
        </w:numPr>
        <w:jc w:val="center"/>
        <w:outlineLvl w:val="0"/>
        <w:rPr>
          <w:rFonts w:hint="eastAsia" w:ascii="黑体" w:hAnsi="黑体" w:eastAsia="黑体" w:cs="黑体"/>
          <w:color w:val="000000" w:themeColor="text1"/>
          <w:sz w:val="48"/>
          <w:szCs w:val="48"/>
          <w:lang w:eastAsia="zh-CN"/>
        </w:rPr>
      </w:pPr>
    </w:p>
    <w:p>
      <w:pPr>
        <w:widowControl w:val="0"/>
        <w:numPr>
          <w:numId w:val="0"/>
        </w:numPr>
        <w:jc w:val="center"/>
        <w:outlineLvl w:val="0"/>
        <w:rPr>
          <w:rFonts w:hint="eastAsia" w:ascii="黑体" w:hAnsi="黑体" w:eastAsia="黑体" w:cs="黑体"/>
          <w:color w:val="000000" w:themeColor="text1"/>
          <w:sz w:val="48"/>
          <w:szCs w:val="48"/>
          <w:lang w:eastAsia="zh-CN"/>
        </w:rPr>
      </w:pPr>
    </w:p>
    <w:p>
      <w:pPr>
        <w:widowControl w:val="0"/>
        <w:numPr>
          <w:numId w:val="0"/>
        </w:numPr>
        <w:jc w:val="center"/>
        <w:outlineLvl w:val="0"/>
        <w:rPr>
          <w:rFonts w:hint="eastAsia" w:ascii="黑体" w:hAnsi="黑体" w:eastAsia="黑体" w:cs="黑体"/>
          <w:color w:val="000000" w:themeColor="text1"/>
          <w:sz w:val="48"/>
          <w:szCs w:val="48"/>
          <w:lang w:eastAsia="zh-CN"/>
        </w:rPr>
      </w:pPr>
    </w:p>
    <w:p>
      <w:pPr>
        <w:widowControl w:val="0"/>
        <w:numPr>
          <w:numId w:val="0"/>
        </w:numPr>
        <w:jc w:val="center"/>
        <w:outlineLvl w:val="0"/>
        <w:rPr>
          <w:rFonts w:hint="eastAsia" w:ascii="黑体" w:hAnsi="黑体" w:eastAsia="黑体" w:cs="黑体"/>
          <w:color w:val="000000" w:themeColor="text1"/>
          <w:sz w:val="48"/>
          <w:szCs w:val="48"/>
          <w:lang w:eastAsia="zh-CN"/>
        </w:rPr>
      </w:pPr>
    </w:p>
    <w:p>
      <w:pPr>
        <w:widowControl w:val="0"/>
        <w:numPr>
          <w:numId w:val="0"/>
        </w:numPr>
        <w:jc w:val="center"/>
        <w:outlineLvl w:val="0"/>
        <w:rPr>
          <w:rFonts w:hint="eastAsia" w:ascii="黑体" w:hAnsi="黑体" w:eastAsia="黑体" w:cs="黑体"/>
          <w:color w:val="000000" w:themeColor="text1"/>
          <w:sz w:val="48"/>
          <w:szCs w:val="48"/>
          <w:lang w:eastAsia="zh-CN"/>
        </w:rPr>
      </w:pPr>
    </w:p>
    <w:p>
      <w:pPr>
        <w:widowControl w:val="0"/>
        <w:numPr>
          <w:numId w:val="0"/>
        </w:numPr>
        <w:jc w:val="center"/>
        <w:outlineLvl w:val="0"/>
        <w:rPr>
          <w:rFonts w:hint="eastAsia" w:ascii="黑体" w:hAnsi="黑体" w:eastAsia="黑体" w:cs="黑体"/>
          <w:color w:val="000000" w:themeColor="text1"/>
          <w:sz w:val="48"/>
          <w:szCs w:val="48"/>
          <w:lang w:eastAsia="zh-CN"/>
        </w:rPr>
      </w:pPr>
    </w:p>
    <w:p>
      <w:pPr>
        <w:widowControl w:val="0"/>
        <w:numPr>
          <w:numId w:val="0"/>
        </w:numPr>
        <w:jc w:val="center"/>
        <w:outlineLvl w:val="0"/>
        <w:rPr>
          <w:rFonts w:hint="eastAsia" w:ascii="黑体" w:hAnsi="黑体" w:eastAsia="黑体" w:cs="黑体"/>
          <w:color w:val="000000" w:themeColor="text1"/>
          <w:sz w:val="48"/>
          <w:szCs w:val="48"/>
          <w:lang w:eastAsia="zh-CN"/>
        </w:rPr>
      </w:pPr>
    </w:p>
    <w:p>
      <w:pPr>
        <w:widowControl w:val="0"/>
        <w:numPr>
          <w:numId w:val="0"/>
        </w:numPr>
        <w:jc w:val="both"/>
        <w:outlineLvl w:val="0"/>
        <w:rPr>
          <w:rFonts w:hint="eastAsia" w:ascii="黑体" w:hAnsi="黑体" w:eastAsia="黑体" w:cs="黑体"/>
          <w:color w:val="000000" w:themeColor="text1"/>
          <w:sz w:val="48"/>
          <w:szCs w:val="48"/>
          <w:lang w:eastAsia="zh-CN"/>
        </w:r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一、财政拨款收入：</w:t>
      </w:r>
      <w:r>
        <w:rPr>
          <w:rFonts w:hint="eastAsia" w:ascii="仿宋_GB2312" w:hAnsi="仿宋_GB2312" w:eastAsia="仿宋_GB2312" w:cs="仿宋_GB2312"/>
          <w:color w:val="auto"/>
          <w:sz w:val="32"/>
          <w:szCs w:val="32"/>
          <w:highlight w:val="none"/>
          <w:lang w:val="en-US" w:eastAsia="zh-CN"/>
        </w:rPr>
        <w:t>单位从同级政府财政部门取得的财政预算资金。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二、事业收入：事业单位开展专业业务活动及其辅助活动取得的收入。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三、上级补助收入：事业单位从主管部门和上级单位取得的非财政补助收入。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四、附属单位上缴收入：事业单位取得附属独立核算单位根据有关规定上缴的收入。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五、经营收入：事业单位在专业业务活动及其辅助活动之外开展非独立核算经营活动取得的收入。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六、其他收入：单位取得的除“财政拨款收入”、“事业收入”、“上级补助收入”、“附属单位上缴收入”、“经营收入”以外的各项收入。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八、基本支出：为保障机构正常运转、完成日常工作任务而发生的人员支出和公用支出。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九、项目支出：基本支出之外为完成特定行政任务和事业发展目标所发生的支出。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十二、工资福利支出：单位支付给在职职工和编制外长期聘用人员的各类劳动报酬，以及为上述人员缴纳的各项社会保险费等。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十三、商品和服务支出：单位购买商品和服务的支出。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十四、对个人和家庭的补助支出：单位用于对个人和家庭的补助支出。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十五、年末结转：本年度或以前年度预算安排，已执行但尚未完成或因客观条件发生变化无法按原计划实施，需延迟到以后年度按有关规定继续使用的资金。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十六、年末结余：本年度或以前年度预算安排，已执行完毕或因客观条件发生变化无法按原预算安排实施，不需要再使用或无法按原预算安排继续使用的资金</w:t>
      </w:r>
    </w:p>
    <w:p>
      <w:pPr>
        <w:rPr>
          <w:rFonts w:ascii="隶书" w:hAnsi="隶书" w:eastAsia="隶书" w:cs="隶书"/>
          <w:color w:val="ED7D31" w:themeColor="accent2"/>
          <w:sz w:val="48"/>
          <w:szCs w:val="48"/>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DC542"/>
    <w:multiLevelType w:val="singleLevel"/>
    <w:tmpl w:val="A0DDC542"/>
    <w:lvl w:ilvl="0" w:tentative="0">
      <w:start w:val="1"/>
      <w:numFmt w:val="decimal"/>
      <w:suff w:val="nothing"/>
      <w:lvlText w:val="%1．"/>
      <w:lvlJc w:val="left"/>
    </w:lvl>
  </w:abstractNum>
  <w:abstractNum w:abstractNumId="1">
    <w:nsid w:val="A20D89D9"/>
    <w:multiLevelType w:val="singleLevel"/>
    <w:tmpl w:val="A20D89D9"/>
    <w:lvl w:ilvl="0" w:tentative="0">
      <w:start w:val="1"/>
      <w:numFmt w:val="decimal"/>
      <w:suff w:val="nothing"/>
      <w:lvlText w:val="%1．"/>
      <w:lvlJc w:val="left"/>
      <w:pPr>
        <w:ind w:left="197"/>
      </w:pPr>
    </w:lvl>
  </w:abstractNum>
  <w:abstractNum w:abstractNumId="2">
    <w:nsid w:val="FDF7A4B6"/>
    <w:multiLevelType w:val="singleLevel"/>
    <w:tmpl w:val="FDF7A4B6"/>
    <w:lvl w:ilvl="0" w:tentative="0">
      <w:start w:val="1"/>
      <w:numFmt w:val="chineseCounting"/>
      <w:suff w:val="space"/>
      <w:lvlText w:val="第%1部分"/>
      <w:lvlJc w:val="left"/>
      <w:pPr>
        <w:ind w:left="720" w:leftChars="0" w:firstLine="0" w:firstLineChars="0"/>
      </w:pPr>
      <w:rPr>
        <w:rFonts w:hint="eastAsia"/>
      </w:rPr>
    </w:lvl>
  </w:abstractNum>
  <w:abstractNum w:abstractNumId="3">
    <w:nsid w:val="1BA52046"/>
    <w:multiLevelType w:val="singleLevel"/>
    <w:tmpl w:val="1BA52046"/>
    <w:lvl w:ilvl="0" w:tentative="0">
      <w:start w:val="27"/>
      <w:numFmt w:val="decimal"/>
      <w:suff w:val="nothing"/>
      <w:lvlText w:val="%1．"/>
      <w:lvlJc w:val="left"/>
      <w:pPr>
        <w:ind w:left="-13"/>
      </w:pPr>
      <w:rPr>
        <w:rFonts w:hint="default"/>
        <w:b/>
        <w:bCs/>
      </w:rPr>
    </w:lvl>
  </w:abstractNum>
  <w:abstractNum w:abstractNumId="4">
    <w:nsid w:val="5971BE17"/>
    <w:multiLevelType w:val="singleLevel"/>
    <w:tmpl w:val="5971BE17"/>
    <w:lvl w:ilvl="0" w:tentative="0">
      <w:start w:val="1"/>
      <w:numFmt w:val="chineseCounting"/>
      <w:suff w:val="nothing"/>
      <w:lvlText w:val="%1、"/>
      <w:lvlJc w:val="left"/>
    </w:lvl>
  </w:abstractNum>
  <w:abstractNum w:abstractNumId="5">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6">
    <w:nsid w:val="5971C193"/>
    <w:multiLevelType w:val="singleLevel"/>
    <w:tmpl w:val="5971C193"/>
    <w:lvl w:ilvl="0" w:tentative="0">
      <w:start w:val="2"/>
      <w:numFmt w:val="chineseCounting"/>
      <w:suff w:val="nothing"/>
      <w:lvlText w:val="%1、"/>
      <w:lvlJc w:val="left"/>
    </w:lvl>
  </w:abstractNum>
  <w:abstractNum w:abstractNumId="7">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8">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9">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10">
    <w:nsid w:val="5971E776"/>
    <w:multiLevelType w:val="singleLevel"/>
    <w:tmpl w:val="5971E776"/>
    <w:lvl w:ilvl="0" w:tentative="0">
      <w:start w:val="1"/>
      <w:numFmt w:val="chineseCounting"/>
      <w:suff w:val="nothing"/>
      <w:lvlText w:val="（%1）"/>
      <w:lvlJc w:val="left"/>
      <w:pPr>
        <w:ind w:left="0" w:firstLine="420"/>
      </w:pPr>
      <w:rPr>
        <w:rFonts w:hint="eastAsia"/>
      </w:rPr>
    </w:lvl>
  </w:abstractNum>
  <w:num w:numId="1">
    <w:abstractNumId w:val="4"/>
  </w:num>
  <w:num w:numId="2">
    <w:abstractNumId w:val="2"/>
  </w:num>
  <w:num w:numId="3">
    <w:abstractNumId w:val="5"/>
  </w:num>
  <w:num w:numId="4">
    <w:abstractNumId w:val="6"/>
  </w:num>
  <w:num w:numId="5">
    <w:abstractNumId w:val="7"/>
  </w:num>
  <w:num w:numId="6">
    <w:abstractNumId w:val="8"/>
  </w:num>
  <w:num w:numId="7">
    <w:abstractNumId w:val="1"/>
  </w:num>
  <w:num w:numId="8">
    <w:abstractNumId w:val="3"/>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630D31"/>
    <w:rsid w:val="00B54309"/>
    <w:rsid w:val="00B84FB0"/>
    <w:rsid w:val="01064770"/>
    <w:rsid w:val="04453648"/>
    <w:rsid w:val="058F039B"/>
    <w:rsid w:val="07751BF5"/>
    <w:rsid w:val="09BB2134"/>
    <w:rsid w:val="0B963E42"/>
    <w:rsid w:val="10B01B38"/>
    <w:rsid w:val="12D604FB"/>
    <w:rsid w:val="13DA4090"/>
    <w:rsid w:val="15492582"/>
    <w:rsid w:val="15927F6F"/>
    <w:rsid w:val="15E329CF"/>
    <w:rsid w:val="161D60C4"/>
    <w:rsid w:val="175043A6"/>
    <w:rsid w:val="1ACC00B9"/>
    <w:rsid w:val="1AE955B9"/>
    <w:rsid w:val="1BB26345"/>
    <w:rsid w:val="1E7D3B34"/>
    <w:rsid w:val="209C4FF0"/>
    <w:rsid w:val="20FB68C0"/>
    <w:rsid w:val="258F34D6"/>
    <w:rsid w:val="2A097DC1"/>
    <w:rsid w:val="2BA4769A"/>
    <w:rsid w:val="2CD06EF4"/>
    <w:rsid w:val="2EC87334"/>
    <w:rsid w:val="32EF40CE"/>
    <w:rsid w:val="33540EF7"/>
    <w:rsid w:val="372974AC"/>
    <w:rsid w:val="3CE47224"/>
    <w:rsid w:val="3FC11868"/>
    <w:rsid w:val="41C91B48"/>
    <w:rsid w:val="42271DDB"/>
    <w:rsid w:val="44A777D4"/>
    <w:rsid w:val="47481688"/>
    <w:rsid w:val="48036E61"/>
    <w:rsid w:val="48B52937"/>
    <w:rsid w:val="48EE3EF3"/>
    <w:rsid w:val="4BB81E0D"/>
    <w:rsid w:val="4C1E2F28"/>
    <w:rsid w:val="4F5343F4"/>
    <w:rsid w:val="51AD42DE"/>
    <w:rsid w:val="53E9756D"/>
    <w:rsid w:val="5651051D"/>
    <w:rsid w:val="566335FA"/>
    <w:rsid w:val="57BB5F84"/>
    <w:rsid w:val="57E961A8"/>
    <w:rsid w:val="581E77CF"/>
    <w:rsid w:val="58B06254"/>
    <w:rsid w:val="59E3092F"/>
    <w:rsid w:val="5AF25131"/>
    <w:rsid w:val="5D2F6D83"/>
    <w:rsid w:val="5F3A0145"/>
    <w:rsid w:val="5F530202"/>
    <w:rsid w:val="600176AC"/>
    <w:rsid w:val="61727E89"/>
    <w:rsid w:val="627358F6"/>
    <w:rsid w:val="641D3FB2"/>
    <w:rsid w:val="6431638A"/>
    <w:rsid w:val="64901AA6"/>
    <w:rsid w:val="650F23B5"/>
    <w:rsid w:val="664A46E0"/>
    <w:rsid w:val="674E08EC"/>
    <w:rsid w:val="6A2415C4"/>
    <w:rsid w:val="6C2F3976"/>
    <w:rsid w:val="6C522640"/>
    <w:rsid w:val="6C62285D"/>
    <w:rsid w:val="6D007227"/>
    <w:rsid w:val="705D2EE7"/>
    <w:rsid w:val="72B1272D"/>
    <w:rsid w:val="737A5BE5"/>
    <w:rsid w:val="73F1196C"/>
    <w:rsid w:val="75531EF6"/>
    <w:rsid w:val="75D0003D"/>
    <w:rsid w:val="779E3F57"/>
    <w:rsid w:val="77C441EE"/>
    <w:rsid w:val="79960645"/>
    <w:rsid w:val="7D0D382E"/>
    <w:rsid w:val="7DBB501C"/>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note text"/>
    <w:basedOn w:val="1"/>
    <w:unhideWhenUsed/>
    <w:qFormat/>
    <w:uiPriority w:val="99"/>
    <w:pPr>
      <w:snapToGrid w:val="0"/>
      <w:jc w:val="left"/>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footnote reference"/>
    <w:basedOn w:val="8"/>
    <w:unhideWhenUsed/>
    <w:qFormat/>
    <w:uiPriority w:val="99"/>
    <w:rPr>
      <w:vertAlign w:val="superscript"/>
    </w:rPr>
  </w:style>
  <w:style w:type="character" w:customStyle="1" w:styleId="10">
    <w:name w:val="font31"/>
    <w:basedOn w:val="8"/>
    <w:qFormat/>
    <w:uiPriority w:val="0"/>
    <w:rPr>
      <w:rFonts w:ascii="Arial" w:hAnsi="Arial" w:cs="Arial"/>
      <w:color w:val="000000"/>
      <w:sz w:val="16"/>
      <w:szCs w:val="16"/>
      <w:u w:val="none"/>
    </w:rPr>
  </w:style>
  <w:style w:type="character" w:customStyle="1" w:styleId="11">
    <w:name w:val="font01"/>
    <w:basedOn w:val="8"/>
    <w:qFormat/>
    <w:uiPriority w:val="0"/>
    <w:rPr>
      <w:rFonts w:hint="default" w:ascii="Arial" w:hAnsi="Arial" w:cs="Arial"/>
      <w:color w:val="000000"/>
      <w:sz w:val="16"/>
      <w:szCs w:val="16"/>
      <w:u w:val="none"/>
    </w:rPr>
  </w:style>
  <w:style w:type="character" w:customStyle="1" w:styleId="12">
    <w:name w:val="font41"/>
    <w:basedOn w:val="8"/>
    <w:qFormat/>
    <w:uiPriority w:val="0"/>
    <w:rPr>
      <w:rFonts w:hint="eastAsia" w:ascii="宋体" w:hAnsi="宋体" w:eastAsia="宋体" w:cs="宋体"/>
      <w:color w:val="000000"/>
      <w:sz w:val="16"/>
      <w:szCs w:val="16"/>
      <w:u w:val="none"/>
    </w:rPr>
  </w:style>
  <w:style w:type="paragraph" w:customStyle="1" w:styleId="13">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2395</Words>
  <Characters>13653</Characters>
  <Lines>113</Lines>
  <Paragraphs>32</Paragraphs>
  <TotalTime>2</TotalTime>
  <ScaleCrop>false</ScaleCrop>
  <LinksUpToDate>false</LinksUpToDate>
  <CharactersWithSpaces>16016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棒棒糖</cp:lastModifiedBy>
  <cp:lastPrinted>2017-07-25T02:47:00Z</cp:lastPrinted>
  <dcterms:modified xsi:type="dcterms:W3CDTF">2021-06-19T10:34:26Z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D9EF9F9A214C4ACDB82DC0E35D326B33</vt:lpwstr>
  </property>
</Properties>
</file>