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eastAsia="zh-CN"/>
        </w:rPr>
        <w:t>河南省信阳市浉河区人民法院</w:t>
      </w:r>
    </w:p>
    <w:p>
      <w:pPr>
        <w:ind w:firstLine="2080" w:firstLineChars="400"/>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9</w:t>
      </w:r>
      <w:r>
        <w:rPr>
          <w:rFonts w:hint="eastAsia" w:ascii="隶书" w:hAnsi="隶书" w:eastAsia="隶书" w:cs="隶书"/>
          <w:sz w:val="52"/>
          <w:szCs w:val="52"/>
        </w:rPr>
        <w:t>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ind w:firstLine="3200" w:firstLineChars="1000"/>
        <w:rPr>
          <w:rFonts w:hint="default" w:ascii="仿宋" w:hAnsi="仿宋" w:eastAsia="仿宋" w:cs="隶书"/>
          <w:sz w:val="32"/>
          <w:szCs w:val="32"/>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lang w:val="en-US" w:eastAsia="zh-CN"/>
        </w:rPr>
        <w:t>2020年9月</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河南省信阳市浉河区人民法院概况</w:t>
      </w:r>
    </w:p>
    <w:p>
      <w:pPr>
        <w:numPr>
          <w:ilvl w:val="0"/>
          <w:numId w:val="1"/>
        </w:numPr>
        <w:jc w:val="left"/>
        <w:rPr>
          <w:rFonts w:ascii="宋体" w:hAnsi="宋体" w:eastAsia="宋体" w:cs="宋体"/>
          <w:i w:val="0"/>
          <w:iCs w:val="0"/>
          <w:sz w:val="32"/>
          <w:szCs w:val="32"/>
        </w:rPr>
      </w:pPr>
      <w:r>
        <w:rPr>
          <w:rFonts w:hint="eastAsia" w:ascii="宋体" w:hAnsi="宋体" w:eastAsia="宋体" w:cs="宋体"/>
          <w:i w:val="0"/>
          <w:iCs w:val="0"/>
          <w:sz w:val="32"/>
          <w:szCs w:val="32"/>
        </w:rPr>
        <w:t>主要职能</w:t>
      </w:r>
    </w:p>
    <w:p>
      <w:pPr>
        <w:numPr>
          <w:ilvl w:val="0"/>
          <w:numId w:val="1"/>
        </w:numPr>
        <w:jc w:val="left"/>
        <w:rPr>
          <w:rFonts w:ascii="宋体" w:hAnsi="宋体" w:eastAsia="宋体" w:cs="宋体"/>
          <w:i w:val="0"/>
          <w:iCs w:val="0"/>
          <w:sz w:val="32"/>
          <w:szCs w:val="32"/>
        </w:rPr>
      </w:pPr>
      <w:r>
        <w:rPr>
          <w:rFonts w:hint="eastAsia" w:ascii="宋体" w:hAnsi="宋体" w:eastAsia="宋体" w:cs="宋体"/>
          <w:i w:val="0"/>
          <w:iCs w:val="0"/>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部分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河南省信阳市浉河区人民法院201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九、关于政府性基金预算财政拨款支出决算情况说明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rPr>
        <w:t>十、</w:t>
      </w:r>
      <w:r>
        <w:rPr>
          <w:rFonts w:hint="eastAsia" w:ascii="宋体" w:hAnsi="宋体" w:eastAsia="宋体" w:cs="宋体"/>
          <w:sz w:val="32"/>
          <w:szCs w:val="32"/>
          <w:lang w:eastAsia="zh-CN"/>
        </w:rPr>
        <w:t>机关运行经费支出情况说明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十一、政府采购支出情况说明</w:t>
      </w:r>
    </w:p>
    <w:p>
      <w:pPr>
        <w:jc w:val="left"/>
        <w:rPr>
          <w:rFonts w:hint="eastAsia" w:ascii="宋体" w:hAnsi="宋体" w:eastAsia="宋体" w:cs="宋体"/>
          <w:sz w:val="32"/>
          <w:szCs w:val="32"/>
          <w:lang w:eastAsia="zh-CN"/>
        </w:rPr>
      </w:pPr>
      <w:r>
        <w:rPr>
          <w:rFonts w:hint="eastAsia" w:ascii="宋体" w:hAnsi="宋体" w:eastAsia="宋体" w:cs="宋体"/>
          <w:sz w:val="32"/>
          <w:szCs w:val="32"/>
          <w:lang w:eastAsia="zh-CN"/>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 xml:space="preserve">附表    </w:t>
      </w:r>
      <w:r>
        <w:rPr>
          <w:rFonts w:hint="eastAsia" w:ascii="黑体" w:hAnsi="黑体" w:eastAsia="黑体" w:cs="黑体"/>
          <w:b/>
          <w:bCs/>
          <w:sz w:val="32"/>
          <w:szCs w:val="32"/>
          <w:lang w:val="en-US" w:eastAsia="zh-CN"/>
        </w:rPr>
        <w:t>2019年度部门决算表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黑体" w:hAnsi="黑体" w:eastAsia="黑体" w:cs="黑体"/>
          <w:b/>
          <w:bCs/>
          <w:sz w:val="32"/>
          <w:szCs w:val="32"/>
          <w:lang w:val="en-US" w:eastAsia="zh-CN"/>
        </w:rPr>
      </w:pPr>
      <w:r>
        <w:rPr>
          <w:rFonts w:hint="eastAsia" w:ascii="宋体" w:hAnsi="宋体" w:eastAsia="宋体" w:cs="宋体"/>
          <w:color w:val="auto"/>
          <w:sz w:val="32"/>
          <w:szCs w:val="32"/>
          <w:highlight w:val="none"/>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w:t>
      </w:r>
      <w:r>
        <w:rPr>
          <w:rFonts w:hint="eastAsia" w:ascii="黑体" w:hAnsi="黑体" w:eastAsia="黑体" w:cs="黑体"/>
          <w:sz w:val="52"/>
          <w:szCs w:val="52"/>
        </w:rPr>
        <w:t>河南省信阳市浉河区人民法院</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依法审判本级法院管辖和本地域管辖的第一审刑事民事经济行政</w:t>
      </w:r>
    </w:p>
    <w:p>
      <w:pPr>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依法受理符合本级别法院和本地管辖及委托的执行案件。</w:t>
      </w:r>
    </w:p>
    <w:p>
      <w:pPr>
        <w:numPr>
          <w:ilvl w:val="0"/>
          <w:numId w:val="0"/>
        </w:numPr>
        <w:spacing w:line="360" w:lineRule="auto"/>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受理不服本院已发生法律效力的判决、裁定等各类申诉，并，依法对其中确有错误的已发生法律效力的判决、裁定和调解进行再审。</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1、河南省信阳市浉河区人民法院部门决算单位构成是河南省信阳市浉河区人民法院本级，</w:t>
      </w:r>
      <w:r>
        <w:rPr>
          <w:rFonts w:hint="eastAsia" w:ascii="仿宋" w:hAnsi="仿宋" w:eastAsia="仿宋" w:cs="仿宋"/>
          <w:sz w:val="32"/>
          <w:szCs w:val="32"/>
          <w:lang w:eastAsia="zh-CN"/>
        </w:rPr>
        <w:t>机关服务中心是所属全供事业单位</w:t>
      </w:r>
      <w:r>
        <w:rPr>
          <w:rFonts w:hint="eastAsia" w:ascii="仿宋" w:hAnsi="仿宋" w:eastAsia="仿宋" w:cs="仿宋"/>
          <w:sz w:val="32"/>
          <w:szCs w:val="32"/>
        </w:rPr>
        <w:t>。</w:t>
      </w:r>
      <w:r>
        <w:rPr>
          <w:rFonts w:hint="eastAsia" w:ascii="仿宋" w:hAnsi="仿宋" w:eastAsia="仿宋" w:cs="仿宋"/>
          <w:sz w:val="32"/>
          <w:szCs w:val="32"/>
          <w:lang w:eastAsia="zh-CN"/>
        </w:rPr>
        <w:t>本决算是本级与所属单位的汇总决算。</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2、河南省信阳市浉河区人民法院机构设置</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河南省信阳市浉河区人民法院现设有</w:t>
      </w:r>
      <w:r>
        <w:rPr>
          <w:rFonts w:hint="eastAsia" w:ascii="仿宋" w:hAnsi="仿宋" w:eastAsia="仿宋" w:cs="仿宋"/>
          <w:sz w:val="32"/>
          <w:szCs w:val="32"/>
          <w:lang w:eastAsia="zh-CN"/>
        </w:rPr>
        <w:t>政治</w:t>
      </w:r>
      <w:r>
        <w:rPr>
          <w:rFonts w:hint="eastAsia" w:ascii="仿宋" w:hAnsi="仿宋" w:eastAsia="仿宋" w:cs="仿宋"/>
          <w:sz w:val="32"/>
          <w:szCs w:val="32"/>
        </w:rPr>
        <w:t>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本决算为汇总决算，纳入</w:t>
      </w:r>
      <w:r>
        <w:rPr>
          <w:rFonts w:hint="eastAsia" w:ascii="仿宋" w:hAnsi="仿宋" w:eastAsia="仿宋" w:cs="仿宋"/>
          <w:sz w:val="32"/>
          <w:szCs w:val="32"/>
          <w:lang w:val="en-US" w:eastAsia="zh-CN"/>
        </w:rPr>
        <w:t>本部门</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年度部门决算编制范围的单位共</w:t>
      </w:r>
      <w:r>
        <w:rPr>
          <w:rFonts w:hint="eastAsia" w:ascii="仿宋" w:hAnsi="仿宋" w:eastAsia="仿宋" w:cs="仿宋"/>
          <w:sz w:val="32"/>
          <w:szCs w:val="32"/>
          <w:lang w:val="en-US" w:eastAsia="zh-CN"/>
        </w:rPr>
        <w:t>2</w:t>
      </w:r>
      <w:r>
        <w:rPr>
          <w:rFonts w:hint="eastAsia" w:ascii="仿宋" w:hAnsi="仿宋" w:eastAsia="仿宋" w:cs="仿宋"/>
          <w:sz w:val="32"/>
          <w:szCs w:val="32"/>
        </w:rPr>
        <w:t>个，其中二级单位</w:t>
      </w:r>
      <w:r>
        <w:rPr>
          <w:rFonts w:hint="eastAsia" w:ascii="仿宋" w:hAnsi="仿宋" w:eastAsia="仿宋" w:cs="仿宋"/>
          <w:sz w:val="32"/>
          <w:szCs w:val="32"/>
          <w:lang w:val="en-US" w:eastAsia="zh-CN"/>
        </w:rPr>
        <w:t>1</w:t>
      </w:r>
      <w:r>
        <w:rPr>
          <w:rFonts w:hint="eastAsia" w:ascii="仿宋" w:hAnsi="仿宋" w:eastAsia="仿宋" w:cs="仿宋"/>
          <w:sz w:val="32"/>
          <w:szCs w:val="32"/>
        </w:rPr>
        <w:t>个。具体是：</w:t>
      </w:r>
    </w:p>
    <w:p>
      <w:pPr>
        <w:numPr>
          <w:ilvl w:val="0"/>
          <w:numId w:val="4"/>
        </w:num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河南省信阳市浉河区人民法院</w:t>
      </w:r>
      <w:r>
        <w:rPr>
          <w:rFonts w:hint="eastAsia" w:ascii="仿宋" w:hAnsi="仿宋" w:eastAsia="仿宋" w:cs="仿宋"/>
          <w:sz w:val="32"/>
          <w:szCs w:val="32"/>
          <w:lang w:val="en-US" w:eastAsia="zh-CN"/>
        </w:rPr>
        <w:t>本级；</w:t>
      </w:r>
    </w:p>
    <w:p>
      <w:pPr>
        <w:widowControl w:val="0"/>
        <w:numPr>
          <w:numId w:val="0"/>
        </w:numPr>
        <w:spacing w:line="360" w:lineRule="auto"/>
        <w:ind w:firstLine="640" w:firstLineChars="200"/>
        <w:jc w:val="left"/>
        <w:rPr>
          <w:rFonts w:hint="default" w:ascii="仿宋" w:hAnsi="仿宋" w:eastAsia="仿宋" w:cs="仿宋"/>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机关服务中心。</w:t>
      </w: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center"/>
        <w:rPr>
          <w:rFonts w:hint="eastAsia" w:ascii="黑体" w:hAnsi="黑体" w:eastAsia="黑体" w:cs="黑体"/>
          <w:sz w:val="56"/>
          <w:szCs w:val="56"/>
          <w:lang w:eastAsia="zh-CN"/>
        </w:rPr>
      </w:pPr>
    </w:p>
    <w:p>
      <w:pPr>
        <w:jc w:val="both"/>
        <w:rPr>
          <w:rFonts w:hint="default" w:ascii="黑体" w:hAnsi="黑体" w:eastAsia="黑体" w:cs="黑体"/>
          <w:sz w:val="56"/>
          <w:szCs w:val="56"/>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w:t>
      </w:r>
    </w:p>
    <w:p>
      <w:pPr>
        <w:jc w:val="center"/>
        <w:rPr>
          <w:rFonts w:hint="eastAsia" w:ascii="黑体" w:hAnsi="黑体" w:eastAsia="黑体" w:cs="黑体"/>
          <w:sz w:val="52"/>
          <w:szCs w:val="52"/>
        </w:rPr>
      </w:pPr>
      <w:r>
        <w:rPr>
          <w:rFonts w:hint="eastAsia" w:ascii="黑体" w:hAnsi="黑体" w:eastAsia="黑体" w:cs="黑体"/>
          <w:sz w:val="52"/>
          <w:szCs w:val="52"/>
        </w:rPr>
        <w:t>河南省信阳市浉河区人民法院</w:t>
      </w:r>
    </w:p>
    <w:p>
      <w:pPr>
        <w:jc w:val="center"/>
        <w:rPr>
          <w:rFonts w:ascii="隶书" w:hAnsi="隶书" w:eastAsia="隶书" w:cs="隶书"/>
          <w:sz w:val="48"/>
          <w:szCs w:val="48"/>
        </w:rPr>
        <w:sectPr>
          <w:type w:val="continuous"/>
          <w:pgSz w:w="11906" w:h="16838"/>
          <w:pgMar w:top="1440" w:right="1080" w:bottom="1440" w:left="1080" w:header="851" w:footer="992" w:gutter="0"/>
          <w:pgNumType w:fmt="numberInDash"/>
          <w:cols w:space="425" w:num="1"/>
          <w:docGrid w:type="lines" w:linePitch="312" w:charSpace="0"/>
        </w:sectPr>
      </w:pPr>
      <w:r>
        <w:rPr>
          <w:rFonts w:hint="eastAsia" w:ascii="隶书" w:hAnsi="隶书" w:eastAsia="隶书" w:cs="隶书"/>
          <w:sz w:val="48"/>
          <w:szCs w:val="48"/>
        </w:rPr>
        <w:t>201</w:t>
      </w:r>
      <w:r>
        <w:rPr>
          <w:rFonts w:hint="eastAsia" w:ascii="隶书" w:hAnsi="隶书" w:eastAsia="隶书" w:cs="隶书"/>
          <w:sz w:val="48"/>
          <w:szCs w:val="48"/>
          <w:lang w:val="en-US" w:eastAsia="zh-CN"/>
        </w:rPr>
        <w:t>9</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2019年度收、支总计均为3,961.88万元，与2018年相比，</w:t>
      </w:r>
      <w:r>
        <w:rPr>
          <w:rFonts w:hint="eastAsia" w:ascii="仿宋_GB2312" w:hAnsi="宋体" w:eastAsia="仿宋_GB2312" w:cs="Courier New"/>
          <w:sz w:val="32"/>
          <w:szCs w:val="32"/>
        </w:rPr>
        <w:t>收</w:t>
      </w:r>
      <w:r>
        <w:rPr>
          <w:rFonts w:hint="eastAsia" w:ascii="仿宋_GB2312" w:hAnsi="宋体" w:eastAsia="仿宋_GB2312" w:cs="Courier New"/>
          <w:sz w:val="32"/>
          <w:szCs w:val="32"/>
          <w:lang w:val="en-US" w:eastAsia="zh-CN"/>
        </w:rPr>
        <w:t>支均</w:t>
      </w:r>
      <w:r>
        <w:rPr>
          <w:rFonts w:hint="eastAsia" w:ascii="仿宋_GB2312" w:hAnsi="宋体" w:eastAsia="仿宋_GB2312" w:cs="Courier New"/>
          <w:sz w:val="32"/>
          <w:szCs w:val="32"/>
        </w:rPr>
        <w:t>增加</w:t>
      </w:r>
      <w:r>
        <w:rPr>
          <w:rFonts w:hint="eastAsia" w:ascii="仿宋_GB2312" w:hAnsi="宋体" w:eastAsia="仿宋_GB2312" w:cs="Courier New"/>
          <w:sz w:val="32"/>
          <w:szCs w:val="32"/>
          <w:lang w:val="en-US" w:eastAsia="zh-CN"/>
        </w:rPr>
        <w:t>327.87万</w:t>
      </w:r>
      <w:r>
        <w:rPr>
          <w:rFonts w:hint="eastAsia" w:ascii="仿宋_GB2312" w:hAnsi="宋体" w:eastAsia="仿宋_GB2312" w:cs="Courier New"/>
          <w:sz w:val="32"/>
          <w:szCs w:val="32"/>
        </w:rPr>
        <w:t>元，增长</w:t>
      </w:r>
      <w:r>
        <w:rPr>
          <w:rFonts w:hint="eastAsia" w:ascii="仿宋_GB2312" w:hAnsi="宋体" w:eastAsia="仿宋_GB2312" w:cs="Courier New"/>
          <w:sz w:val="32"/>
          <w:szCs w:val="32"/>
          <w:lang w:val="en-US" w:eastAsia="zh-CN"/>
        </w:rPr>
        <w:t>9.02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2909.75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2869.14</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98.6</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上级补助收入</w:t>
      </w:r>
      <w:r>
        <w:rPr>
          <w:rFonts w:hint="eastAsia" w:ascii="仿宋_GB2312" w:hAnsi="Times New Roman" w:eastAsia="仿宋_GB2312"/>
          <w:sz w:val="32"/>
          <w:szCs w:val="32"/>
          <w:lang w:val="en-US" w:eastAsia="zh-CN"/>
        </w:rPr>
        <w:t>0万元，占0.00%；其他收入40.61万元，占1.40%。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2773.55</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2474.9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89.23</w:t>
      </w:r>
      <w:r>
        <w:rPr>
          <w:rFonts w:ascii="仿宋_GB2312" w:hAnsi="宋体" w:eastAsia="仿宋_GB2312" w:cs="Courier New"/>
          <w:sz w:val="32"/>
          <w:szCs w:val="32"/>
        </w:rPr>
        <w:t>%</w:t>
      </w:r>
      <w:r>
        <w:rPr>
          <w:rFonts w:hint="eastAsia" w:ascii="仿宋_GB2312" w:hAnsi="宋体" w:eastAsia="仿宋_GB2312" w:cs="Courier New"/>
          <w:sz w:val="32"/>
          <w:szCs w:val="32"/>
        </w:rPr>
        <w:t>；项目支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lang w:val="en-US" w:eastAsia="zh-CN"/>
        </w:rPr>
        <w:t>298.65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10.77</w:t>
      </w:r>
      <w:r>
        <w:rPr>
          <w:rFonts w:hint="eastAsia" w:ascii="仿宋_GB2312" w:hAnsi="宋体" w:eastAsia="仿宋_GB2312" w:cs="Courier New"/>
          <w:sz w:val="32"/>
          <w:szCs w:val="32"/>
        </w:rPr>
        <w:t>%。上缴上级支出0万元，占0%；经营支出0万元，占0%；对附属单位补助支出0万元，占0%。</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2019年度财政拨款收、支总计均为3,921.27万元，与2018年相比，</w:t>
      </w:r>
      <w:r>
        <w:rPr>
          <w:rFonts w:hint="eastAsia" w:ascii="仿宋_GB2312" w:hAnsi="宋体" w:eastAsia="仿宋_GB2312" w:cs="Courier New"/>
          <w:sz w:val="32"/>
          <w:szCs w:val="32"/>
        </w:rPr>
        <w:t>收</w:t>
      </w:r>
      <w:r>
        <w:rPr>
          <w:rFonts w:hint="eastAsia" w:ascii="仿宋_GB2312" w:hAnsi="宋体" w:eastAsia="仿宋_GB2312" w:cs="Courier New"/>
          <w:sz w:val="32"/>
          <w:szCs w:val="32"/>
          <w:lang w:val="en-US" w:eastAsia="zh-CN"/>
        </w:rPr>
        <w:t>支均</w:t>
      </w:r>
      <w:r>
        <w:rPr>
          <w:rFonts w:hint="eastAsia" w:ascii="仿宋_GB2312" w:hAnsi="宋体" w:eastAsia="仿宋_GB2312" w:cs="Courier New"/>
          <w:sz w:val="32"/>
          <w:szCs w:val="32"/>
        </w:rPr>
        <w:t>增加287.26</w:t>
      </w:r>
      <w:r>
        <w:rPr>
          <w:rFonts w:hint="eastAsia" w:ascii="仿宋_GB2312" w:hAnsi="宋体" w:eastAsia="仿宋_GB2312" w:cs="Courier New"/>
          <w:sz w:val="32"/>
          <w:szCs w:val="32"/>
          <w:lang w:val="en-US" w:eastAsia="zh-CN"/>
        </w:rPr>
        <w:t>万</w:t>
      </w:r>
      <w:r>
        <w:rPr>
          <w:rFonts w:hint="eastAsia" w:ascii="仿宋_GB2312" w:hAnsi="宋体" w:eastAsia="仿宋_GB2312" w:cs="Courier New"/>
          <w:sz w:val="32"/>
          <w:szCs w:val="32"/>
        </w:rPr>
        <w:t>元，增长6.83%。</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2773.55</w:t>
      </w:r>
      <w:r>
        <w:rPr>
          <w:rFonts w:hint="eastAsia" w:ascii="仿宋_GB2312" w:hAnsi="宋体" w:eastAsia="仿宋_GB2312" w:cs="Courier New"/>
          <w:sz w:val="32"/>
          <w:szCs w:val="32"/>
        </w:rPr>
        <w:t>万元，占支出合计的100%。与</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度</w:t>
      </w:r>
      <w:r>
        <w:rPr>
          <w:rFonts w:hint="eastAsia" w:ascii="仿宋_GB2312" w:hAnsi="宋体" w:eastAsia="仿宋_GB2312" w:cs="Courier New"/>
          <w:sz w:val="32"/>
          <w:szCs w:val="32"/>
        </w:rPr>
        <w:t>相比，一般公共预算财政拨款支出增加</w:t>
      </w:r>
      <w:r>
        <w:rPr>
          <w:rFonts w:hint="eastAsia" w:ascii="仿宋_GB2312" w:hAnsi="宋体" w:eastAsia="仿宋_GB2312" w:cs="Courier New"/>
          <w:sz w:val="32"/>
          <w:szCs w:val="32"/>
          <w:lang w:val="en-US" w:eastAsia="zh-CN"/>
        </w:rPr>
        <w:t>277.71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14.5</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增加原因一是案件较去年增加</w:t>
      </w:r>
      <w:r>
        <w:rPr>
          <w:rFonts w:hint="eastAsia" w:ascii="仿宋_GB2312" w:hAnsi="宋体" w:eastAsia="仿宋_GB2312" w:cs="Courier New"/>
          <w:sz w:val="32"/>
          <w:szCs w:val="32"/>
          <w:lang w:val="en-US" w:eastAsia="zh-CN"/>
        </w:rPr>
        <w:t>1000多件</w:t>
      </w:r>
      <w:r>
        <w:rPr>
          <w:rFonts w:hint="eastAsia" w:ascii="仿宋_GB2312" w:hAnsi="宋体" w:eastAsia="仿宋_GB2312" w:cs="Courier New"/>
          <w:sz w:val="32"/>
          <w:szCs w:val="32"/>
          <w:lang w:eastAsia="zh-CN"/>
        </w:rPr>
        <w:t>，办公办案经费相应的增加很多；二是新进人员</w:t>
      </w:r>
      <w:r>
        <w:rPr>
          <w:rFonts w:hint="eastAsia" w:ascii="仿宋_GB2312" w:hAnsi="宋体" w:eastAsia="仿宋_GB2312" w:cs="Courier New"/>
          <w:sz w:val="32"/>
          <w:szCs w:val="32"/>
          <w:lang w:val="en-US" w:eastAsia="zh-CN"/>
        </w:rPr>
        <w:t>10人，聘任制书记员增加15人，人员经费也相应增加。</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结构情况。</w:t>
      </w:r>
    </w:p>
    <w:p>
      <w:pPr>
        <w:keepNext w:val="0"/>
        <w:keepLines w:val="0"/>
        <w:pageBreakBefore w:val="0"/>
        <w:wordWrap/>
        <w:topLinePunct w:val="0"/>
        <w:bidi w:val="0"/>
        <w:spacing w:afterAutospacing="0"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年度一般公共预算财政拨款支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2773.55</w:t>
      </w:r>
      <w:r>
        <w:rPr>
          <w:rFonts w:hint="eastAsia" w:ascii="仿宋" w:hAnsi="仿宋" w:eastAsia="仿宋" w:cs="仿宋"/>
          <w:sz w:val="32"/>
          <w:szCs w:val="32"/>
        </w:rPr>
        <w:t>万元，主要用于以下方面：公共安全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支出2,501.46万元，占90.19%；社会保障和就业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支出114.84万元</w:t>
      </w:r>
      <w:r>
        <w:rPr>
          <w:rFonts w:hint="eastAsia" w:ascii="仿宋" w:hAnsi="仿宋" w:eastAsia="仿宋" w:cs="仿宋"/>
          <w:sz w:val="32"/>
          <w:szCs w:val="32"/>
          <w:lang w:eastAsia="zh-CN"/>
        </w:rPr>
        <w:t>，占4.14%</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）支出59.49</w:t>
      </w:r>
      <w:r>
        <w:rPr>
          <w:rFonts w:hint="eastAsia" w:ascii="仿宋" w:hAnsi="仿宋" w:eastAsia="仿宋" w:cs="仿宋"/>
          <w:sz w:val="32"/>
          <w:szCs w:val="32"/>
          <w:lang w:val="en-US" w:eastAsia="zh-CN"/>
        </w:rPr>
        <w:t>万元，占2.14%；</w:t>
      </w:r>
      <w:r>
        <w:rPr>
          <w:rFonts w:hint="eastAsia" w:ascii="仿宋" w:hAnsi="仿宋" w:eastAsia="仿宋" w:cs="仿宋"/>
          <w:sz w:val="32"/>
          <w:szCs w:val="32"/>
        </w:rPr>
        <w:t>住房保障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rPr>
        <w:t>支出97.77万元</w:t>
      </w:r>
      <w:r>
        <w:rPr>
          <w:rFonts w:hint="eastAsia" w:ascii="仿宋" w:hAnsi="仿宋" w:eastAsia="仿宋" w:cs="仿宋"/>
          <w:sz w:val="32"/>
          <w:szCs w:val="32"/>
          <w:lang w:eastAsia="zh-CN"/>
        </w:rPr>
        <w:t>，占3.53%</w:t>
      </w:r>
      <w:r>
        <w:rPr>
          <w:rFonts w:hint="eastAsia" w:ascii="仿宋" w:hAnsi="仿宋" w:eastAsia="仿宋" w:cs="仿宋"/>
          <w:sz w:val="32"/>
          <w:szCs w:val="32"/>
        </w:rPr>
        <w:t>。</w:t>
      </w:r>
    </w:p>
    <w:p>
      <w:pPr>
        <w:keepNext w:val="0"/>
        <w:keepLines w:val="0"/>
        <w:pageBreakBefore w:val="0"/>
        <w:numPr>
          <w:ilvl w:val="0"/>
          <w:numId w:val="6"/>
        </w:numPr>
        <w:wordWrap/>
        <w:topLinePunct w:val="0"/>
        <w:bidi w:val="0"/>
        <w:adjustRightInd w:val="0"/>
        <w:snapToGrid w:val="0"/>
        <w:spacing w:afterAutospacing="0" w:line="360" w:lineRule="auto"/>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具体情况。</w:t>
      </w:r>
    </w:p>
    <w:p>
      <w:pPr>
        <w:keepNext w:val="0"/>
        <w:keepLines w:val="0"/>
        <w:pageBreakBefore w:val="0"/>
        <w:wordWrap/>
        <w:topLinePunct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1559.2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2773.5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177.88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其中：</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1.公共安全支出（类）法院（款）行政运行（项）。年初预算为1210.2万元，支出决算为2193.74万元，完成预算的181%。</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是非税收入返还的支出（书记员工资、公用经费、两庭建设等）未在预算中反映。</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2.公共安全支出（类）法院（款）一般行政管理事务（项）。年初预算为116.97万元，支出决算为211.71万元，完成预算的181%。决算数与预算数差异原因是由于法院案件增多，行政管理事务增加。</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3.公</w:t>
      </w:r>
      <w:bookmarkStart w:id="0" w:name="_GoBack"/>
      <w:bookmarkEnd w:id="0"/>
      <w:r>
        <w:rPr>
          <w:rFonts w:hint="eastAsia" w:ascii="仿宋_GB2312" w:hAnsi="宋体" w:eastAsia="仿宋_GB2312" w:cs="Courier New"/>
          <w:sz w:val="32"/>
          <w:szCs w:val="32"/>
          <w:lang w:val="en-US" w:eastAsia="zh-CN"/>
        </w:rPr>
        <w:t>共安全支出（类）法院（款）“两庭”建设（项）。年初预算为48.03万元，支出决算为86.94万元，完成预算的181%。决算数与预算数差异原因是由于法院案件增多。</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4.共安全支出（类）法院（款） 事业运行（项）。年初预算为5.01万元，支出决算为9.06万元，完成预算的181%。决算数与预算数差异原因是由于法院案件增多。</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5.社会保障和就业支出（类）行政事业单位离退休（款） 机关事业单位基本养老保险缴费支出（项）。年初预算为63.45万元，支出决算为114.84万元，完成预算的181%。决算数与预算数差异原因是由于法院离退休人员增加。</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6.卫生健康支出（类）行政事业单位医疗（款）行政单位医疗（项）。年初预算为32.87万元，支出决算为59.49万元，完成预算的181%。决算数与预算数差异原因是由于医疗支出增加。</w:t>
      </w:r>
    </w:p>
    <w:p>
      <w:pPr>
        <w:keepNext w:val="0"/>
        <w:keepLines w:val="0"/>
        <w:pageBreakBefore w:val="0"/>
        <w:numPr>
          <w:ilvl w:val="0"/>
          <w:numId w:val="0"/>
        </w:numPr>
        <w:wordWrap/>
        <w:topLinePunct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7.住房保障支出（类）住房改革支出（款）住房公积金（项）。年初预算为82.68万元，支出决算为97.77万元，完成预算的118%。决算数与预算数差异原因是由于缴纳基数调整。</w:t>
      </w:r>
    </w:p>
    <w:p>
      <w:pPr>
        <w:pStyle w:val="4"/>
        <w:keepNext w:val="0"/>
        <w:keepLines w:val="0"/>
        <w:pageBreakBefore w:val="0"/>
        <w:widowControl/>
        <w:numPr>
          <w:ilvl w:val="0"/>
          <w:numId w:val="5"/>
        </w:numPr>
        <w:suppressLineNumbers w:val="0"/>
        <w:wordWrap/>
        <w:topLinePunct w:val="0"/>
        <w:bidi w:val="0"/>
        <w:spacing w:before="0" w:beforeAutospacing="0" w:afterAutospacing="0" w:line="360" w:lineRule="auto"/>
        <w:ind w:left="0" w:leftChars="0" w:firstLine="640" w:firstLineChars="200"/>
        <w:jc w:val="both"/>
        <w:textAlignment w:val="auto"/>
        <w:rPr>
          <w:rFonts w:hint="eastAsia" w:ascii="黑体" w:hAnsi="黑体" w:eastAsia="黑体"/>
          <w:sz w:val="32"/>
          <w:szCs w:val="32"/>
        </w:rPr>
      </w:pPr>
      <w:r>
        <w:rPr>
          <w:rFonts w:hint="eastAsia" w:ascii="黑体" w:hAnsi="黑体" w:eastAsia="黑体"/>
          <w:sz w:val="32"/>
          <w:szCs w:val="32"/>
        </w:rPr>
        <w:t>关于一般公共预算财政拨款基本支出决算情况说明</w:t>
      </w:r>
      <w:r>
        <w:rPr>
          <w:rFonts w:hint="eastAsia" w:ascii="黑体" w:hAnsi="黑体" w:eastAsia="黑体"/>
          <w:sz w:val="32"/>
          <w:szCs w:val="32"/>
          <w:lang w:val="en-US" w:eastAsia="zh-CN"/>
        </w:rPr>
        <w:t xml:space="preserve"> </w:t>
      </w:r>
    </w:p>
    <w:p>
      <w:pPr>
        <w:pStyle w:val="4"/>
        <w:keepNext w:val="0"/>
        <w:keepLines w:val="0"/>
        <w:pageBreakBefore w:val="0"/>
        <w:widowControl/>
        <w:numPr>
          <w:ilvl w:val="0"/>
          <w:numId w:val="0"/>
        </w:numPr>
        <w:suppressLineNumbers w:val="0"/>
        <w:wordWrap/>
        <w:topLinePunct w:val="0"/>
        <w:bidi w:val="0"/>
        <w:spacing w:before="0" w:beforeAutospacing="0" w:afterAutospacing="0" w:line="360" w:lineRule="auto"/>
        <w:ind w:right="0" w:rightChars="0" w:firstLine="640" w:firstLineChars="200"/>
        <w:jc w:val="both"/>
        <w:textAlignment w:val="auto"/>
        <w:rPr>
          <w:rFonts w:ascii="仿宋_GB2312" w:hAnsi="宋体" w:eastAsia="仿宋_GB2312" w:cs="Courier New"/>
          <w:sz w:val="32"/>
          <w:szCs w:val="32"/>
        </w:rPr>
      </w:pPr>
      <w:r>
        <w:rPr>
          <w:rFonts w:hint="eastAsia" w:ascii="仿宋" w:hAnsi="仿宋" w:eastAsia="仿宋" w:cs="仿宋"/>
          <w:sz w:val="32"/>
          <w:szCs w:val="32"/>
          <w:shd w:val="clear" w:fill="FFFFFF"/>
        </w:rPr>
        <w:t>2019年度一般公共预算财政拨款基本支出2,474.90万元。其中：人员经费1,703.82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w:t>
      </w:r>
      <w:r>
        <w:rPr>
          <w:rFonts w:hint="eastAsia" w:ascii="仿宋" w:hAnsi="仿宋" w:eastAsia="仿宋" w:cs="仿宋"/>
          <w:sz w:val="32"/>
          <w:szCs w:val="32"/>
          <w:shd w:val="clear" w:fill="FFFFFF"/>
          <w:lang w:eastAsia="zh-CN"/>
        </w:rPr>
        <w:t>出</w:t>
      </w:r>
      <w:r>
        <w:rPr>
          <w:rFonts w:hint="eastAsia" w:ascii="仿宋" w:hAnsi="仿宋" w:eastAsia="仿宋" w:cs="仿宋"/>
          <w:sz w:val="32"/>
          <w:szCs w:val="32"/>
          <w:shd w:val="clear" w:fill="FFFFFF"/>
        </w:rPr>
        <w:t>；公用经费771.07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numPr>
          <w:ilvl w:val="0"/>
          <w:numId w:val="5"/>
        </w:numPr>
        <w:wordWrap/>
        <w:topLinePunct w:val="0"/>
        <w:bidi w:val="0"/>
        <w:adjustRightInd w:val="0"/>
        <w:snapToGrid w:val="0"/>
        <w:spacing w:afterAutospacing="0" w:line="360" w:lineRule="auto"/>
        <w:ind w:firstLine="640" w:firstLineChars="200"/>
        <w:jc w:val="both"/>
        <w:textAlignment w:val="auto"/>
        <w:outlineLvl w:val="1"/>
        <w:rPr>
          <w:rFonts w:hint="eastAsia" w:ascii="黑体" w:hAnsi="黑体" w:eastAsia="黑体" w:cs="黑体"/>
          <w:sz w:val="32"/>
          <w:szCs w:val="32"/>
        </w:rPr>
      </w:pPr>
      <w:r>
        <w:rPr>
          <w:rFonts w:hint="eastAsia" w:ascii="黑体" w:hAnsi="黑体" w:eastAsia="黑体" w:cs="黑体"/>
          <w:sz w:val="32"/>
          <w:szCs w:val="32"/>
        </w:rPr>
        <w:t>关于一般公共预算财政拨款“三公”经费支出决算情况说明</w:t>
      </w:r>
    </w:p>
    <w:p>
      <w:pPr>
        <w:keepNext w:val="0"/>
        <w:keepLines w:val="0"/>
        <w:pageBreakBefore w:val="0"/>
        <w:numPr>
          <w:ilvl w:val="0"/>
          <w:numId w:val="0"/>
        </w:numPr>
        <w:wordWrap/>
        <w:topLinePunct w:val="0"/>
        <w:bidi w:val="0"/>
        <w:adjustRightInd w:val="0"/>
        <w:snapToGrid w:val="0"/>
        <w:spacing w:afterAutospacing="0" w:line="360" w:lineRule="auto"/>
        <w:ind w:leftChars="200"/>
        <w:jc w:val="both"/>
        <w:textAlignment w:val="auto"/>
        <w:outlineLvl w:val="1"/>
        <w:rPr>
          <w:rFonts w:ascii="楷体_GB2312" w:hAnsi="楷体_GB2312" w:eastAsia="楷体_GB2312" w:cs="楷体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_GB2312" w:hAnsi="楷体_GB2312" w:eastAsia="楷体_GB2312" w:cs="楷体_GB2312"/>
          <w:sz w:val="32"/>
          <w:szCs w:val="32"/>
        </w:rPr>
        <w:t>三公”经费财政拨款支出决算总体情况说明。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年度“三公”经费财政拨款支出预算</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28.32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47.2</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年度“三公”经费支出决算数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的主要原因是严格控制非生产性开支。</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“三公”经费财政拨款支出决算具体情况说明。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年度“三公”经费财政拨款支出决</w:t>
      </w:r>
      <w:r>
        <w:rPr>
          <w:rFonts w:hint="eastAsia" w:ascii="仿宋_GB2312" w:hAnsi="宋体" w:eastAsia="仿宋_GB2312" w:cs="Courier New"/>
          <w:sz w:val="32"/>
          <w:szCs w:val="32"/>
          <w:lang w:eastAsia="zh-CN"/>
        </w:rPr>
        <w:t>算</w:t>
      </w:r>
      <w:r>
        <w:rPr>
          <w:rFonts w:hint="eastAsia" w:ascii="仿宋_GB2312" w:hAnsi="宋体" w:eastAsia="仿宋_GB2312" w:cs="Courier New"/>
          <w:sz w:val="32"/>
          <w:szCs w:val="32"/>
        </w:rPr>
        <w:t>中</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因公出国（境）费支出决算为0万元，完成预算的0%</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占0%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27.59</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69</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97.4%</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0.73</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2.6%</w:t>
      </w:r>
      <w:r>
        <w:rPr>
          <w:rFonts w:hint="eastAsia" w:ascii="仿宋_GB2312" w:hAnsi="宋体" w:eastAsia="仿宋_GB2312" w:cs="Courier New"/>
          <w:sz w:val="32"/>
          <w:szCs w:val="32"/>
        </w:rPr>
        <w:t>。具体情况如下：</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因公出国（境）费</w:t>
      </w:r>
      <w:r>
        <w:rPr>
          <w:rFonts w:hint="eastAsia" w:ascii="仿宋_GB2312" w:hAnsi="宋体" w:eastAsia="仿宋_GB2312" w:cs="Courier New"/>
          <w:b/>
          <w:bCs/>
          <w:sz w:val="32"/>
          <w:szCs w:val="32"/>
          <w:lang w:eastAsia="zh-CN"/>
        </w:rPr>
        <w:t>预算为</w:t>
      </w:r>
      <w:r>
        <w:rPr>
          <w:rFonts w:hint="eastAsia" w:ascii="仿宋_GB2312" w:hAnsi="宋体" w:eastAsia="仿宋_GB2312" w:cs="Courier New"/>
          <w:sz w:val="32"/>
          <w:szCs w:val="32"/>
        </w:rPr>
        <w:t>年初预算为0万元，支出决算为0万元，完成年初预算的0%。全年因公出国（境）团组0个，累计0人次</w:t>
      </w:r>
      <w:r>
        <w:rPr>
          <w:rFonts w:hint="eastAsia" w:ascii="仿宋_GB2312" w:hAnsi="宋体" w:eastAsia="仿宋_GB2312" w:cs="Courier New"/>
          <w:sz w:val="32"/>
          <w:szCs w:val="32"/>
          <w:lang w:val="en-US" w:eastAsia="zh-CN"/>
        </w:rPr>
        <w:t>。</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2.</w:t>
      </w: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b w:val="0"/>
          <w:bCs w:val="0"/>
          <w:sz w:val="32"/>
          <w:szCs w:val="32"/>
          <w:lang w:val="en-US" w:eastAsia="zh-CN"/>
        </w:rPr>
        <w:t>年初</w:t>
      </w:r>
      <w:r>
        <w:rPr>
          <w:rFonts w:hint="eastAsia" w:ascii="仿宋_GB2312" w:hAnsi="宋体" w:eastAsia="仿宋_GB2312" w:cs="Courier New"/>
          <w:b w:val="0"/>
          <w:bCs w:val="0"/>
          <w:sz w:val="32"/>
          <w:szCs w:val="32"/>
          <w:lang w:eastAsia="zh-CN"/>
        </w:rPr>
        <w:t>预算为</w:t>
      </w:r>
      <w:r>
        <w:rPr>
          <w:rFonts w:hint="eastAsia" w:ascii="仿宋_GB2312" w:hAnsi="宋体" w:eastAsia="仿宋_GB2312" w:cs="Courier New"/>
          <w:b w:val="0"/>
          <w:bCs w:val="0"/>
          <w:sz w:val="32"/>
          <w:szCs w:val="32"/>
          <w:lang w:val="en-US" w:eastAsia="zh-CN"/>
        </w:rPr>
        <w:t>40万元，</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27.59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，完成预算的</w:t>
      </w:r>
      <w:r>
        <w:rPr>
          <w:rFonts w:hint="eastAsia" w:ascii="仿宋_GB2312" w:hAnsi="宋体" w:eastAsia="仿宋_GB2312" w:cs="Courier New"/>
          <w:sz w:val="32"/>
          <w:szCs w:val="32"/>
          <w:lang w:val="en-US" w:eastAsia="zh-CN"/>
        </w:rPr>
        <w:t>69%</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今年未进行车辆采购。</w:t>
      </w:r>
      <w:r>
        <w:rPr>
          <w:rFonts w:hint="eastAsia" w:ascii="仿宋_GB2312" w:hAnsi="宋体" w:eastAsia="仿宋_GB2312" w:cs="Courier New"/>
          <w:sz w:val="32"/>
          <w:szCs w:val="32"/>
        </w:rPr>
        <w:t>其中：</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r>
        <w:rPr>
          <w:rFonts w:hint="eastAsia" w:ascii="仿宋_GB2312" w:hAnsi="宋体" w:eastAsia="仿宋_GB2312" w:cs="Courier New"/>
          <w:sz w:val="32"/>
          <w:szCs w:val="32"/>
          <w:lang w:eastAsia="zh-CN"/>
        </w:rPr>
        <w:t>，</w:t>
      </w:r>
      <w:r>
        <w:rPr>
          <w:rFonts w:hint="eastAsia" w:ascii="仿宋_GB2312" w:hAnsi="宋体" w:eastAsia="仿宋_GB2312" w:cs="Courier New"/>
          <w:b/>
          <w:bCs/>
          <w:sz w:val="32"/>
          <w:szCs w:val="32"/>
        </w:rPr>
        <w:t>购置</w:t>
      </w:r>
      <w:r>
        <w:rPr>
          <w:rFonts w:hint="eastAsia" w:ascii="仿宋_GB2312" w:hAnsi="宋体" w:eastAsia="仿宋_GB2312" w:cs="Courier New"/>
          <w:b/>
          <w:bCs/>
          <w:sz w:val="32"/>
          <w:szCs w:val="32"/>
          <w:lang w:eastAsia="zh-CN"/>
        </w:rPr>
        <w:t>数量</w:t>
      </w:r>
      <w:r>
        <w:rPr>
          <w:rFonts w:hint="eastAsia" w:ascii="仿宋_GB2312" w:hAnsi="宋体" w:eastAsia="仿宋_GB2312" w:cs="Courier New"/>
          <w:b/>
          <w:bCs/>
          <w:sz w:val="32"/>
          <w:szCs w:val="32"/>
          <w:lang w:val="en-US" w:eastAsia="zh-CN"/>
        </w:rPr>
        <w:t>0辆。</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3"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27.59</w:t>
      </w:r>
      <w:r>
        <w:rPr>
          <w:rFonts w:hint="eastAsia" w:ascii="仿宋_GB2312" w:hAnsi="宋体" w:eastAsia="仿宋_GB2312" w:cs="Courier New"/>
          <w:sz w:val="32"/>
          <w:szCs w:val="32"/>
        </w:rPr>
        <w:t>万元。主要用于车辆维修、燃油费等。</w:t>
      </w:r>
      <w:r>
        <w:rPr>
          <w:rFonts w:hint="eastAsia" w:ascii="仿宋_GB2312" w:hAnsi="宋体" w:eastAsia="仿宋_GB2312" w:cs="Courier New"/>
          <w:sz w:val="32"/>
          <w:szCs w:val="32"/>
          <w:lang w:val="en-US" w:eastAsia="zh-CN"/>
        </w:rPr>
        <w:t>2019年期末，部门开支财政拨款的公务用车保有量为13辆。</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0" w:firstLine="643" w:firstLineChars="200"/>
        <w:jc w:val="both"/>
        <w:textAlignment w:val="auto"/>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3.</w:t>
      </w:r>
      <w:r>
        <w:rPr>
          <w:rFonts w:hint="eastAsia" w:ascii="仿宋_GB2312" w:hAnsi="宋体" w:eastAsia="仿宋_GB2312" w:cs="Courier New"/>
          <w:b/>
          <w:bCs/>
          <w:sz w:val="32"/>
          <w:szCs w:val="32"/>
        </w:rPr>
        <w:t>公务接待费</w:t>
      </w:r>
      <w:r>
        <w:rPr>
          <w:rFonts w:hint="eastAsia" w:ascii="仿宋_GB2312" w:hAnsi="宋体" w:eastAsia="仿宋_GB2312" w:cs="Courier New"/>
          <w:b/>
          <w:bCs/>
          <w:sz w:val="32"/>
          <w:szCs w:val="32"/>
          <w:lang w:eastAsia="zh-CN"/>
        </w:rPr>
        <w:t>预算为</w:t>
      </w:r>
      <w:r>
        <w:rPr>
          <w:rFonts w:hint="eastAsia" w:ascii="仿宋_GB2312" w:hAnsi="宋体" w:eastAsia="仿宋_GB2312" w:cs="Courier New"/>
          <w:b/>
          <w:bCs/>
          <w:sz w:val="32"/>
          <w:szCs w:val="32"/>
          <w:lang w:val="en-US" w:eastAsia="zh-CN"/>
        </w:rPr>
        <w:t>20万元，</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0.73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，完成预算的</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，一是严格控制在外定点饭店接待，接待量大为减少；二是确有接待任务时正常安排在食堂吃工作餐。</w:t>
      </w:r>
      <w:r>
        <w:rPr>
          <w:rFonts w:hint="eastAsia" w:ascii="仿宋_GB2312" w:hAnsi="宋体" w:eastAsia="仿宋_GB2312" w:cs="Courier New"/>
          <w:sz w:val="32"/>
          <w:szCs w:val="32"/>
        </w:rPr>
        <w:t>其中：</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0"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外宾接待支出0 万元。无外宾接待支出。2019 年共接待国（境）外来访团组 0 个、来访外宾 0 人次（不包括陪同人员）。</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b w:val="0"/>
          <w:bCs w:val="0"/>
          <w:sz w:val="32"/>
          <w:szCs w:val="32"/>
        </w:rPr>
        <w:t>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0.73</w:t>
      </w:r>
      <w:r>
        <w:rPr>
          <w:rFonts w:hint="eastAsia" w:ascii="仿宋_GB2312" w:hAnsi="宋体" w:eastAsia="仿宋_GB2312" w:cs="Courier New"/>
          <w:sz w:val="32"/>
          <w:szCs w:val="32"/>
        </w:rPr>
        <w:t>万元，主要用于办公办案业务性招待。2019 年共接待国内来访团组</w:t>
      </w:r>
      <w:r>
        <w:rPr>
          <w:rFonts w:hint="eastAsia" w:ascii="仿宋_GB2312" w:hAnsi="宋体" w:eastAsia="仿宋_GB2312" w:cs="Courier New"/>
          <w:sz w:val="32"/>
          <w:szCs w:val="32"/>
          <w:lang w:val="en-US" w:eastAsia="zh-CN"/>
        </w:rPr>
        <w:t>15</w:t>
      </w:r>
      <w:r>
        <w:rPr>
          <w:rFonts w:hint="eastAsia" w:ascii="仿宋_GB2312" w:hAnsi="宋体" w:eastAsia="仿宋_GB2312" w:cs="Courier New"/>
          <w:sz w:val="32"/>
          <w:szCs w:val="32"/>
        </w:rPr>
        <w:t>个、来宾</w:t>
      </w:r>
      <w:r>
        <w:rPr>
          <w:rFonts w:hint="eastAsia" w:ascii="仿宋_GB2312" w:hAnsi="宋体" w:eastAsia="仿宋_GB2312" w:cs="Courier New"/>
          <w:sz w:val="32"/>
          <w:szCs w:val="32"/>
          <w:lang w:val="en-US" w:eastAsia="zh-CN"/>
        </w:rPr>
        <w:t>120</w:t>
      </w:r>
      <w:r>
        <w:rPr>
          <w:rFonts w:hint="eastAsia" w:ascii="仿宋_GB2312" w:hAnsi="宋体" w:eastAsia="仿宋_GB2312" w:cs="Courier New"/>
          <w:sz w:val="32"/>
          <w:szCs w:val="32"/>
        </w:rPr>
        <w:t xml:space="preserve"> 人次（不包括陪同人员）。</w:t>
      </w:r>
    </w:p>
    <w:p>
      <w:pPr>
        <w:keepNext w:val="0"/>
        <w:keepLines w:val="0"/>
        <w:pageBreakBefore w:val="0"/>
        <w:numPr>
          <w:ilvl w:val="0"/>
          <w:numId w:val="5"/>
        </w:numPr>
        <w:wordWrap/>
        <w:topLinePunct w:val="0"/>
        <w:bidi w:val="0"/>
        <w:adjustRightInd w:val="0"/>
        <w:snapToGrid w:val="0"/>
        <w:spacing w:afterAutospacing="0" w:line="360" w:lineRule="auto"/>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关于预算绩效情况说明</w:t>
      </w:r>
    </w:p>
    <w:p>
      <w:pPr>
        <w:keepNext w:val="0"/>
        <w:keepLines w:val="0"/>
        <w:pageBreakBefore w:val="0"/>
        <w:numPr>
          <w:ilvl w:val="0"/>
          <w:numId w:val="7"/>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根据财政预算管理要求，河南省信阳市浉河区人民法院对201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年度一般公共预算项目支出全面开展绩效自评。</w:t>
      </w:r>
    </w:p>
    <w:p>
      <w:pPr>
        <w:keepNext w:val="0"/>
        <w:keepLines w:val="0"/>
        <w:pageBreakBefore w:val="0"/>
        <w:numPr>
          <w:ilvl w:val="0"/>
          <w:numId w:val="7"/>
        </w:numPr>
        <w:kinsoku w:val="0"/>
        <w:wordWrap/>
        <w:overflowPunct w:val="0"/>
        <w:topLinePunct w:val="0"/>
        <w:autoSpaceDE w:val="0"/>
        <w:autoSpaceDN w:val="0"/>
        <w:bidi w:val="0"/>
        <w:adjustRightInd w:val="0"/>
        <w:snapToGrid w:val="0"/>
        <w:spacing w:afterAutospacing="0" w:line="360" w:lineRule="auto"/>
        <w:ind w:left="0" w:leftChars="0" w:firstLine="640" w:firstLineChars="200"/>
        <w:jc w:val="both"/>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项目绩效自评结果</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自评结果群众满意度是</w:t>
      </w:r>
      <w:r>
        <w:rPr>
          <w:rFonts w:hint="eastAsia" w:ascii="仿宋_GB2312" w:hAnsi="宋体" w:eastAsia="仿宋_GB2312" w:cs="Courier New"/>
          <w:sz w:val="32"/>
          <w:szCs w:val="32"/>
          <w:lang w:val="en-US" w:eastAsia="zh-CN"/>
        </w:rPr>
        <w:t>90%以上。</w:t>
      </w:r>
    </w:p>
    <w:p>
      <w:pPr>
        <w:keepNext w:val="0"/>
        <w:keepLines w:val="0"/>
        <w:pageBreakBefore w:val="0"/>
        <w:numPr>
          <w:ilvl w:val="0"/>
          <w:numId w:val="5"/>
        </w:numPr>
        <w:wordWrap/>
        <w:topLinePunct w:val="0"/>
        <w:bidi w:val="0"/>
        <w:adjustRightInd w:val="0"/>
        <w:snapToGrid w:val="0"/>
        <w:spacing w:afterAutospacing="0" w:line="360" w:lineRule="auto"/>
        <w:ind w:firstLine="640" w:firstLineChars="200"/>
        <w:jc w:val="both"/>
        <w:textAlignment w:val="auto"/>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default"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我院无特定性专项支出，所以无政府性基金预算财政拨款。</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年度政府性基金预算财政拨款支出年初预算为0万元，支出决算为0万元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0.00%。</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十、</w:t>
      </w:r>
      <w:r>
        <w:rPr>
          <w:rFonts w:hint="eastAsia" w:ascii="黑体" w:hAnsi="黑体" w:eastAsia="黑体" w:cs="黑体"/>
          <w:b w:val="0"/>
          <w:bCs/>
          <w:kern w:val="0"/>
          <w:sz w:val="32"/>
          <w:szCs w:val="32"/>
        </w:rPr>
        <w:t>机关运行经费支出情况</w:t>
      </w:r>
      <w:r>
        <w:rPr>
          <w:rFonts w:hint="eastAsia" w:ascii="黑体" w:hAnsi="黑体" w:eastAsia="黑体" w:cs="黑体"/>
          <w:b w:val="0"/>
          <w:bCs/>
          <w:kern w:val="0"/>
          <w:sz w:val="32"/>
          <w:szCs w:val="32"/>
          <w:lang w:eastAsia="zh-CN"/>
        </w:rPr>
        <w:t>说明</w:t>
      </w:r>
    </w:p>
    <w:p>
      <w:pPr>
        <w:pStyle w:val="4"/>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年度机关运行经费</w:t>
      </w:r>
      <w:r>
        <w:rPr>
          <w:rFonts w:hint="eastAsia" w:ascii="仿宋_GB2312" w:hAnsi="宋体" w:eastAsia="仿宋_GB2312" w:cs="Courier New"/>
          <w:sz w:val="32"/>
          <w:szCs w:val="32"/>
          <w:lang w:eastAsia="zh-CN"/>
        </w:rPr>
        <w:t>年初预算为</w:t>
      </w:r>
      <w:r>
        <w:rPr>
          <w:rFonts w:hint="eastAsia" w:ascii="仿宋_GB2312" w:hAnsi="宋体" w:eastAsia="仿宋_GB2312" w:cs="Courier New"/>
          <w:sz w:val="32"/>
          <w:szCs w:val="32"/>
          <w:lang w:val="en-US" w:eastAsia="zh-CN"/>
        </w:rPr>
        <w:t>195.2万元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eastAsia="zh-CN"/>
        </w:rPr>
        <w:t>决算为</w:t>
      </w:r>
      <w:r>
        <w:rPr>
          <w:rFonts w:hint="eastAsia" w:ascii="仿宋_GB2312" w:hAnsi="宋体" w:eastAsia="仿宋_GB2312" w:cs="Courier New"/>
          <w:sz w:val="32"/>
          <w:szCs w:val="32"/>
          <w:lang w:val="en-US" w:eastAsia="zh-CN"/>
        </w:rPr>
        <w:t>771.07</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完成年初预算的</w:t>
      </w:r>
      <w:r>
        <w:rPr>
          <w:rFonts w:hint="eastAsia" w:ascii="仿宋_GB2312" w:hAnsi="宋体" w:eastAsia="仿宋_GB2312" w:cs="Courier New"/>
          <w:sz w:val="32"/>
          <w:szCs w:val="32"/>
          <w:lang w:val="en-US" w:eastAsia="zh-CN"/>
        </w:rPr>
        <w:t>395%</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预算数</w:t>
      </w:r>
      <w:r>
        <w:rPr>
          <w:rFonts w:hint="eastAsia" w:ascii="仿宋_GB2312" w:hAnsi="宋体" w:eastAsia="仿宋_GB2312" w:cs="Courier New"/>
          <w:sz w:val="32"/>
          <w:szCs w:val="32"/>
          <w:lang w:eastAsia="zh-CN"/>
        </w:rPr>
        <w:t>存在差异</w:t>
      </w:r>
      <w:r>
        <w:rPr>
          <w:rFonts w:hint="eastAsia" w:ascii="仿宋_GB2312" w:hAnsi="宋体" w:eastAsia="仿宋_GB2312" w:cs="Courier New"/>
          <w:sz w:val="32"/>
          <w:szCs w:val="32"/>
        </w:rPr>
        <w:t>的主要原因</w:t>
      </w:r>
      <w:r>
        <w:rPr>
          <w:rFonts w:hint="eastAsia" w:ascii="仿宋_GB2312" w:hAnsi="宋体" w:eastAsia="仿宋_GB2312" w:cs="Courier New"/>
          <w:sz w:val="32"/>
          <w:szCs w:val="32"/>
          <w:lang w:eastAsia="zh-CN"/>
        </w:rPr>
        <w:t>是统计口径有所不同，年初预算</w:t>
      </w:r>
      <w:r>
        <w:rPr>
          <w:rFonts w:hint="eastAsia" w:ascii="仿宋_GB2312" w:hAnsi="宋体" w:eastAsia="仿宋_GB2312" w:cs="Courier New"/>
          <w:sz w:val="32"/>
          <w:szCs w:val="32"/>
          <w:lang w:val="en-US" w:eastAsia="zh-CN"/>
        </w:rPr>
        <w:t>195.2万元，只是在编在岗人员的人均经费总数，决算时还包括拨入的三公经费、非税收入返还的聘任制书记员工资等费用</w:t>
      </w:r>
      <w:r>
        <w:rPr>
          <w:rFonts w:hint="eastAsia" w:ascii="仿宋_GB2312" w:hAnsi="宋体" w:eastAsia="仿宋_GB2312" w:cs="Courier New"/>
          <w:sz w:val="32"/>
          <w:szCs w:val="32"/>
        </w:rPr>
        <w:t>。</w:t>
      </w:r>
    </w:p>
    <w:p>
      <w:pPr>
        <w:keepNext w:val="0"/>
        <w:keepLines w:val="0"/>
        <w:pageBreakBefore w:val="0"/>
        <w:numPr>
          <w:ilvl w:val="0"/>
          <w:numId w:val="5"/>
        </w:numPr>
        <w:kinsoku w:val="0"/>
        <w:wordWrap/>
        <w:overflowPunct w:val="0"/>
        <w:topLinePunct w:val="0"/>
        <w:autoSpaceDE w:val="0"/>
        <w:autoSpaceDN w:val="0"/>
        <w:bidi w:val="0"/>
        <w:adjustRightInd w:val="0"/>
        <w:snapToGrid w:val="0"/>
        <w:spacing w:afterAutospacing="0" w:line="360" w:lineRule="auto"/>
        <w:ind w:left="0" w:leftChars="0"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rPr>
        <w:t>政府采购支出情况</w:t>
      </w:r>
      <w:r>
        <w:rPr>
          <w:rFonts w:hint="eastAsia" w:ascii="黑体" w:hAnsi="黑体" w:eastAsia="黑体" w:cs="黑体"/>
          <w:b w:val="0"/>
          <w:bCs/>
          <w:kern w:val="0"/>
          <w:sz w:val="32"/>
          <w:szCs w:val="32"/>
          <w:lang w:eastAsia="zh-CN"/>
        </w:rPr>
        <w:t>说明</w:t>
      </w:r>
    </w:p>
    <w:p>
      <w:pPr>
        <w:pStyle w:val="4"/>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黑体" w:hAnsi="黑体" w:eastAsia="黑体" w:cs="黑体"/>
          <w:b w:val="0"/>
          <w:bCs/>
          <w:kern w:val="0"/>
          <w:sz w:val="32"/>
          <w:szCs w:val="32"/>
          <w:lang w:eastAsia="zh-CN"/>
        </w:rPr>
      </w:pPr>
      <w:r>
        <w:rPr>
          <w:rFonts w:hint="eastAsia" w:ascii="仿宋" w:hAnsi="仿宋" w:eastAsia="仿宋" w:cs="仿宋"/>
          <w:sz w:val="32"/>
          <w:szCs w:val="32"/>
          <w:shd w:val="clear" w:fill="FFFFFF"/>
          <w:lang w:eastAsia="zh-CN"/>
        </w:rPr>
        <w:t>2019年度政府采购支出总额</w:t>
      </w:r>
      <w:r>
        <w:rPr>
          <w:rFonts w:hint="eastAsia" w:ascii="仿宋" w:hAnsi="仿宋" w:eastAsia="仿宋" w:cs="仿宋"/>
          <w:sz w:val="32"/>
          <w:szCs w:val="32"/>
          <w:shd w:val="clear" w:fill="FFFFFF"/>
          <w:lang w:val="en-US" w:eastAsia="zh-CN"/>
        </w:rPr>
        <w:t>132.56</w:t>
      </w:r>
      <w:r>
        <w:rPr>
          <w:rFonts w:hint="eastAsia" w:ascii="仿宋" w:hAnsi="仿宋" w:eastAsia="仿宋" w:cs="仿宋"/>
          <w:sz w:val="32"/>
          <w:szCs w:val="32"/>
          <w:shd w:val="clear" w:fill="FFFFFF"/>
          <w:lang w:eastAsia="zh-CN"/>
        </w:rPr>
        <w:t>万元，其中：政府采购货物支出</w:t>
      </w:r>
      <w:r>
        <w:rPr>
          <w:rFonts w:hint="eastAsia" w:ascii="仿宋" w:hAnsi="仿宋" w:eastAsia="仿宋" w:cs="仿宋"/>
          <w:sz w:val="32"/>
          <w:szCs w:val="32"/>
          <w:shd w:val="clear" w:fill="FFFFFF"/>
          <w:lang w:val="en-US" w:eastAsia="zh-CN"/>
        </w:rPr>
        <w:t>132.56</w:t>
      </w:r>
      <w:r>
        <w:rPr>
          <w:rFonts w:hint="eastAsia" w:ascii="仿宋" w:hAnsi="仿宋" w:eastAsia="仿宋" w:cs="仿宋"/>
          <w:sz w:val="32"/>
          <w:szCs w:val="32"/>
          <w:shd w:val="clear" w:fill="FFFFFF"/>
          <w:lang w:eastAsia="zh-CN"/>
        </w:rPr>
        <w:t>万元、占采购比例为</w:t>
      </w:r>
      <w:r>
        <w:rPr>
          <w:rFonts w:hint="eastAsia" w:ascii="仿宋" w:hAnsi="仿宋" w:eastAsia="仿宋" w:cs="仿宋"/>
          <w:sz w:val="32"/>
          <w:szCs w:val="32"/>
          <w:shd w:val="clear" w:fill="FFFFFF"/>
          <w:lang w:val="en-US" w:eastAsia="zh-CN"/>
        </w:rPr>
        <w:t>100%；</w:t>
      </w:r>
      <w:r>
        <w:rPr>
          <w:rFonts w:hint="eastAsia" w:ascii="仿宋" w:hAnsi="仿宋" w:eastAsia="仿宋" w:cs="仿宋"/>
          <w:sz w:val="32"/>
          <w:szCs w:val="32"/>
          <w:shd w:val="clear" w:fill="FFFFFF"/>
          <w:lang w:eastAsia="zh-CN"/>
        </w:rPr>
        <w:t>政府采购工程支出0万元、政府采购服务支出0万元。授予中小企业合同金额0万元，占政府采购支出总额的0%，其中：授予小微企业合同金额0万元，占政府采购支出总额的0%。</w:t>
      </w:r>
    </w:p>
    <w:p>
      <w:pPr>
        <w:keepNext w:val="0"/>
        <w:keepLines w:val="0"/>
        <w:pageBreakBefore w:val="0"/>
        <w:numPr>
          <w:ilvl w:val="0"/>
          <w:numId w:val="0"/>
        </w:numPr>
        <w:kinsoku w:val="0"/>
        <w:wordWrap/>
        <w:overflowPunct w:val="0"/>
        <w:topLinePunct w:val="0"/>
        <w:autoSpaceDE w:val="0"/>
        <w:autoSpaceDN w:val="0"/>
        <w:bidi w:val="0"/>
        <w:adjustRightInd w:val="0"/>
        <w:snapToGrid w:val="0"/>
        <w:spacing w:afterAutospacing="0" w:line="360" w:lineRule="auto"/>
        <w:ind w:leftChars="200" w:firstLine="320" w:firstLineChars="100"/>
        <w:jc w:val="both"/>
        <w:textAlignment w:val="auto"/>
        <w:rPr>
          <w:rFonts w:hint="eastAsia" w:ascii="黑体" w:hAnsi="黑体" w:eastAsia="黑体" w:cs="黑体"/>
          <w:b w:val="0"/>
          <w:bCs/>
          <w:sz w:val="32"/>
          <w:szCs w:val="32"/>
        </w:rPr>
      </w:pPr>
      <w:r>
        <w:rPr>
          <w:rFonts w:hint="eastAsia" w:ascii="黑体" w:hAnsi="黑体" w:eastAsia="黑体" w:cs="黑体"/>
          <w:b w:val="0"/>
          <w:bCs/>
          <w:kern w:val="0"/>
          <w:sz w:val="32"/>
          <w:szCs w:val="32"/>
          <w:lang w:eastAsia="zh-CN"/>
        </w:rPr>
        <w:t>十二、</w:t>
      </w:r>
      <w:r>
        <w:rPr>
          <w:rFonts w:hint="eastAsia" w:ascii="黑体" w:hAnsi="黑体" w:eastAsia="黑体" w:cs="黑体"/>
          <w:b w:val="0"/>
          <w:bCs/>
          <w:kern w:val="0"/>
          <w:sz w:val="32"/>
          <w:szCs w:val="32"/>
        </w:rPr>
        <w:t>国有资产占用情况</w:t>
      </w:r>
      <w:r>
        <w:rPr>
          <w:rFonts w:hint="eastAsia" w:ascii="黑体" w:hAnsi="黑体" w:eastAsia="黑体" w:cs="黑体"/>
          <w:b w:val="0"/>
          <w:bCs/>
          <w:kern w:val="0"/>
          <w:sz w:val="32"/>
          <w:szCs w:val="32"/>
          <w:lang w:eastAsia="zh-CN"/>
        </w:rPr>
        <w:t>说明</w:t>
      </w:r>
    </w:p>
    <w:p>
      <w:pPr>
        <w:pStyle w:val="4"/>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fill="FFFFFF"/>
        </w:rPr>
        <w:t>2019年期末，我部门共有车辆13辆，其中：省级领导干部用车0辆、主要领导干部用车0辆、机要通信用车0辆、应急保障车0辆、执法执勤用车11辆、特种专业技术用车0辆、离退休干部用车0辆、其他用车2辆；单位价值50万元以上通用设备0台（套），单位价值100万元以上专用设备0台（套）。</w:t>
      </w:r>
    </w:p>
    <w:p>
      <w:pPr>
        <w:keepNext w:val="0"/>
        <w:keepLines w:val="0"/>
        <w:pageBreakBefore w:val="0"/>
        <w:kinsoku w:val="0"/>
        <w:wordWrap/>
        <w:overflowPunct w:val="0"/>
        <w:topLinePunct w:val="0"/>
        <w:autoSpaceDE w:val="0"/>
        <w:autoSpaceDN w:val="0"/>
        <w:bidi w:val="0"/>
        <w:adjustRightInd w:val="0"/>
        <w:snapToGrid w:val="0"/>
        <w:spacing w:afterAutospacing="0" w:line="360" w:lineRule="auto"/>
        <w:ind w:firstLine="800" w:firstLineChars="200"/>
        <w:jc w:val="both"/>
        <w:textAlignment w:val="auto"/>
        <w:rPr>
          <w:rFonts w:hint="eastAsia" w:ascii="仿宋" w:hAnsi="仿宋" w:eastAsia="仿宋" w:cs="仿宋"/>
          <w:sz w:val="40"/>
          <w:szCs w:val="40"/>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rPr>
          <w:rFonts w:hint="eastAsia"/>
          <w:lang w:val="en-US" w:eastAsia="zh-CN"/>
        </w:rPr>
      </w:pPr>
    </w:p>
    <w:sectPr>
      <w:pgSz w:w="11906" w:h="16838"/>
      <w:pgMar w:top="1440" w:right="44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4E681"/>
    <w:multiLevelType w:val="singleLevel"/>
    <w:tmpl w:val="1AE4E681"/>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E776"/>
    <w:multiLevelType w:val="singleLevel"/>
    <w:tmpl w:val="5971E776"/>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3AA5"/>
    <w:rsid w:val="00172A27"/>
    <w:rsid w:val="003056F7"/>
    <w:rsid w:val="005052D0"/>
    <w:rsid w:val="006251F7"/>
    <w:rsid w:val="00630D31"/>
    <w:rsid w:val="00783862"/>
    <w:rsid w:val="00A25F0B"/>
    <w:rsid w:val="00AF5647"/>
    <w:rsid w:val="00B54309"/>
    <w:rsid w:val="00B7213F"/>
    <w:rsid w:val="00B84FB0"/>
    <w:rsid w:val="00CA7318"/>
    <w:rsid w:val="00CB3D68"/>
    <w:rsid w:val="00CE1667"/>
    <w:rsid w:val="00DA2A0E"/>
    <w:rsid w:val="00EE0BEE"/>
    <w:rsid w:val="00F93487"/>
    <w:rsid w:val="00FD6F2A"/>
    <w:rsid w:val="01064770"/>
    <w:rsid w:val="0114712A"/>
    <w:rsid w:val="013A5847"/>
    <w:rsid w:val="0315703E"/>
    <w:rsid w:val="03F21746"/>
    <w:rsid w:val="04453648"/>
    <w:rsid w:val="07504FA8"/>
    <w:rsid w:val="08916181"/>
    <w:rsid w:val="08AC79F7"/>
    <w:rsid w:val="09787885"/>
    <w:rsid w:val="09BB2134"/>
    <w:rsid w:val="09ED202A"/>
    <w:rsid w:val="09FF4684"/>
    <w:rsid w:val="0A431731"/>
    <w:rsid w:val="0A986AAB"/>
    <w:rsid w:val="0B225F16"/>
    <w:rsid w:val="0BA805B1"/>
    <w:rsid w:val="0E6433E2"/>
    <w:rsid w:val="0F1E7E43"/>
    <w:rsid w:val="121020BF"/>
    <w:rsid w:val="137D5952"/>
    <w:rsid w:val="13DA4090"/>
    <w:rsid w:val="149C6C60"/>
    <w:rsid w:val="15492582"/>
    <w:rsid w:val="159810CC"/>
    <w:rsid w:val="15E94686"/>
    <w:rsid w:val="166740A9"/>
    <w:rsid w:val="16A67CA2"/>
    <w:rsid w:val="16DC49CF"/>
    <w:rsid w:val="187759EA"/>
    <w:rsid w:val="190C0382"/>
    <w:rsid w:val="19216C22"/>
    <w:rsid w:val="1A0D104C"/>
    <w:rsid w:val="1B353325"/>
    <w:rsid w:val="1BB26345"/>
    <w:rsid w:val="1C97456E"/>
    <w:rsid w:val="1DF540BD"/>
    <w:rsid w:val="1E7D3B34"/>
    <w:rsid w:val="1E8A3286"/>
    <w:rsid w:val="1EA8661E"/>
    <w:rsid w:val="1ECB6FC1"/>
    <w:rsid w:val="1EEF239C"/>
    <w:rsid w:val="207E1174"/>
    <w:rsid w:val="209C4FF0"/>
    <w:rsid w:val="22117342"/>
    <w:rsid w:val="22EA01F4"/>
    <w:rsid w:val="230666A8"/>
    <w:rsid w:val="23265F09"/>
    <w:rsid w:val="232B1667"/>
    <w:rsid w:val="237963A9"/>
    <w:rsid w:val="23CB33DC"/>
    <w:rsid w:val="23CD455F"/>
    <w:rsid w:val="249B3040"/>
    <w:rsid w:val="25274313"/>
    <w:rsid w:val="25777103"/>
    <w:rsid w:val="258F34D6"/>
    <w:rsid w:val="261E268D"/>
    <w:rsid w:val="262445AC"/>
    <w:rsid w:val="26DC75CC"/>
    <w:rsid w:val="277A2158"/>
    <w:rsid w:val="29A44277"/>
    <w:rsid w:val="2A3014BC"/>
    <w:rsid w:val="2B35463C"/>
    <w:rsid w:val="2BA4769A"/>
    <w:rsid w:val="2CD06EF4"/>
    <w:rsid w:val="2E4F1699"/>
    <w:rsid w:val="2E546A8A"/>
    <w:rsid w:val="2EA3017F"/>
    <w:rsid w:val="2EE2312F"/>
    <w:rsid w:val="2F8C28C3"/>
    <w:rsid w:val="31DB5D2C"/>
    <w:rsid w:val="32EF40CE"/>
    <w:rsid w:val="35CE2524"/>
    <w:rsid w:val="36372E3F"/>
    <w:rsid w:val="36E857D7"/>
    <w:rsid w:val="37294CBC"/>
    <w:rsid w:val="372974AC"/>
    <w:rsid w:val="37AD7D11"/>
    <w:rsid w:val="37BF3A3A"/>
    <w:rsid w:val="37FA3A62"/>
    <w:rsid w:val="39542049"/>
    <w:rsid w:val="39955B92"/>
    <w:rsid w:val="3AC16FDC"/>
    <w:rsid w:val="3BE63E09"/>
    <w:rsid w:val="3C4F28F4"/>
    <w:rsid w:val="3CB1554A"/>
    <w:rsid w:val="3CB216F4"/>
    <w:rsid w:val="3CE47224"/>
    <w:rsid w:val="405B2D4D"/>
    <w:rsid w:val="408125C9"/>
    <w:rsid w:val="415C03F1"/>
    <w:rsid w:val="42271DDB"/>
    <w:rsid w:val="436869F4"/>
    <w:rsid w:val="43EA37E2"/>
    <w:rsid w:val="44180A30"/>
    <w:rsid w:val="44437B5C"/>
    <w:rsid w:val="468C1766"/>
    <w:rsid w:val="46C84ED0"/>
    <w:rsid w:val="47123BE8"/>
    <w:rsid w:val="4787650F"/>
    <w:rsid w:val="47897781"/>
    <w:rsid w:val="47A352C0"/>
    <w:rsid w:val="480124B4"/>
    <w:rsid w:val="48036E61"/>
    <w:rsid w:val="480E350C"/>
    <w:rsid w:val="484B54CB"/>
    <w:rsid w:val="48B52937"/>
    <w:rsid w:val="48EE3EF3"/>
    <w:rsid w:val="4AA503D7"/>
    <w:rsid w:val="4C1E2F28"/>
    <w:rsid w:val="4E054941"/>
    <w:rsid w:val="4F814EF5"/>
    <w:rsid w:val="51AD42DE"/>
    <w:rsid w:val="51D86D71"/>
    <w:rsid w:val="524B447E"/>
    <w:rsid w:val="53593CA4"/>
    <w:rsid w:val="53E3635F"/>
    <w:rsid w:val="53E9756D"/>
    <w:rsid w:val="544E3555"/>
    <w:rsid w:val="54C7366D"/>
    <w:rsid w:val="54E01758"/>
    <w:rsid w:val="55DD11E3"/>
    <w:rsid w:val="56334136"/>
    <w:rsid w:val="563C5A11"/>
    <w:rsid w:val="5651051D"/>
    <w:rsid w:val="57BB5F84"/>
    <w:rsid w:val="57E961A8"/>
    <w:rsid w:val="581E77CF"/>
    <w:rsid w:val="58547904"/>
    <w:rsid w:val="58B06254"/>
    <w:rsid w:val="59E3092F"/>
    <w:rsid w:val="5AF25131"/>
    <w:rsid w:val="5B194E04"/>
    <w:rsid w:val="5B463ACB"/>
    <w:rsid w:val="5B751F9D"/>
    <w:rsid w:val="5C025799"/>
    <w:rsid w:val="5C5A1775"/>
    <w:rsid w:val="5E1E5C64"/>
    <w:rsid w:val="5E4363B3"/>
    <w:rsid w:val="5F3A0145"/>
    <w:rsid w:val="5FE55F30"/>
    <w:rsid w:val="5FEC1AAD"/>
    <w:rsid w:val="600176AC"/>
    <w:rsid w:val="6016384B"/>
    <w:rsid w:val="604F43C9"/>
    <w:rsid w:val="61726183"/>
    <w:rsid w:val="621B4F63"/>
    <w:rsid w:val="627358F6"/>
    <w:rsid w:val="631779B0"/>
    <w:rsid w:val="6431638A"/>
    <w:rsid w:val="649E2ABB"/>
    <w:rsid w:val="64BB2AEF"/>
    <w:rsid w:val="664A46E0"/>
    <w:rsid w:val="66AB2EF0"/>
    <w:rsid w:val="6715463E"/>
    <w:rsid w:val="674E08EC"/>
    <w:rsid w:val="69975458"/>
    <w:rsid w:val="69A56552"/>
    <w:rsid w:val="69E62C68"/>
    <w:rsid w:val="6A0B6DFF"/>
    <w:rsid w:val="6A2415C4"/>
    <w:rsid w:val="6BAE557B"/>
    <w:rsid w:val="6C2F3976"/>
    <w:rsid w:val="6CC31A27"/>
    <w:rsid w:val="6ED70E3A"/>
    <w:rsid w:val="6EF25BD8"/>
    <w:rsid w:val="6F7D078F"/>
    <w:rsid w:val="6FA53D97"/>
    <w:rsid w:val="703F0C4F"/>
    <w:rsid w:val="70796AFA"/>
    <w:rsid w:val="70A61E1C"/>
    <w:rsid w:val="70EA67BD"/>
    <w:rsid w:val="71AC51BD"/>
    <w:rsid w:val="722B79CC"/>
    <w:rsid w:val="7321698E"/>
    <w:rsid w:val="736568CB"/>
    <w:rsid w:val="737A5BE5"/>
    <w:rsid w:val="73F1196C"/>
    <w:rsid w:val="740B0FA0"/>
    <w:rsid w:val="75531EF6"/>
    <w:rsid w:val="75B60213"/>
    <w:rsid w:val="75D0003D"/>
    <w:rsid w:val="76825CDA"/>
    <w:rsid w:val="76AD5101"/>
    <w:rsid w:val="76BD5B9E"/>
    <w:rsid w:val="76F51FDE"/>
    <w:rsid w:val="7762571B"/>
    <w:rsid w:val="779E3F57"/>
    <w:rsid w:val="77EE338E"/>
    <w:rsid w:val="79960645"/>
    <w:rsid w:val="79CF64FE"/>
    <w:rsid w:val="7A0A7936"/>
    <w:rsid w:val="7A8A3994"/>
    <w:rsid w:val="7AF15D62"/>
    <w:rsid w:val="7D0D382E"/>
    <w:rsid w:val="7D14520E"/>
    <w:rsid w:val="7E661D47"/>
    <w:rsid w:val="7F39282F"/>
    <w:rsid w:val="7F7D2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ascii="Arial" w:hAnsi="Arial" w:cs="Arial"/>
      <w:color w:val="000000"/>
      <w:sz w:val="16"/>
      <w:szCs w:val="16"/>
      <w:u w:val="none"/>
    </w:rPr>
  </w:style>
  <w:style w:type="character" w:customStyle="1" w:styleId="8">
    <w:name w:val="font01"/>
    <w:basedOn w:val="6"/>
    <w:qFormat/>
    <w:uiPriority w:val="0"/>
    <w:rPr>
      <w:rFonts w:hint="default" w:ascii="Arial" w:hAnsi="Arial" w:cs="Arial"/>
      <w:color w:val="000000"/>
      <w:sz w:val="16"/>
      <w:szCs w:val="16"/>
      <w:u w:val="none"/>
    </w:rPr>
  </w:style>
  <w:style w:type="character" w:customStyle="1" w:styleId="9">
    <w:name w:val="font41"/>
    <w:basedOn w:val="6"/>
    <w:qFormat/>
    <w:uiPriority w:val="0"/>
    <w:rPr>
      <w:rFonts w:hint="eastAsia" w:ascii="宋体" w:hAnsi="宋体" w:eastAsia="宋体" w:cs="宋体"/>
      <w:color w:val="000000"/>
      <w:sz w:val="16"/>
      <w:szCs w:val="16"/>
      <w:u w:val="none"/>
    </w:rPr>
  </w:style>
  <w:style w:type="character" w:customStyle="1" w:styleId="10">
    <w:name w:val="font71"/>
    <w:basedOn w:val="6"/>
    <w:qFormat/>
    <w:uiPriority w:val="0"/>
    <w:rPr>
      <w:rFonts w:hint="eastAsia" w:ascii="宋体" w:hAnsi="宋体" w:eastAsia="宋体" w:cs="宋体"/>
      <w:b/>
      <w:color w:val="000000"/>
      <w:sz w:val="28"/>
      <w:szCs w:val="28"/>
      <w:u w:val="none"/>
    </w:rPr>
  </w:style>
  <w:style w:type="character" w:customStyle="1" w:styleId="11">
    <w:name w:val="font51"/>
    <w:basedOn w:val="6"/>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549</Words>
  <Characters>3133</Characters>
  <Lines>26</Lines>
  <Paragraphs>7</Paragraphs>
  <TotalTime>1</TotalTime>
  <ScaleCrop>false</ScaleCrop>
  <LinksUpToDate>false</LinksUpToDate>
  <CharactersWithSpaces>3675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2021-06-19T16:04:20Z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E60D8417CCD24CF59F070DA8B28822B7</vt:lpwstr>
  </property>
</Properties>
</file>