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hint="eastAsia" w:ascii="仿宋" w:hAnsi="仿宋" w:eastAsia="仿宋" w:cs="??_GB2312"/>
          <w:b/>
          <w:sz w:val="44"/>
          <w:szCs w:val="44"/>
          <w:lang w:eastAsia="zh-CN"/>
        </w:rPr>
      </w:pPr>
      <w:r>
        <w:rPr>
          <w:rFonts w:hint="eastAsia" w:ascii="仿宋" w:hAnsi="仿宋" w:eastAsia="仿宋" w:cs="隶书"/>
          <w:b/>
          <w:sz w:val="52"/>
          <w:szCs w:val="52"/>
          <w:lang w:eastAsia="zh-CN"/>
        </w:rPr>
        <w:t>河南省信阳市浉河区人民法院</w:t>
      </w:r>
    </w:p>
    <w:p>
      <w:pPr>
        <w:jc w:val="center"/>
        <w:rPr>
          <w:rFonts w:ascii="仿宋" w:hAnsi="仿宋" w:eastAsia="仿宋" w:cs="黑体"/>
          <w:b/>
          <w:sz w:val="52"/>
          <w:szCs w:val="52"/>
        </w:rPr>
      </w:pPr>
    </w:p>
    <w:p>
      <w:pPr>
        <w:jc w:val="center"/>
        <w:rPr>
          <w:rFonts w:ascii="仿宋" w:hAnsi="仿宋" w:eastAsia="仿宋" w:cs="隶书"/>
          <w:b/>
          <w:sz w:val="52"/>
          <w:szCs w:val="52"/>
        </w:rPr>
        <w:sectPr>
          <w:headerReference r:id="rId5" w:type="first"/>
          <w:headerReference r:id="rId3" w:type="default"/>
          <w:headerReference r:id="rId4" w:type="even"/>
          <w:pgSz w:w="11906" w:h="16838"/>
          <w:pgMar w:top="1440" w:right="1800" w:bottom="1440" w:left="1800" w:header="851" w:footer="992" w:gutter="0"/>
          <w:pgNumType w:fmt="numberInDash" w:start="1"/>
          <w:cols w:space="425" w:num="1"/>
          <w:docGrid w:type="lines" w:linePitch="312" w:charSpace="0"/>
        </w:sectPr>
      </w:pPr>
      <w:r>
        <w:rPr>
          <w:rFonts w:ascii="仿宋" w:hAnsi="仿宋" w:eastAsia="仿宋" w:cs="隶书"/>
          <w:b/>
          <w:sz w:val="52"/>
          <w:szCs w:val="52"/>
        </w:rPr>
        <w:t>20</w:t>
      </w:r>
      <w:r>
        <w:rPr>
          <w:rFonts w:hint="eastAsia" w:ascii="仿宋" w:hAnsi="仿宋" w:eastAsia="仿宋" w:cs="隶书"/>
          <w:b/>
          <w:sz w:val="52"/>
          <w:szCs w:val="52"/>
        </w:rPr>
        <w:t>20年度部门预算公开情况</w:t>
      </w:r>
    </w:p>
    <w:p>
      <w:pPr>
        <w:jc w:val="center"/>
        <w:rPr>
          <w:rFonts w:ascii="仿宋" w:hAnsi="仿宋" w:eastAsia="仿宋" w:cs="黑体"/>
          <w:sz w:val="32"/>
          <w:szCs w:val="32"/>
        </w:rPr>
      </w:pPr>
      <w:r>
        <w:rPr>
          <w:rFonts w:hint="eastAsia" w:ascii="仿宋" w:hAnsi="仿宋" w:eastAsia="仿宋" w:cs="黑体"/>
          <w:sz w:val="32"/>
          <w:szCs w:val="32"/>
        </w:rPr>
        <w:t>目　　录</w:t>
      </w:r>
    </w:p>
    <w:p>
      <w:pPr>
        <w:jc w:val="left"/>
        <w:rPr>
          <w:rFonts w:ascii="仿宋" w:hAnsi="仿宋" w:eastAsia="仿宋" w:cs="黑体"/>
          <w:sz w:val="32"/>
          <w:szCs w:val="32"/>
        </w:rPr>
      </w:pPr>
      <w:r>
        <w:rPr>
          <w:rFonts w:hint="eastAsia" w:ascii="仿宋" w:hAnsi="仿宋" w:eastAsia="仿宋" w:cs="黑体"/>
          <w:sz w:val="32"/>
          <w:szCs w:val="32"/>
        </w:rPr>
        <w:t>第一部分　　</w:t>
      </w:r>
      <w:r>
        <w:rPr>
          <w:rFonts w:hint="eastAsia" w:ascii="仿宋" w:hAnsi="仿宋" w:eastAsia="仿宋" w:cs="黑体"/>
          <w:sz w:val="32"/>
          <w:szCs w:val="32"/>
          <w:lang w:eastAsia="zh-CN"/>
        </w:rPr>
        <w:t>河南省信阳市浉河区人民法院</w:t>
      </w:r>
      <w:r>
        <w:rPr>
          <w:rFonts w:hint="eastAsia" w:ascii="仿宋" w:hAnsi="仿宋" w:eastAsia="仿宋" w:cs="黑体"/>
          <w:sz w:val="32"/>
          <w:szCs w:val="32"/>
        </w:rPr>
        <w:t>概况</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主要职能</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部门预算单位构成及机构设置</w:t>
      </w:r>
    </w:p>
    <w:p>
      <w:pPr>
        <w:jc w:val="left"/>
        <w:rPr>
          <w:rFonts w:ascii="仿宋" w:hAnsi="仿宋" w:eastAsia="仿宋" w:cs="黑体"/>
          <w:sz w:val="32"/>
          <w:szCs w:val="32"/>
        </w:rPr>
      </w:pPr>
      <w:r>
        <w:rPr>
          <w:rFonts w:hint="eastAsia" w:ascii="仿宋" w:hAnsi="仿宋" w:eastAsia="仿宋" w:cs="黑体"/>
          <w:sz w:val="32"/>
          <w:szCs w:val="32"/>
        </w:rPr>
        <w:t>第</w:t>
      </w:r>
      <w:r>
        <w:rPr>
          <w:rFonts w:hint="eastAsia" w:ascii="仿宋" w:hAnsi="仿宋" w:eastAsia="仿宋" w:cs="黑体"/>
          <w:sz w:val="32"/>
          <w:szCs w:val="32"/>
          <w:lang w:val="en-US" w:eastAsia="zh-CN"/>
        </w:rPr>
        <w:t>二</w:t>
      </w:r>
      <w:r>
        <w:rPr>
          <w:rFonts w:hint="eastAsia" w:ascii="仿宋" w:hAnsi="仿宋" w:eastAsia="仿宋" w:cs="黑体"/>
          <w:sz w:val="32"/>
          <w:szCs w:val="32"/>
        </w:rPr>
        <w:t>部分　　</w:t>
      </w:r>
      <w:r>
        <w:rPr>
          <w:rFonts w:hint="eastAsia" w:ascii="仿宋" w:hAnsi="仿宋" w:eastAsia="仿宋" w:cs="黑体"/>
          <w:sz w:val="32"/>
          <w:szCs w:val="32"/>
          <w:lang w:eastAsia="zh-CN"/>
        </w:rPr>
        <w:t>河南省信阳市浉河区人民法院</w:t>
      </w:r>
      <w:r>
        <w:rPr>
          <w:rFonts w:ascii="仿宋" w:hAnsi="仿宋" w:eastAsia="仿宋" w:cs="黑体"/>
          <w:sz w:val="32"/>
          <w:szCs w:val="32"/>
        </w:rPr>
        <w:t>20</w:t>
      </w:r>
      <w:r>
        <w:rPr>
          <w:rFonts w:hint="eastAsia" w:ascii="仿宋" w:hAnsi="仿宋" w:eastAsia="仿宋" w:cs="黑体"/>
          <w:sz w:val="32"/>
          <w:szCs w:val="32"/>
        </w:rPr>
        <w:t>20年度部门预算情况说明</w:t>
      </w:r>
    </w:p>
    <w:p>
      <w:pPr>
        <w:jc w:val="left"/>
        <w:rPr>
          <w:rFonts w:hint="eastAsia" w:ascii="仿宋" w:hAnsi="仿宋" w:eastAsia="仿宋" w:cs="黑体"/>
          <w:sz w:val="32"/>
          <w:szCs w:val="32"/>
        </w:rPr>
      </w:pPr>
      <w:r>
        <w:rPr>
          <w:rFonts w:hint="eastAsia" w:ascii="仿宋" w:hAnsi="仿宋" w:eastAsia="仿宋" w:cs="黑体"/>
          <w:sz w:val="32"/>
          <w:szCs w:val="32"/>
        </w:rPr>
        <w:t>第</w:t>
      </w:r>
      <w:r>
        <w:rPr>
          <w:rFonts w:hint="eastAsia" w:ascii="仿宋" w:hAnsi="仿宋" w:eastAsia="仿宋" w:cs="黑体"/>
          <w:sz w:val="32"/>
          <w:szCs w:val="32"/>
          <w:lang w:val="en-US" w:eastAsia="zh-CN"/>
        </w:rPr>
        <w:t>三</w:t>
      </w:r>
      <w:r>
        <w:rPr>
          <w:rFonts w:hint="eastAsia" w:ascii="仿宋" w:hAnsi="仿宋" w:eastAsia="仿宋" w:cs="黑体"/>
          <w:sz w:val="32"/>
          <w:szCs w:val="32"/>
        </w:rPr>
        <w:t>部分　　名词解释</w:t>
      </w:r>
    </w:p>
    <w:p>
      <w:pPr>
        <w:jc w:val="left"/>
        <w:rPr>
          <w:rFonts w:ascii="仿宋" w:hAnsi="仿宋" w:eastAsia="仿宋" w:cs="黑体"/>
          <w:b/>
          <w:bCs/>
          <w:sz w:val="32"/>
          <w:szCs w:val="32"/>
        </w:rPr>
      </w:pPr>
      <w:r>
        <w:rPr>
          <w:rFonts w:hint="eastAsia" w:ascii="仿宋" w:hAnsi="仿宋" w:eastAsia="仿宋" w:cs="黑体"/>
          <w:b/>
          <w:bCs/>
          <w:sz w:val="32"/>
          <w:szCs w:val="32"/>
          <w:lang w:val="en-US" w:eastAsia="zh-CN"/>
        </w:rPr>
        <w:t>附   件</w:t>
      </w:r>
      <w:r>
        <w:rPr>
          <w:rFonts w:hint="eastAsia" w:ascii="仿宋" w:hAnsi="仿宋" w:eastAsia="仿宋" w:cs="黑体"/>
          <w:b/>
          <w:bCs/>
          <w:sz w:val="32"/>
          <w:szCs w:val="32"/>
        </w:rPr>
        <w:t>　　</w:t>
      </w:r>
      <w:r>
        <w:rPr>
          <w:rFonts w:hint="eastAsia" w:ascii="仿宋" w:hAnsi="仿宋" w:eastAsia="仿宋" w:cs="黑体"/>
          <w:b/>
          <w:bCs/>
          <w:sz w:val="32"/>
          <w:szCs w:val="32"/>
          <w:lang w:eastAsia="zh-CN"/>
        </w:rPr>
        <w:t>河南省信阳市浉河区人民法院</w:t>
      </w:r>
      <w:r>
        <w:rPr>
          <w:rFonts w:ascii="仿宋" w:hAnsi="仿宋" w:eastAsia="仿宋" w:cs="黑体"/>
          <w:b/>
          <w:bCs/>
          <w:sz w:val="32"/>
          <w:szCs w:val="32"/>
        </w:rPr>
        <w:t>20</w:t>
      </w:r>
      <w:r>
        <w:rPr>
          <w:rFonts w:hint="eastAsia" w:ascii="仿宋" w:hAnsi="仿宋" w:eastAsia="仿宋" w:cs="黑体"/>
          <w:b/>
          <w:bCs/>
          <w:sz w:val="32"/>
          <w:szCs w:val="32"/>
        </w:rPr>
        <w:t>20年度部门预算表</w:t>
      </w:r>
    </w:p>
    <w:p>
      <w:pPr>
        <w:jc w:val="left"/>
        <w:rPr>
          <w:rFonts w:ascii="仿宋" w:hAnsi="仿宋" w:eastAsia="仿宋" w:cs="宋体"/>
          <w:sz w:val="32"/>
          <w:szCs w:val="32"/>
        </w:rPr>
      </w:pPr>
      <w:r>
        <w:rPr>
          <w:rFonts w:hint="eastAsia" w:ascii="仿宋" w:hAnsi="仿宋" w:eastAsia="仿宋" w:cs="宋体"/>
          <w:sz w:val="32"/>
          <w:szCs w:val="32"/>
        </w:rPr>
        <w:t>一、收入支出预算总表</w:t>
      </w:r>
    </w:p>
    <w:p>
      <w:pPr>
        <w:jc w:val="left"/>
        <w:rPr>
          <w:rFonts w:ascii="仿宋" w:hAnsi="仿宋" w:eastAsia="仿宋" w:cs="宋体"/>
          <w:sz w:val="32"/>
          <w:szCs w:val="32"/>
        </w:rPr>
      </w:pPr>
      <w:r>
        <w:rPr>
          <w:rFonts w:hint="eastAsia" w:ascii="仿宋" w:hAnsi="仿宋" w:eastAsia="仿宋" w:cs="宋体"/>
          <w:sz w:val="32"/>
          <w:szCs w:val="32"/>
        </w:rPr>
        <w:t>二、收入预算表</w:t>
      </w:r>
    </w:p>
    <w:p>
      <w:pPr>
        <w:jc w:val="left"/>
        <w:rPr>
          <w:rFonts w:ascii="仿宋" w:hAnsi="仿宋" w:eastAsia="仿宋" w:cs="宋体"/>
          <w:sz w:val="32"/>
          <w:szCs w:val="32"/>
        </w:rPr>
      </w:pPr>
      <w:r>
        <w:rPr>
          <w:rFonts w:hint="eastAsia" w:ascii="仿宋" w:hAnsi="仿宋" w:eastAsia="仿宋" w:cs="宋体"/>
          <w:sz w:val="32"/>
          <w:szCs w:val="32"/>
        </w:rPr>
        <w:t>三、支出预算表</w:t>
      </w:r>
    </w:p>
    <w:p>
      <w:pPr>
        <w:jc w:val="left"/>
        <w:rPr>
          <w:rFonts w:ascii="仿宋" w:hAnsi="仿宋" w:eastAsia="仿宋" w:cs="宋体"/>
          <w:sz w:val="32"/>
          <w:szCs w:val="32"/>
        </w:rPr>
      </w:pPr>
      <w:r>
        <w:rPr>
          <w:rFonts w:hint="eastAsia" w:ascii="仿宋" w:hAnsi="仿宋" w:eastAsia="仿宋" w:cs="宋体"/>
          <w:sz w:val="32"/>
          <w:szCs w:val="32"/>
        </w:rPr>
        <w:t>四、财政拨款收入支出预算总表</w:t>
      </w:r>
    </w:p>
    <w:p>
      <w:pPr>
        <w:jc w:val="left"/>
        <w:rPr>
          <w:rFonts w:ascii="仿宋" w:hAnsi="仿宋" w:eastAsia="仿宋" w:cs="宋体"/>
          <w:sz w:val="32"/>
          <w:szCs w:val="32"/>
        </w:rPr>
      </w:pPr>
      <w:r>
        <w:rPr>
          <w:rFonts w:hint="eastAsia" w:ascii="仿宋" w:hAnsi="仿宋" w:eastAsia="仿宋" w:cs="宋体"/>
          <w:sz w:val="32"/>
          <w:szCs w:val="32"/>
        </w:rPr>
        <w:t>五、一般公共预算财政拨款支出预算表</w:t>
      </w:r>
    </w:p>
    <w:p>
      <w:pPr>
        <w:jc w:val="left"/>
        <w:rPr>
          <w:rFonts w:ascii="仿宋" w:hAnsi="仿宋" w:eastAsia="仿宋" w:cs="宋体"/>
          <w:sz w:val="32"/>
          <w:szCs w:val="32"/>
        </w:rPr>
      </w:pPr>
      <w:r>
        <w:rPr>
          <w:rFonts w:hint="eastAsia" w:ascii="仿宋" w:hAnsi="仿宋" w:eastAsia="仿宋" w:cs="宋体"/>
          <w:sz w:val="32"/>
          <w:szCs w:val="32"/>
        </w:rPr>
        <w:t>六、一般公共预算财政拨款基本支出预算表</w:t>
      </w:r>
    </w:p>
    <w:p>
      <w:pPr>
        <w:jc w:val="left"/>
        <w:rPr>
          <w:rFonts w:ascii="仿宋" w:hAnsi="仿宋" w:eastAsia="仿宋" w:cs="宋体"/>
          <w:sz w:val="32"/>
          <w:szCs w:val="32"/>
        </w:rPr>
      </w:pPr>
      <w:r>
        <w:rPr>
          <w:rFonts w:hint="eastAsia" w:ascii="仿宋" w:hAnsi="仿宋" w:eastAsia="仿宋" w:cs="宋体"/>
          <w:sz w:val="32"/>
          <w:szCs w:val="32"/>
        </w:rPr>
        <w:t>七、一般公共预算财政拨款“三公”经费支出预算表</w:t>
      </w:r>
    </w:p>
    <w:p>
      <w:pPr>
        <w:jc w:val="left"/>
        <w:rPr>
          <w:rFonts w:ascii="仿宋" w:hAnsi="仿宋" w:eastAsia="仿宋" w:cs="宋体"/>
          <w:sz w:val="32"/>
          <w:szCs w:val="32"/>
        </w:rPr>
      </w:pPr>
      <w:r>
        <w:rPr>
          <w:rFonts w:hint="eastAsia" w:ascii="仿宋" w:hAnsi="仿宋" w:eastAsia="仿宋" w:cs="宋体"/>
          <w:sz w:val="32"/>
          <w:szCs w:val="32"/>
        </w:rPr>
        <w:t>八、政府性基金预算财政拨款收入支出预算表</w:t>
      </w:r>
    </w:p>
    <w:p>
      <w:pPr>
        <w:jc w:val="left"/>
        <w:rPr>
          <w:rFonts w:hint="eastAsia" w:ascii="仿宋" w:hAnsi="仿宋" w:eastAsia="仿宋" w:cs="黑体"/>
          <w:sz w:val="32"/>
          <w:szCs w:val="32"/>
        </w:rPr>
        <w:sectPr>
          <w:footerReference r:id="rId6" w:type="default"/>
          <w:pgSz w:w="11906" w:h="16838"/>
          <w:pgMar w:top="1440" w:right="1800" w:bottom="1440" w:left="1800" w:header="851" w:footer="992" w:gutter="0"/>
          <w:pgNumType w:fmt="numberInDash"/>
          <w:cols w:space="425" w:num="1"/>
          <w:docGrid w:type="lines" w:linePitch="312" w:charSpace="0"/>
        </w:sect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b/>
          <w:sz w:val="48"/>
          <w:szCs w:val="48"/>
        </w:rPr>
      </w:pPr>
      <w:r>
        <w:rPr>
          <w:rFonts w:hint="eastAsia" w:ascii="仿宋" w:hAnsi="仿宋" w:eastAsia="仿宋" w:cs="隶书"/>
          <w:b/>
          <w:sz w:val="48"/>
          <w:szCs w:val="48"/>
        </w:rPr>
        <w:t>第一部分　　</w:t>
      </w:r>
      <w:r>
        <w:rPr>
          <w:rFonts w:hint="eastAsia" w:ascii="仿宋" w:hAnsi="仿宋" w:eastAsia="仿宋" w:cs="隶书"/>
          <w:b/>
          <w:sz w:val="48"/>
          <w:szCs w:val="48"/>
          <w:lang w:val="en-US" w:eastAsia="zh-CN"/>
        </w:rPr>
        <w:t>河南省信阳市浉河区人民法院</w:t>
      </w:r>
      <w:r>
        <w:rPr>
          <w:rFonts w:hint="eastAsia" w:ascii="仿宋" w:hAnsi="仿宋" w:eastAsia="仿宋" w:cs="隶书"/>
          <w:b/>
          <w:sz w:val="48"/>
          <w:szCs w:val="48"/>
        </w:rPr>
        <w:t>概况</w:t>
      </w: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outlineLvl w:val="0"/>
        <w:rPr>
          <w:rFonts w:ascii="仿宋" w:hAnsi="仿宋" w:eastAsia="仿宋" w:cs="隶书"/>
          <w:sz w:val="48"/>
          <w:szCs w:val="48"/>
        </w:rPr>
        <w:sectPr>
          <w:footerReference r:id="rId7" w:type="default"/>
          <w:pgSz w:w="11906" w:h="16838"/>
          <w:pgMar w:top="1440" w:right="1800" w:bottom="1440" w:left="1800" w:header="851" w:footer="992" w:gutter="0"/>
          <w:pgNumType w:fmt="numberInDash" w:start="1"/>
          <w:cols w:space="425" w:num="1"/>
          <w:docGrid w:type="lines" w:linePitch="312" w:charSpace="0"/>
        </w:sectPr>
      </w:pPr>
    </w:p>
    <w:p>
      <w:pPr>
        <w:pStyle w:val="14"/>
        <w:ind w:firstLine="0" w:firstLineChars="0"/>
        <w:rPr>
          <w:rFonts w:ascii="仿宋" w:hAnsi="仿宋" w:eastAsia="仿宋"/>
          <w:sz w:val="32"/>
          <w:szCs w:val="32"/>
        </w:rPr>
      </w:pPr>
    </w:p>
    <w:p>
      <w:pPr>
        <w:rPr>
          <w:sz w:val="28"/>
          <w:szCs w:val="28"/>
        </w:rPr>
      </w:pPr>
      <w:r>
        <w:rPr>
          <w:rFonts w:hint="eastAsia"/>
        </w:rPr>
        <w:t>一</w:t>
      </w:r>
      <w:r>
        <w:rPr>
          <w:rFonts w:hint="eastAsia"/>
          <w:sz w:val="28"/>
          <w:szCs w:val="28"/>
        </w:rPr>
        <w:t>．部门基本情况</w:t>
      </w:r>
    </w:p>
    <w:p>
      <w:pPr>
        <w:pStyle w:val="15"/>
        <w:shd w:val="clear" w:color="auto" w:fill="FFFFFF"/>
        <w:spacing w:line="357" w:lineRule="atLeast"/>
        <w:ind w:left="640"/>
        <w:rPr>
          <w:sz w:val="28"/>
          <w:szCs w:val="28"/>
        </w:rPr>
      </w:pPr>
      <w:r>
        <w:rPr>
          <w:rFonts w:hint="eastAsia"/>
          <w:sz w:val="28"/>
          <w:szCs w:val="28"/>
        </w:rPr>
        <w:t>1.</w:t>
      </w:r>
      <w:r>
        <w:rPr>
          <w:sz w:val="28"/>
          <w:szCs w:val="28"/>
        </w:rPr>
        <w:t>全院现有干警1</w:t>
      </w:r>
      <w:r>
        <w:rPr>
          <w:rFonts w:hint="eastAsia"/>
          <w:sz w:val="28"/>
          <w:szCs w:val="28"/>
        </w:rPr>
        <w:t>31</w:t>
      </w:r>
      <w:r>
        <w:rPr>
          <w:sz w:val="28"/>
          <w:szCs w:val="28"/>
        </w:rPr>
        <w:t>人，</w:t>
      </w:r>
      <w:r>
        <w:rPr>
          <w:rFonts w:hint="eastAsia"/>
          <w:sz w:val="28"/>
          <w:szCs w:val="28"/>
        </w:rPr>
        <w:t>政法编制98人，工勤人员14人，事业编制19人，</w:t>
      </w:r>
      <w:r>
        <w:rPr>
          <w:sz w:val="28"/>
          <w:szCs w:val="28"/>
        </w:rPr>
        <w:t>其中，研究生学历1</w:t>
      </w:r>
      <w:r>
        <w:rPr>
          <w:rFonts w:hint="eastAsia"/>
          <w:sz w:val="28"/>
          <w:szCs w:val="28"/>
        </w:rPr>
        <w:t>5</w:t>
      </w:r>
      <w:r>
        <w:rPr>
          <w:sz w:val="28"/>
          <w:szCs w:val="28"/>
        </w:rPr>
        <w:t>人，大学本科学历99人。</w:t>
      </w:r>
      <w:r>
        <w:rPr>
          <w:rFonts w:hint="eastAsia"/>
          <w:sz w:val="28"/>
          <w:szCs w:val="28"/>
          <w:lang w:eastAsia="zh-CN"/>
        </w:rPr>
        <w:t>河南省信阳市浉河区人民法院</w:t>
      </w:r>
      <w:r>
        <w:rPr>
          <w:sz w:val="28"/>
          <w:szCs w:val="28"/>
        </w:rPr>
        <w:t>现设有政治处(3人)、执行局(执行一庭、执行二庭、综合科，共1</w:t>
      </w:r>
      <w:r>
        <w:rPr>
          <w:rFonts w:hint="eastAsia"/>
          <w:sz w:val="28"/>
          <w:szCs w:val="28"/>
        </w:rPr>
        <w:t>1</w:t>
      </w:r>
      <w:r>
        <w:rPr>
          <w:sz w:val="28"/>
          <w:szCs w:val="28"/>
        </w:rPr>
        <w:t>人)、法警大队(1</w:t>
      </w:r>
      <w:r>
        <w:rPr>
          <w:rFonts w:hint="eastAsia"/>
          <w:sz w:val="28"/>
          <w:szCs w:val="28"/>
        </w:rPr>
        <w:t>6</w:t>
      </w:r>
      <w:r>
        <w:rPr>
          <w:sz w:val="28"/>
          <w:szCs w:val="28"/>
        </w:rPr>
        <w:t>人)、办公室(3人)、立案一庭(</w:t>
      </w:r>
      <w:r>
        <w:rPr>
          <w:rFonts w:hint="eastAsia"/>
          <w:sz w:val="28"/>
          <w:szCs w:val="28"/>
        </w:rPr>
        <w:t>5</w:t>
      </w:r>
      <w:r>
        <w:rPr>
          <w:sz w:val="28"/>
          <w:szCs w:val="28"/>
        </w:rPr>
        <w:t>人)、立案二庭(</w:t>
      </w:r>
      <w:r>
        <w:rPr>
          <w:rFonts w:hint="eastAsia"/>
          <w:sz w:val="28"/>
          <w:szCs w:val="28"/>
        </w:rPr>
        <w:t>4</w:t>
      </w:r>
      <w:r>
        <w:rPr>
          <w:sz w:val="28"/>
          <w:szCs w:val="28"/>
        </w:rPr>
        <w:t>人)、刑事审判第一庭(5人)、刑事审判第二庭(4人)、民事审判第一庭(6人)、民事审判第二庭(4人)、民事审判第三庭(4人)、行政审判庭(5人)、审判监督庭(4人)、</w:t>
      </w:r>
      <w:r>
        <w:rPr>
          <w:rFonts w:hint="eastAsia"/>
          <w:sz w:val="28"/>
          <w:szCs w:val="28"/>
        </w:rPr>
        <w:t>环境资源庭（1人）、</w:t>
      </w:r>
      <w:r>
        <w:rPr>
          <w:sz w:val="28"/>
          <w:szCs w:val="28"/>
        </w:rPr>
        <w:t>审管办(2人)、司法技术科(2人)，机关党委(1人)、监察室(2人)、机关服务中心(</w:t>
      </w:r>
      <w:r>
        <w:rPr>
          <w:rFonts w:hint="eastAsia"/>
          <w:sz w:val="28"/>
          <w:szCs w:val="28"/>
        </w:rPr>
        <w:t>9</w:t>
      </w:r>
      <w:r>
        <w:rPr>
          <w:sz w:val="28"/>
          <w:szCs w:val="28"/>
        </w:rPr>
        <w:t>人)共18个部门和5个人民法庭(东双河人民法庭4人、董家河人民法庭3人、李家寨法庭2人、五星人民法庭2人、游河人民法庭2人)。</w:t>
      </w:r>
    </w:p>
    <w:p>
      <w:pPr>
        <w:pStyle w:val="15"/>
        <w:shd w:val="clear" w:color="auto" w:fill="FFFFFF"/>
        <w:spacing w:line="357" w:lineRule="atLeast"/>
        <w:ind w:left="640"/>
        <w:rPr>
          <w:rFonts w:ascii="Verdana" w:hAnsi="Verdana"/>
          <w:color w:val="000000"/>
          <w:sz w:val="28"/>
          <w:szCs w:val="28"/>
        </w:rPr>
      </w:pPr>
      <w:r>
        <w:rPr>
          <w:rFonts w:hint="eastAsia"/>
          <w:sz w:val="28"/>
          <w:szCs w:val="28"/>
        </w:rPr>
        <w:t>2.</w:t>
      </w:r>
      <w:r>
        <w:rPr>
          <w:rFonts w:hint="eastAsia" w:ascii="Verdana" w:hAnsi="Verdana"/>
          <w:color w:val="000000"/>
          <w:sz w:val="28"/>
          <w:szCs w:val="28"/>
        </w:rPr>
        <w:t>职能：</w:t>
      </w:r>
      <w:r>
        <w:rPr>
          <w:rFonts w:ascii="Verdana" w:hAnsi="Verdana"/>
          <w:color w:val="000000"/>
          <w:sz w:val="28"/>
          <w:szCs w:val="28"/>
        </w:rPr>
        <w:t>依法审判本级别</w:t>
      </w:r>
      <w:r>
        <w:rPr>
          <w:rFonts w:hint="eastAsia" w:ascii="Verdana" w:hAnsi="Verdana"/>
          <w:color w:val="000000"/>
          <w:sz w:val="28"/>
          <w:szCs w:val="28"/>
          <w:lang w:eastAsia="zh-CN"/>
        </w:rPr>
        <w:t>河南省信阳市浉河区人民法院</w:t>
      </w:r>
      <w:r>
        <w:rPr>
          <w:rFonts w:ascii="Verdana" w:hAnsi="Verdana"/>
          <w:color w:val="000000"/>
          <w:sz w:val="28"/>
          <w:szCs w:val="28"/>
        </w:rPr>
        <w:t>管辖和本地域管辖的第一审刑事、民事、经济、行政案件</w:t>
      </w:r>
      <w:r>
        <w:rPr>
          <w:rFonts w:hint="eastAsia" w:ascii="Verdana" w:hAnsi="Verdana"/>
          <w:color w:val="000000"/>
          <w:sz w:val="28"/>
          <w:szCs w:val="28"/>
        </w:rPr>
        <w:t>；</w:t>
      </w:r>
      <w:r>
        <w:rPr>
          <w:rFonts w:ascii="Verdana" w:hAnsi="Verdana"/>
          <w:color w:val="000000"/>
          <w:sz w:val="28"/>
          <w:szCs w:val="28"/>
        </w:rPr>
        <w:t>依法受理符合本级别</w:t>
      </w:r>
      <w:r>
        <w:rPr>
          <w:rFonts w:hint="eastAsia" w:ascii="Verdana" w:hAnsi="Verdana"/>
          <w:color w:val="000000"/>
          <w:sz w:val="28"/>
          <w:szCs w:val="28"/>
          <w:lang w:eastAsia="zh-CN"/>
        </w:rPr>
        <w:t>河南省信阳市浉河区人民法院</w:t>
      </w:r>
      <w:r>
        <w:rPr>
          <w:rFonts w:ascii="Verdana" w:hAnsi="Verdana"/>
          <w:color w:val="000000"/>
          <w:sz w:val="28"/>
          <w:szCs w:val="28"/>
        </w:rPr>
        <w:t>和本地管辖及委托的执行案件</w:t>
      </w:r>
      <w:r>
        <w:rPr>
          <w:rFonts w:hint="eastAsia" w:ascii="Verdana" w:hAnsi="Verdana"/>
          <w:color w:val="000000"/>
          <w:sz w:val="28"/>
          <w:szCs w:val="28"/>
        </w:rPr>
        <w:t>；</w:t>
      </w:r>
      <w:r>
        <w:rPr>
          <w:rFonts w:ascii="Verdana" w:hAnsi="Verdana"/>
          <w:color w:val="000000"/>
          <w:sz w:val="28"/>
          <w:szCs w:val="28"/>
        </w:rPr>
        <w:t>受理不服本院已发生法律效力的判决、裁定等各类申诉，并依法对其中确有错误的已发生法律效力的判决、裁定和调解进行再审。</w:t>
      </w:r>
    </w:p>
    <w:p>
      <w:pPr>
        <w:pStyle w:val="15"/>
        <w:shd w:val="clear" w:color="auto" w:fill="FFFFFF"/>
        <w:spacing w:line="357" w:lineRule="atLeast"/>
        <w:ind w:left="640"/>
        <w:rPr>
          <w:rFonts w:ascii="Verdana" w:hAnsi="Verdana"/>
          <w:color w:val="000000"/>
          <w:sz w:val="28"/>
          <w:szCs w:val="28"/>
        </w:rPr>
      </w:pPr>
      <w:r>
        <w:rPr>
          <w:rFonts w:hint="eastAsia" w:ascii="Verdana" w:hAnsi="Verdana"/>
          <w:color w:val="000000"/>
          <w:sz w:val="28"/>
          <w:szCs w:val="28"/>
        </w:rPr>
        <w:t>3.我院在十九大的精神指引下，强化审判职能，忠实履行宪法和法律赋予的职责，努力让人民群众在每一个司法案件中感受到公平正义；着力提升审判质效，切实维护司法公正；以群众需求为导向，积极落实司法为民；全面加强</w:t>
      </w:r>
      <w:r>
        <w:rPr>
          <w:rFonts w:hint="eastAsia" w:ascii="Verdana" w:hAnsi="Verdana"/>
          <w:color w:val="000000"/>
          <w:sz w:val="28"/>
          <w:szCs w:val="28"/>
          <w:lang w:eastAsia="zh-CN"/>
        </w:rPr>
        <w:t>河南省信阳市浉河区人民法院</w:t>
      </w:r>
      <w:r>
        <w:rPr>
          <w:rFonts w:hint="eastAsia" w:ascii="Verdana" w:hAnsi="Verdana"/>
          <w:color w:val="000000"/>
          <w:sz w:val="28"/>
          <w:szCs w:val="28"/>
        </w:rPr>
        <w:t>建设，持续提升司法能力。</w:t>
      </w:r>
    </w:p>
    <w:p>
      <w:pPr>
        <w:jc w:val="left"/>
        <w:rPr>
          <w:rFonts w:ascii="仿宋" w:hAnsi="仿宋" w:eastAsia="仿宋" w:cs="宋体"/>
          <w:sz w:val="32"/>
          <w:szCs w:val="32"/>
        </w:rPr>
      </w:pPr>
      <w:r>
        <w:rPr>
          <w:rFonts w:hint="eastAsia" w:ascii="Verdana" w:hAnsi="Verdana"/>
          <w:color w:val="000000"/>
          <w:sz w:val="28"/>
          <w:szCs w:val="28"/>
        </w:rPr>
        <w:t>二、</w:t>
      </w:r>
      <w:r>
        <w:rPr>
          <w:rFonts w:hint="eastAsia" w:ascii="仿宋" w:hAnsi="仿宋" w:eastAsia="仿宋" w:cs="宋体"/>
          <w:sz w:val="32"/>
          <w:szCs w:val="32"/>
        </w:rPr>
        <w:t>部门预算单位构成及机构设置</w:t>
      </w:r>
    </w:p>
    <w:p>
      <w:pPr>
        <w:spacing w:line="360" w:lineRule="auto"/>
        <w:ind w:firstLine="640" w:firstLineChars="200"/>
        <w:jc w:val="left"/>
        <w:rPr>
          <w:rFonts w:ascii="宋体" w:hAnsi="宋体" w:cs="宋体"/>
          <w:sz w:val="32"/>
          <w:szCs w:val="32"/>
        </w:rPr>
      </w:pPr>
      <w:r>
        <w:rPr>
          <w:rFonts w:hint="eastAsia" w:ascii="宋体" w:hAnsi="宋体" w:cs="宋体"/>
          <w:sz w:val="32"/>
          <w:szCs w:val="32"/>
        </w:rPr>
        <w:t>1、</w:t>
      </w:r>
      <w:r>
        <w:rPr>
          <w:rFonts w:hint="eastAsia" w:ascii="宋体" w:hAnsi="宋体" w:cs="宋体"/>
          <w:sz w:val="32"/>
          <w:szCs w:val="32"/>
          <w:lang w:eastAsia="zh-CN"/>
        </w:rPr>
        <w:t>河南省信阳市浉河区人民法院</w:t>
      </w:r>
      <w:r>
        <w:rPr>
          <w:rFonts w:hint="eastAsia" w:ascii="宋体" w:hAnsi="宋体" w:cs="宋体"/>
          <w:sz w:val="32"/>
          <w:szCs w:val="32"/>
        </w:rPr>
        <w:t>部门预算单位构成是</w:t>
      </w:r>
      <w:r>
        <w:rPr>
          <w:rFonts w:hint="eastAsia" w:ascii="宋体" w:hAnsi="宋体" w:cs="宋体"/>
          <w:sz w:val="32"/>
          <w:szCs w:val="32"/>
          <w:lang w:eastAsia="zh-CN"/>
        </w:rPr>
        <w:t>河南省信阳市浉河区人民法院</w:t>
      </w:r>
      <w:r>
        <w:rPr>
          <w:rFonts w:hint="eastAsia" w:ascii="宋体" w:hAnsi="宋体" w:cs="宋体"/>
          <w:sz w:val="32"/>
          <w:szCs w:val="32"/>
        </w:rPr>
        <w:t>本级，机关服务中心是院所属二级单位，但无独立预算，本级预算是汇总预算。</w:t>
      </w:r>
    </w:p>
    <w:p>
      <w:pPr>
        <w:spacing w:line="360" w:lineRule="auto"/>
        <w:ind w:firstLine="640" w:firstLineChars="200"/>
        <w:jc w:val="left"/>
        <w:rPr>
          <w:rFonts w:ascii="宋体" w:hAnsi="宋体" w:cs="宋体"/>
          <w:sz w:val="32"/>
          <w:szCs w:val="32"/>
        </w:rPr>
      </w:pPr>
      <w:r>
        <w:rPr>
          <w:rFonts w:hint="eastAsia" w:ascii="宋体" w:hAnsi="宋体" w:cs="宋体"/>
          <w:sz w:val="32"/>
          <w:szCs w:val="32"/>
        </w:rPr>
        <w:t>2、</w:t>
      </w:r>
      <w:r>
        <w:rPr>
          <w:rFonts w:hint="eastAsia" w:ascii="宋体" w:hAnsi="宋体" w:cs="宋体"/>
          <w:sz w:val="32"/>
          <w:szCs w:val="32"/>
          <w:lang w:eastAsia="zh-CN"/>
        </w:rPr>
        <w:t>河南省信阳市浉河区人民法院</w:t>
      </w:r>
      <w:r>
        <w:rPr>
          <w:rFonts w:hint="eastAsia" w:ascii="宋体" w:hAnsi="宋体" w:cs="宋体"/>
          <w:sz w:val="32"/>
          <w:szCs w:val="32"/>
        </w:rPr>
        <w:t>机构设置</w:t>
      </w:r>
    </w:p>
    <w:p>
      <w:pPr>
        <w:spacing w:line="360" w:lineRule="auto"/>
        <w:ind w:firstLine="640" w:firstLineChars="200"/>
        <w:jc w:val="left"/>
        <w:rPr>
          <w:rFonts w:ascii="宋体" w:hAnsi="宋体" w:cs="宋体"/>
          <w:sz w:val="32"/>
          <w:szCs w:val="32"/>
        </w:rPr>
        <w:sectPr>
          <w:pgSz w:w="11906" w:h="16838"/>
          <w:pgMar w:top="1440" w:right="1800" w:bottom="1440" w:left="1800" w:header="851" w:footer="992" w:gutter="0"/>
          <w:pgNumType w:fmt="numberInDash"/>
          <w:cols w:space="425" w:num="1"/>
          <w:docGrid w:type="lines" w:linePitch="312" w:charSpace="0"/>
        </w:sectPr>
      </w:pPr>
      <w:r>
        <w:rPr>
          <w:rFonts w:hint="eastAsia" w:ascii="宋体" w:hAnsi="宋体" w:cs="宋体"/>
          <w:sz w:val="32"/>
          <w:szCs w:val="32"/>
          <w:lang w:eastAsia="zh-CN"/>
        </w:rPr>
        <w:t>河南省信阳市浉河区人民法院</w:t>
      </w:r>
      <w:r>
        <w:rPr>
          <w:rFonts w:hint="eastAsia" w:ascii="宋体" w:hAnsi="宋体" w:cs="宋体"/>
          <w:sz w:val="32"/>
          <w:szCs w:val="32"/>
        </w:rPr>
        <w:t>现设有政洺处、执行局（执行一庭，执行二庭，综合科）、法警大队、办公室、立案一庭、立案二庭、刑事审判第一庭、刑事审判第二庭、民事审判第一庭、民事审判第二庭、民事审判第三庭、行政审判庭、审判监督庭、审管办、司法技术科、机关党委、监察室、机关服务中心共18个部门和5个法庭（东双河法庭，董家河法庭，李家寨法庭，五星法庭，游河法庭）。</w:t>
      </w: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r>
        <w:rPr>
          <w:rFonts w:hint="eastAsia" w:ascii="仿宋" w:hAnsi="仿宋" w:eastAsia="仿宋" w:cs="隶书"/>
          <w:sz w:val="48"/>
          <w:szCs w:val="48"/>
        </w:rPr>
        <w:t>第</w:t>
      </w:r>
      <w:r>
        <w:rPr>
          <w:rFonts w:hint="eastAsia" w:ascii="仿宋" w:hAnsi="仿宋" w:eastAsia="仿宋" w:cs="隶书"/>
          <w:sz w:val="48"/>
          <w:szCs w:val="48"/>
          <w:lang w:val="en-US" w:eastAsia="zh-CN"/>
        </w:rPr>
        <w:t>二</w:t>
      </w:r>
      <w:r>
        <w:rPr>
          <w:rFonts w:hint="eastAsia" w:ascii="仿宋" w:hAnsi="仿宋" w:eastAsia="仿宋" w:cs="隶书"/>
          <w:sz w:val="48"/>
          <w:szCs w:val="48"/>
        </w:rPr>
        <w:t>部分</w:t>
      </w:r>
    </w:p>
    <w:p>
      <w:pPr>
        <w:jc w:val="center"/>
        <w:rPr>
          <w:rFonts w:hint="eastAsia" w:ascii="仿宋" w:hAnsi="仿宋" w:eastAsia="仿宋" w:cs="隶书"/>
          <w:sz w:val="48"/>
          <w:szCs w:val="48"/>
          <w:lang w:eastAsia="zh-CN"/>
        </w:rPr>
      </w:pPr>
      <w:r>
        <w:rPr>
          <w:rFonts w:hint="eastAsia" w:ascii="仿宋" w:hAnsi="仿宋" w:eastAsia="仿宋" w:cs="隶书"/>
          <w:sz w:val="48"/>
          <w:szCs w:val="48"/>
          <w:lang w:eastAsia="zh-CN"/>
        </w:rPr>
        <w:t>河南省信阳市浉河区人民法院</w:t>
      </w:r>
    </w:p>
    <w:p>
      <w:pPr>
        <w:jc w:val="center"/>
        <w:rPr>
          <w:rFonts w:ascii="仿宋" w:hAnsi="仿宋" w:eastAsia="仿宋" w:cs="隶书"/>
          <w:sz w:val="48"/>
          <w:szCs w:val="48"/>
        </w:rPr>
        <w:sectPr>
          <w:pgSz w:w="11905" w:h="16838"/>
          <w:pgMar w:top="1440" w:right="1803" w:bottom="1440" w:left="1803" w:header="850" w:footer="992" w:gutter="0"/>
          <w:pgNumType w:fmt="numberInDash"/>
          <w:cols w:space="0" w:num="1"/>
          <w:docGrid w:type="lines" w:linePitch="317" w:charSpace="0"/>
        </w:sectPr>
      </w:pPr>
      <w:r>
        <w:rPr>
          <w:rFonts w:ascii="仿宋" w:hAnsi="仿宋" w:eastAsia="仿宋" w:cs="隶书"/>
          <w:sz w:val="48"/>
          <w:szCs w:val="48"/>
        </w:rPr>
        <w:t>20</w:t>
      </w:r>
      <w:r>
        <w:rPr>
          <w:rFonts w:hint="eastAsia" w:ascii="仿宋" w:hAnsi="仿宋" w:eastAsia="仿宋" w:cs="隶书"/>
          <w:sz w:val="48"/>
          <w:szCs w:val="48"/>
        </w:rPr>
        <w:t>20年度部门预算情况说明</w:t>
      </w:r>
    </w:p>
    <w:p>
      <w:pPr>
        <w:kinsoku w:val="0"/>
        <w:overflowPunct w:val="0"/>
        <w:autoSpaceDE w:val="0"/>
        <w:autoSpaceDN w:val="0"/>
        <w:adjustRightInd w:val="0"/>
        <w:snapToGrid w:val="0"/>
        <w:spacing w:line="360" w:lineRule="auto"/>
        <w:rPr>
          <w:rFonts w:ascii="仿宋" w:hAnsi="仿宋" w:eastAsia="仿宋"/>
          <w:sz w:val="32"/>
          <w:szCs w:val="32"/>
        </w:rPr>
      </w:pPr>
    </w:p>
    <w:p>
      <w:pPr>
        <w:numPr>
          <w:ilvl w:val="0"/>
          <w:numId w:val="0"/>
        </w:numPr>
        <w:adjustRightInd w:val="0"/>
        <w:snapToGrid w:val="0"/>
        <w:spacing w:line="360" w:lineRule="auto"/>
        <w:ind w:firstLine="643" w:firstLineChars="200"/>
        <w:outlineLvl w:val="1"/>
        <w:rPr>
          <w:rFonts w:hint="eastAsia" w:ascii="仿宋" w:hAnsi="仿宋" w:eastAsia="仿宋" w:cs="仿宋"/>
          <w:b/>
          <w:bCs/>
          <w:sz w:val="32"/>
          <w:szCs w:val="32"/>
        </w:rPr>
      </w:pPr>
      <w:r>
        <w:rPr>
          <w:rFonts w:hint="eastAsia" w:ascii="仿宋" w:hAnsi="仿宋" w:eastAsia="仿宋"/>
          <w:b/>
          <w:bCs/>
          <w:sz w:val="32"/>
          <w:szCs w:val="32"/>
        </w:rPr>
        <w:t>一．</w:t>
      </w:r>
      <w:r>
        <w:rPr>
          <w:rFonts w:hint="eastAsia" w:ascii="仿宋" w:hAnsi="仿宋" w:eastAsia="仿宋" w:cs="仿宋"/>
          <w:b/>
          <w:bCs/>
          <w:sz w:val="32"/>
          <w:szCs w:val="32"/>
        </w:rPr>
        <w:t>收入支出</w:t>
      </w:r>
      <w:r>
        <w:rPr>
          <w:rFonts w:hint="eastAsia" w:ascii="仿宋" w:hAnsi="仿宋" w:eastAsia="仿宋" w:cs="仿宋"/>
          <w:b/>
          <w:bCs/>
          <w:sz w:val="32"/>
          <w:szCs w:val="32"/>
          <w:lang w:eastAsia="zh-CN"/>
        </w:rPr>
        <w:t>预算</w:t>
      </w:r>
      <w:r>
        <w:rPr>
          <w:rFonts w:hint="eastAsia" w:ascii="仿宋" w:hAnsi="仿宋" w:eastAsia="仿宋" w:cs="仿宋"/>
          <w:b/>
          <w:bCs/>
          <w:sz w:val="32"/>
          <w:szCs w:val="32"/>
        </w:rPr>
        <w:t>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9</w:t>
      </w:r>
      <w:r>
        <w:rPr>
          <w:rFonts w:hint="eastAsia" w:ascii="仿宋_GB2312" w:hAnsi="宋体" w:eastAsia="仿宋_GB2312" w:cs="Courier New"/>
          <w:sz w:val="32"/>
          <w:szCs w:val="32"/>
        </w:rPr>
        <w:t>年度收入</w:t>
      </w:r>
      <w:r>
        <w:rPr>
          <w:rFonts w:hint="eastAsia" w:ascii="仿宋_GB2312" w:hAnsi="宋体" w:eastAsia="仿宋_GB2312" w:cs="Courier New"/>
          <w:sz w:val="32"/>
          <w:szCs w:val="32"/>
          <w:lang w:eastAsia="zh-CN"/>
        </w:rPr>
        <w:t>支出</w:t>
      </w:r>
      <w:r>
        <w:rPr>
          <w:rFonts w:hint="eastAsia" w:ascii="仿宋_GB2312" w:hAnsi="宋体" w:eastAsia="仿宋_GB2312" w:cs="Courier New"/>
          <w:sz w:val="32"/>
          <w:szCs w:val="32"/>
        </w:rPr>
        <w:t>总计</w:t>
      </w:r>
      <w:r>
        <w:rPr>
          <w:rFonts w:hint="eastAsia" w:ascii="仿宋_GB2312" w:hAnsi="宋体" w:eastAsia="仿宋_GB2312" w:cs="Courier New"/>
          <w:sz w:val="32"/>
          <w:szCs w:val="32"/>
          <w:lang w:eastAsia="zh-CN"/>
        </w:rPr>
        <w:t>均为</w:t>
      </w:r>
      <w:r>
        <w:rPr>
          <w:rFonts w:hint="eastAsia" w:ascii="仿宋_GB2312" w:hAnsi="宋体" w:eastAsia="仿宋_GB2312" w:cs="Courier New"/>
          <w:sz w:val="32"/>
          <w:szCs w:val="32"/>
          <w:lang w:val="en-US" w:eastAsia="zh-CN"/>
        </w:rPr>
        <w:t>4307</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rPr>
        <w:t>与</w:t>
      </w:r>
      <w:r>
        <w:rPr>
          <w:rFonts w:hint="eastAsia" w:ascii="仿宋_GB2312" w:hAnsi="宋体" w:eastAsia="仿宋_GB2312" w:cs="Courier New"/>
          <w:sz w:val="32"/>
          <w:szCs w:val="32"/>
          <w:lang w:eastAsia="zh-CN"/>
        </w:rPr>
        <w:t>上年度</w:t>
      </w:r>
      <w:r>
        <w:rPr>
          <w:rFonts w:hint="eastAsia" w:ascii="仿宋_GB2312" w:hAnsi="宋体" w:eastAsia="仿宋_GB2312" w:cs="Courier New"/>
          <w:sz w:val="32"/>
          <w:szCs w:val="32"/>
        </w:rPr>
        <w:t>相比，收、支总计各增加</w:t>
      </w:r>
      <w:r>
        <w:rPr>
          <w:rFonts w:hint="eastAsia" w:ascii="仿宋_GB2312" w:hAnsi="宋体" w:eastAsia="仿宋_GB2312" w:cs="Courier New"/>
          <w:sz w:val="32"/>
          <w:szCs w:val="32"/>
          <w:lang w:val="en-US" w:eastAsia="zh-CN"/>
        </w:rPr>
        <w:t>847万</w:t>
      </w:r>
      <w:r>
        <w:rPr>
          <w:rFonts w:hint="eastAsia" w:ascii="仿宋_GB2312" w:hAnsi="宋体" w:eastAsia="仿宋_GB2312" w:cs="Courier New"/>
          <w:sz w:val="32"/>
          <w:szCs w:val="32"/>
        </w:rPr>
        <w:t>元，增长</w:t>
      </w:r>
      <w:r>
        <w:rPr>
          <w:rFonts w:hint="eastAsia" w:ascii="仿宋_GB2312" w:hAnsi="宋体" w:eastAsia="仿宋_GB2312" w:cs="Courier New"/>
          <w:sz w:val="32"/>
          <w:szCs w:val="32"/>
          <w:lang w:val="en-US" w:eastAsia="zh-CN"/>
        </w:rPr>
        <w:t>19.7</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增加原因一是案件较去年预计增加，办公办案经费相应的增加很多；二是新进人员</w:t>
      </w:r>
      <w:r>
        <w:rPr>
          <w:rFonts w:hint="eastAsia" w:ascii="仿宋_GB2312" w:hAnsi="宋体" w:eastAsia="仿宋_GB2312" w:cs="Courier New"/>
          <w:sz w:val="32"/>
          <w:szCs w:val="32"/>
          <w:lang w:val="en-US" w:eastAsia="zh-CN"/>
        </w:rPr>
        <w:t>和聘任制书记员增加，人员经费也相应增加。</w:t>
      </w:r>
    </w:p>
    <w:p>
      <w:pPr>
        <w:kinsoku w:val="0"/>
        <w:overflowPunct w:val="0"/>
        <w:autoSpaceDE w:val="0"/>
        <w:autoSpaceDN w:val="0"/>
        <w:adjustRightInd w:val="0"/>
        <w:snapToGrid w:val="0"/>
        <w:spacing w:line="360" w:lineRule="auto"/>
        <w:ind w:firstLine="643" w:firstLineChars="200"/>
        <w:rPr>
          <w:rFonts w:ascii="仿宋" w:hAnsi="仿宋" w:eastAsia="仿宋"/>
          <w:b/>
          <w:bCs/>
          <w:sz w:val="32"/>
          <w:szCs w:val="32"/>
        </w:rPr>
      </w:pPr>
      <w:r>
        <w:rPr>
          <w:rFonts w:hint="eastAsia" w:ascii="仿宋" w:hAnsi="仿宋" w:eastAsia="仿宋"/>
          <w:b/>
          <w:bCs/>
          <w:sz w:val="32"/>
          <w:szCs w:val="32"/>
          <w:lang w:eastAsia="zh-CN"/>
        </w:rPr>
        <w:t>二、</w:t>
      </w:r>
      <w:r>
        <w:rPr>
          <w:rFonts w:hint="eastAsia" w:ascii="仿宋" w:hAnsi="仿宋" w:eastAsia="仿宋"/>
          <w:b/>
          <w:bCs/>
          <w:sz w:val="32"/>
          <w:szCs w:val="32"/>
        </w:rPr>
        <w:t>收入预算总体情况说明</w:t>
      </w:r>
    </w:p>
    <w:p>
      <w:pPr>
        <w:kinsoku w:val="0"/>
        <w:overflowPunct w:val="0"/>
        <w:autoSpaceDE w:val="0"/>
        <w:autoSpaceDN w:val="0"/>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2020年度收入4307万元，其中预算财政拨款收入</w:t>
      </w:r>
      <w:r>
        <w:rPr>
          <w:rFonts w:hint="eastAsia" w:ascii="仿宋" w:hAnsi="仿宋" w:eastAsia="仿宋"/>
          <w:sz w:val="32"/>
          <w:szCs w:val="32"/>
          <w:lang w:val="en-US" w:eastAsia="zh-CN"/>
        </w:rPr>
        <w:t>1809</w:t>
      </w:r>
      <w:r>
        <w:rPr>
          <w:rFonts w:hint="eastAsia" w:ascii="仿宋" w:hAnsi="仿宋" w:eastAsia="仿宋"/>
          <w:sz w:val="32"/>
          <w:szCs w:val="32"/>
        </w:rPr>
        <w:t>万元。资金来源为财政拨款1879万、上级中央转移支付328万元、非税收入2100万元。案件的数量增多和单位人员的增加，相应行政运行费用增加，财政拨款收入也应增多。聘任制书记员增加到66人，诉讼服务大厅的建设，非税收入也应增多。</w:t>
      </w:r>
    </w:p>
    <w:p>
      <w:pPr>
        <w:kinsoku w:val="0"/>
        <w:overflowPunct w:val="0"/>
        <w:autoSpaceDE w:val="0"/>
        <w:autoSpaceDN w:val="0"/>
        <w:adjustRightInd w:val="0"/>
        <w:snapToGrid w:val="0"/>
        <w:spacing w:line="360" w:lineRule="auto"/>
        <w:ind w:firstLine="643" w:firstLineChars="200"/>
        <w:rPr>
          <w:rFonts w:ascii="仿宋" w:hAnsi="仿宋" w:eastAsia="仿宋"/>
          <w:b/>
          <w:bCs/>
          <w:sz w:val="32"/>
          <w:szCs w:val="32"/>
        </w:rPr>
      </w:pPr>
      <w:r>
        <w:rPr>
          <w:rFonts w:hint="eastAsia" w:ascii="仿宋" w:hAnsi="仿宋" w:eastAsia="仿宋"/>
          <w:b/>
          <w:bCs/>
          <w:sz w:val="32"/>
          <w:szCs w:val="32"/>
          <w:lang w:val="en-US" w:eastAsia="zh-CN"/>
        </w:rPr>
        <w:t>三</w:t>
      </w:r>
      <w:r>
        <w:rPr>
          <w:rFonts w:hint="eastAsia" w:ascii="仿宋" w:hAnsi="仿宋" w:eastAsia="仿宋"/>
          <w:b/>
          <w:bCs/>
          <w:sz w:val="32"/>
          <w:szCs w:val="32"/>
        </w:rPr>
        <w:t>.支出预算总体情况说明</w:t>
      </w:r>
    </w:p>
    <w:p>
      <w:pPr>
        <w:kinsoku w:val="0"/>
        <w:overflowPunct w:val="0"/>
        <w:autoSpaceDE w:val="0"/>
        <w:autoSpaceDN w:val="0"/>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2020年度预算支出4307万元，其中基本支出1809万元，</w:t>
      </w:r>
      <w:r>
        <w:rPr>
          <w:rFonts w:hint="eastAsia" w:ascii="仿宋" w:hAnsi="仿宋" w:eastAsia="仿宋"/>
          <w:sz w:val="32"/>
          <w:szCs w:val="32"/>
          <w:lang w:val="en-US" w:eastAsia="zh-CN"/>
        </w:rPr>
        <w:t>占比年初预算支出42%；</w:t>
      </w:r>
      <w:r>
        <w:rPr>
          <w:rFonts w:hint="eastAsia" w:ascii="仿宋" w:hAnsi="仿宋" w:eastAsia="仿宋"/>
          <w:sz w:val="32"/>
          <w:szCs w:val="32"/>
        </w:rPr>
        <w:t>项目支出2498万元，</w:t>
      </w:r>
      <w:r>
        <w:rPr>
          <w:rFonts w:hint="eastAsia" w:ascii="仿宋" w:hAnsi="仿宋" w:eastAsia="仿宋"/>
          <w:sz w:val="32"/>
          <w:szCs w:val="32"/>
          <w:lang w:val="en-US" w:eastAsia="zh-CN"/>
        </w:rPr>
        <w:t>占比年初预算支出58%。</w:t>
      </w:r>
    </w:p>
    <w:p>
      <w:pPr>
        <w:numPr>
          <w:ilvl w:val="0"/>
          <w:numId w:val="0"/>
        </w:numPr>
        <w:adjustRightInd w:val="0"/>
        <w:snapToGrid w:val="0"/>
        <w:spacing w:line="360" w:lineRule="auto"/>
        <w:ind w:firstLine="643" w:firstLineChars="200"/>
        <w:outlineLvl w:val="1"/>
        <w:rPr>
          <w:rFonts w:hint="eastAsia" w:ascii="仿宋" w:hAnsi="仿宋" w:eastAsia="仿宋" w:cs="仿宋"/>
          <w:b/>
          <w:bCs/>
          <w:sz w:val="32"/>
          <w:szCs w:val="32"/>
        </w:rPr>
      </w:pPr>
      <w:r>
        <w:rPr>
          <w:rFonts w:hint="eastAsia" w:ascii="仿宋" w:hAnsi="仿宋" w:eastAsia="仿宋"/>
          <w:b/>
          <w:bCs/>
          <w:sz w:val="32"/>
          <w:szCs w:val="32"/>
          <w:lang w:eastAsia="zh-CN"/>
        </w:rPr>
        <w:t>四、</w:t>
      </w:r>
      <w:r>
        <w:rPr>
          <w:rFonts w:hint="eastAsia" w:ascii="仿宋" w:hAnsi="仿宋" w:eastAsia="仿宋" w:cs="仿宋"/>
          <w:b/>
          <w:bCs/>
          <w:sz w:val="32"/>
          <w:szCs w:val="32"/>
        </w:rPr>
        <w:t>财政拨款收入支出</w:t>
      </w:r>
      <w:r>
        <w:rPr>
          <w:rFonts w:hint="eastAsia" w:ascii="仿宋" w:hAnsi="仿宋" w:eastAsia="仿宋" w:cs="仿宋"/>
          <w:b/>
          <w:bCs/>
          <w:sz w:val="32"/>
          <w:szCs w:val="32"/>
          <w:lang w:eastAsia="zh-CN"/>
        </w:rPr>
        <w:t>预算</w:t>
      </w:r>
      <w:r>
        <w:rPr>
          <w:rFonts w:hint="eastAsia" w:ascii="仿宋" w:hAnsi="仿宋" w:eastAsia="仿宋" w:cs="仿宋"/>
          <w:b/>
          <w:bCs/>
          <w:sz w:val="32"/>
          <w:szCs w:val="32"/>
        </w:rPr>
        <w:t>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w:t>
      </w:r>
      <w:r>
        <w:rPr>
          <w:rFonts w:hint="eastAsia" w:ascii="仿宋_GB2312" w:hAnsi="宋体" w:eastAsia="仿宋_GB2312" w:cs="Courier New"/>
          <w:sz w:val="32"/>
          <w:szCs w:val="32"/>
          <w:lang w:val="en-US" w:eastAsia="zh-CN"/>
        </w:rPr>
        <w:t>20</w:t>
      </w:r>
      <w:r>
        <w:rPr>
          <w:rFonts w:hint="eastAsia" w:ascii="仿宋_GB2312" w:hAnsi="宋体" w:eastAsia="仿宋_GB2312" w:cs="Courier New"/>
          <w:sz w:val="32"/>
          <w:szCs w:val="32"/>
        </w:rPr>
        <w:t>年财政拨款</w:t>
      </w:r>
      <w:r>
        <w:rPr>
          <w:rFonts w:hint="eastAsia" w:ascii="仿宋_GB2312" w:hAnsi="宋体" w:eastAsia="仿宋_GB2312" w:cs="Courier New"/>
          <w:sz w:val="32"/>
          <w:szCs w:val="32"/>
          <w:lang w:eastAsia="zh-CN"/>
        </w:rPr>
        <w:t>预算</w:t>
      </w:r>
      <w:r>
        <w:rPr>
          <w:rFonts w:hint="eastAsia" w:ascii="仿宋_GB2312" w:hAnsi="宋体" w:eastAsia="仿宋_GB2312" w:cs="Courier New"/>
          <w:sz w:val="32"/>
          <w:szCs w:val="32"/>
        </w:rPr>
        <w:t>收</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rPr>
        <w:t>支总</w:t>
      </w:r>
      <w:r>
        <w:rPr>
          <w:rFonts w:hint="eastAsia" w:ascii="仿宋_GB2312" w:hAnsi="宋体" w:eastAsia="仿宋_GB2312" w:cs="Courier New"/>
          <w:sz w:val="32"/>
          <w:szCs w:val="32"/>
          <w:lang w:eastAsia="zh-CN"/>
        </w:rPr>
        <w:t>计均为</w:t>
      </w:r>
      <w:r>
        <w:rPr>
          <w:rFonts w:hint="eastAsia" w:ascii="仿宋_GB2312" w:hAnsi="宋体" w:eastAsia="仿宋_GB2312" w:cs="Courier New"/>
          <w:sz w:val="32"/>
          <w:szCs w:val="32"/>
          <w:lang w:val="en-US" w:eastAsia="zh-CN"/>
        </w:rPr>
        <w:t>4307</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其中公共安全支出</w:t>
      </w:r>
      <w:r>
        <w:rPr>
          <w:rFonts w:hint="eastAsia" w:ascii="仿宋_GB2312" w:hAnsi="宋体" w:eastAsia="仿宋_GB2312" w:cs="Courier New"/>
          <w:sz w:val="32"/>
          <w:szCs w:val="32"/>
          <w:lang w:val="en-US" w:eastAsia="zh-CN"/>
        </w:rPr>
        <w:t>3938.7万元，社会保障支出236.3万元，住房保障支出132万元，</w:t>
      </w:r>
      <w:r>
        <w:rPr>
          <w:rFonts w:hint="eastAsia" w:ascii="仿宋_GB2312" w:hAnsi="宋体" w:eastAsia="仿宋_GB2312" w:cs="Courier New"/>
          <w:sz w:val="32"/>
          <w:szCs w:val="32"/>
        </w:rPr>
        <w:t>与</w:t>
      </w:r>
      <w:r>
        <w:rPr>
          <w:rFonts w:hint="eastAsia" w:ascii="仿宋_GB2312" w:hAnsi="宋体" w:eastAsia="仿宋_GB2312" w:cs="Courier New"/>
          <w:sz w:val="32"/>
          <w:szCs w:val="32"/>
          <w:lang w:eastAsia="zh-CN"/>
        </w:rPr>
        <w:t>上</w:t>
      </w:r>
      <w:r>
        <w:rPr>
          <w:rFonts w:hint="eastAsia" w:ascii="仿宋_GB2312" w:hAnsi="宋体" w:eastAsia="仿宋_GB2312" w:cs="Courier New"/>
          <w:sz w:val="32"/>
          <w:szCs w:val="32"/>
        </w:rPr>
        <w:t>年</w:t>
      </w:r>
      <w:r>
        <w:rPr>
          <w:rFonts w:hint="eastAsia" w:ascii="仿宋_GB2312" w:hAnsi="宋体" w:eastAsia="仿宋_GB2312" w:cs="Courier New"/>
          <w:sz w:val="32"/>
          <w:szCs w:val="32"/>
          <w:lang w:eastAsia="zh-CN"/>
        </w:rPr>
        <w:t>度</w:t>
      </w:r>
      <w:r>
        <w:rPr>
          <w:rFonts w:hint="eastAsia" w:ascii="仿宋_GB2312" w:hAnsi="宋体" w:eastAsia="仿宋_GB2312" w:cs="Courier New"/>
          <w:sz w:val="32"/>
          <w:szCs w:val="32"/>
        </w:rPr>
        <w:t>相比，财政拨款</w:t>
      </w:r>
      <w:r>
        <w:rPr>
          <w:rFonts w:hint="eastAsia" w:ascii="仿宋_GB2312" w:hAnsi="宋体" w:eastAsia="仿宋_GB2312" w:cs="Courier New"/>
          <w:sz w:val="32"/>
          <w:szCs w:val="32"/>
          <w:lang w:eastAsia="zh-CN"/>
        </w:rPr>
        <w:t>预算</w:t>
      </w:r>
      <w:r>
        <w:rPr>
          <w:rFonts w:hint="eastAsia" w:ascii="仿宋_GB2312" w:hAnsi="宋体" w:eastAsia="仿宋_GB2312" w:cs="Courier New"/>
          <w:sz w:val="32"/>
          <w:szCs w:val="32"/>
        </w:rPr>
        <w:t>收、支</w:t>
      </w:r>
      <w:r>
        <w:rPr>
          <w:rFonts w:hint="eastAsia" w:ascii="仿宋_GB2312" w:hAnsi="宋体" w:eastAsia="仿宋_GB2312" w:cs="Courier New"/>
          <w:sz w:val="32"/>
          <w:szCs w:val="32"/>
          <w:lang w:eastAsia="zh-CN"/>
        </w:rPr>
        <w:t>总计均有</w:t>
      </w:r>
      <w:r>
        <w:rPr>
          <w:rFonts w:hint="eastAsia" w:ascii="仿宋_GB2312" w:hAnsi="宋体" w:eastAsia="仿宋_GB2312" w:cs="Courier New"/>
          <w:sz w:val="32"/>
          <w:szCs w:val="32"/>
        </w:rPr>
        <w:t>增加，</w:t>
      </w:r>
      <w:r>
        <w:rPr>
          <w:rFonts w:hint="eastAsia" w:ascii="仿宋_GB2312" w:hAnsi="宋体" w:eastAsia="仿宋_GB2312" w:cs="Courier New"/>
          <w:sz w:val="32"/>
          <w:szCs w:val="32"/>
          <w:lang w:eastAsia="zh-CN"/>
        </w:rPr>
        <w:t>增加原因一是案件呈逐年年增长，办公办案经费相应的增加；二是新进人员和</w:t>
      </w:r>
      <w:r>
        <w:rPr>
          <w:rFonts w:hint="eastAsia" w:ascii="仿宋_GB2312" w:hAnsi="宋体" w:eastAsia="仿宋_GB2312" w:cs="Courier New"/>
          <w:sz w:val="32"/>
          <w:szCs w:val="32"/>
          <w:lang w:val="en-US" w:eastAsia="zh-CN"/>
        </w:rPr>
        <w:t>聘任制书记员增加，人员经费也相应增加。</w:t>
      </w:r>
    </w:p>
    <w:p>
      <w:pPr>
        <w:kinsoku w:val="0"/>
        <w:overflowPunct w:val="0"/>
        <w:autoSpaceDE w:val="0"/>
        <w:autoSpaceDN w:val="0"/>
        <w:adjustRightInd w:val="0"/>
        <w:snapToGrid w:val="0"/>
        <w:spacing w:line="360" w:lineRule="auto"/>
        <w:ind w:firstLine="643" w:firstLineChars="200"/>
        <w:rPr>
          <w:rFonts w:ascii="仿宋" w:hAnsi="仿宋" w:eastAsia="仿宋"/>
          <w:b/>
          <w:bCs/>
          <w:sz w:val="32"/>
          <w:szCs w:val="32"/>
        </w:rPr>
      </w:pPr>
      <w:r>
        <w:rPr>
          <w:rFonts w:hint="eastAsia" w:ascii="仿宋" w:hAnsi="仿宋" w:eastAsia="仿宋"/>
          <w:b/>
          <w:bCs/>
          <w:sz w:val="32"/>
          <w:szCs w:val="32"/>
          <w:lang w:val="en-US" w:eastAsia="zh-CN"/>
        </w:rPr>
        <w:t>五</w:t>
      </w:r>
      <w:r>
        <w:rPr>
          <w:rFonts w:hint="eastAsia" w:ascii="仿宋" w:hAnsi="仿宋" w:eastAsia="仿宋"/>
          <w:b/>
          <w:bCs/>
          <w:sz w:val="32"/>
          <w:szCs w:val="32"/>
        </w:rPr>
        <w:t>.一般公共预算支出预算情况说明</w:t>
      </w:r>
    </w:p>
    <w:p>
      <w:pPr>
        <w:kinsoku w:val="0"/>
        <w:overflowPunct w:val="0"/>
        <w:autoSpaceDE w:val="0"/>
        <w:autoSpaceDN w:val="0"/>
        <w:adjustRightInd w:val="0"/>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2020年度预算拨款支出4307万元，其中基本支出1809万元，分别为工资福利支出1,447.8万元，占年初预算为33.62%、商品服务支出301.2万元，占年初预算为6.99%、对个人和家庭补助支出60万元，占年初预算为1.39%；项目支出2498万元，占年初预算为58%，分别为司法救助50万元、法警补贴8万元、陪审员费用6万元、书记员费用250万、退费备用金850万、办公经费550万、两庭建设450万、纪检派驻经费6万、上级转移支付328万。</w:t>
      </w:r>
    </w:p>
    <w:p>
      <w:pPr>
        <w:numPr>
          <w:ilvl w:val="0"/>
          <w:numId w:val="0"/>
        </w:numPr>
        <w:kinsoku w:val="0"/>
        <w:overflowPunct w:val="0"/>
        <w:autoSpaceDE w:val="0"/>
        <w:autoSpaceDN w:val="0"/>
        <w:adjustRightInd w:val="0"/>
        <w:snapToGrid w:val="0"/>
        <w:spacing w:line="360" w:lineRule="auto"/>
        <w:ind w:firstLine="964" w:firstLineChars="300"/>
        <w:rPr>
          <w:rFonts w:ascii="仿宋" w:hAnsi="仿宋" w:eastAsia="仿宋"/>
          <w:b/>
          <w:bCs/>
          <w:sz w:val="32"/>
          <w:szCs w:val="32"/>
        </w:rPr>
      </w:pPr>
      <w:r>
        <w:rPr>
          <w:rFonts w:hint="eastAsia" w:ascii="仿宋" w:hAnsi="仿宋" w:eastAsia="仿宋"/>
          <w:b/>
          <w:bCs/>
          <w:sz w:val="32"/>
          <w:szCs w:val="32"/>
          <w:lang w:val="en-US" w:eastAsia="zh-CN"/>
        </w:rPr>
        <w:t>六</w:t>
      </w:r>
      <w:r>
        <w:rPr>
          <w:rFonts w:hint="eastAsia" w:ascii="仿宋" w:hAnsi="仿宋" w:eastAsia="仿宋"/>
          <w:b/>
          <w:bCs/>
          <w:sz w:val="32"/>
          <w:szCs w:val="32"/>
          <w:lang w:eastAsia="zh-CN"/>
        </w:rPr>
        <w:t>、</w:t>
      </w:r>
      <w:r>
        <w:rPr>
          <w:rFonts w:hint="eastAsia" w:ascii="仿宋" w:hAnsi="仿宋" w:eastAsia="仿宋"/>
          <w:b/>
          <w:bCs/>
          <w:sz w:val="32"/>
          <w:szCs w:val="32"/>
        </w:rPr>
        <w:t>一般公共预算基本支出预算情况说明</w:t>
      </w:r>
    </w:p>
    <w:p>
      <w:pPr>
        <w:kinsoku w:val="0"/>
        <w:overflowPunct w:val="0"/>
        <w:autoSpaceDE w:val="0"/>
        <w:autoSpaceDN w:val="0"/>
        <w:adjustRightInd w:val="0"/>
        <w:snapToGrid w:val="0"/>
        <w:spacing w:line="360" w:lineRule="auto"/>
        <w:rPr>
          <w:rFonts w:ascii="仿宋" w:hAnsi="仿宋" w:eastAsia="仿宋"/>
          <w:sz w:val="32"/>
          <w:szCs w:val="32"/>
        </w:rPr>
      </w:pPr>
      <w:r>
        <w:rPr>
          <w:rFonts w:hint="eastAsia" w:ascii="仿宋" w:hAnsi="仿宋" w:eastAsia="仿宋"/>
          <w:sz w:val="32"/>
          <w:szCs w:val="32"/>
        </w:rPr>
        <w:t xml:space="preserve">      2020年一般公共预算基本支出1809万元，其中：人员经费1507.8万元，分别为工资福利支出1447.8万元、个人家庭补助支出60万元，主要包括基本工资、津贴补贴、奖金、绩效工资、离退休费、抚恤、五险一金等；公用经费301.2万元，主要包括办公费、印刷费、水电费、差旅费、维修费、招待费、公务用车运行费等。</w:t>
      </w:r>
    </w:p>
    <w:p>
      <w:pPr>
        <w:kinsoku w:val="0"/>
        <w:overflowPunct w:val="0"/>
        <w:autoSpaceDE w:val="0"/>
        <w:autoSpaceDN w:val="0"/>
        <w:adjustRightInd w:val="0"/>
        <w:snapToGrid w:val="0"/>
        <w:spacing w:line="360" w:lineRule="auto"/>
        <w:ind w:left="420" w:leftChars="200"/>
        <w:rPr>
          <w:rFonts w:ascii="仿宋" w:hAnsi="仿宋" w:eastAsia="仿宋"/>
          <w:b/>
          <w:bCs/>
          <w:sz w:val="32"/>
          <w:szCs w:val="32"/>
        </w:rPr>
      </w:pPr>
      <w:r>
        <w:rPr>
          <w:rFonts w:hint="eastAsia" w:ascii="仿宋" w:hAnsi="仿宋" w:eastAsia="仿宋"/>
          <w:b/>
          <w:bCs/>
          <w:sz w:val="32"/>
          <w:szCs w:val="32"/>
          <w:lang w:val="en-US" w:eastAsia="zh-CN"/>
        </w:rPr>
        <w:t>七</w:t>
      </w:r>
      <w:r>
        <w:rPr>
          <w:rFonts w:hint="eastAsia" w:ascii="仿宋" w:hAnsi="仿宋" w:eastAsia="仿宋"/>
          <w:b/>
          <w:bCs/>
          <w:sz w:val="32"/>
          <w:szCs w:val="32"/>
        </w:rPr>
        <w:t>．三公经费支出预算情况说明</w:t>
      </w:r>
    </w:p>
    <w:p>
      <w:pPr>
        <w:kinsoku w:val="0"/>
        <w:overflowPunct w:val="0"/>
        <w:autoSpaceDE w:val="0"/>
        <w:autoSpaceDN w:val="0"/>
        <w:adjustRightInd w:val="0"/>
        <w:snapToGrid w:val="0"/>
        <w:spacing w:line="360" w:lineRule="auto"/>
        <w:ind w:left="420" w:leftChars="200"/>
        <w:rPr>
          <w:rFonts w:ascii="仿宋" w:hAnsi="仿宋" w:eastAsia="仿宋"/>
          <w:sz w:val="32"/>
          <w:szCs w:val="32"/>
        </w:rPr>
      </w:pPr>
      <w:r>
        <w:rPr>
          <w:rFonts w:hint="eastAsia" w:ascii="仿宋" w:hAnsi="仿宋" w:eastAsia="仿宋"/>
          <w:sz w:val="32"/>
          <w:szCs w:val="32"/>
        </w:rPr>
        <w:t>我院2020年三公经费预算为60万元，和2019年基本持平。</w:t>
      </w:r>
    </w:p>
    <w:p>
      <w:pPr>
        <w:kinsoku w:val="0"/>
        <w:overflowPunct w:val="0"/>
        <w:autoSpaceDE w:val="0"/>
        <w:autoSpaceDN w:val="0"/>
        <w:adjustRightInd w:val="0"/>
        <w:snapToGrid w:val="0"/>
        <w:spacing w:line="360" w:lineRule="auto"/>
        <w:ind w:left="420" w:leftChars="200"/>
        <w:rPr>
          <w:rFonts w:ascii="仿宋" w:hAnsi="仿宋" w:eastAsia="仿宋"/>
          <w:sz w:val="32"/>
          <w:szCs w:val="32"/>
        </w:rPr>
      </w:pPr>
      <w:r>
        <w:rPr>
          <w:rFonts w:hint="eastAsia" w:ascii="仿宋" w:hAnsi="仿宋" w:eastAsia="仿宋"/>
          <w:sz w:val="32"/>
          <w:szCs w:val="32"/>
        </w:rPr>
        <w:t>具体支出情况如下</w:t>
      </w:r>
    </w:p>
    <w:p>
      <w:pPr>
        <w:numPr>
          <w:ilvl w:val="0"/>
          <w:numId w:val="2"/>
        </w:numPr>
        <w:kinsoku w:val="0"/>
        <w:overflowPunct w:val="0"/>
        <w:autoSpaceDE w:val="0"/>
        <w:autoSpaceDN w:val="0"/>
        <w:adjustRightInd w:val="0"/>
        <w:snapToGrid w:val="0"/>
        <w:spacing w:line="360" w:lineRule="auto"/>
        <w:ind w:left="420" w:leftChars="200"/>
        <w:rPr>
          <w:rFonts w:ascii="仿宋" w:hAnsi="仿宋" w:eastAsia="仿宋"/>
          <w:sz w:val="32"/>
          <w:szCs w:val="32"/>
        </w:rPr>
      </w:pPr>
      <w:r>
        <w:rPr>
          <w:rFonts w:hint="eastAsia" w:ascii="仿宋" w:hAnsi="仿宋" w:eastAsia="仿宋"/>
          <w:sz w:val="32"/>
          <w:szCs w:val="32"/>
        </w:rPr>
        <w:t>因公出国</w:t>
      </w:r>
      <w:r>
        <w:rPr>
          <w:rFonts w:hint="eastAsia" w:ascii="仿宋" w:hAnsi="仿宋" w:eastAsia="仿宋"/>
          <w:sz w:val="32"/>
          <w:szCs w:val="32"/>
          <w:lang w:eastAsia="zh-CN"/>
        </w:rPr>
        <w:t>（</w:t>
      </w:r>
      <w:r>
        <w:rPr>
          <w:rFonts w:hint="eastAsia" w:ascii="仿宋" w:hAnsi="仿宋" w:eastAsia="仿宋"/>
          <w:sz w:val="32"/>
          <w:szCs w:val="32"/>
          <w:lang w:val="en-US" w:eastAsia="zh-CN"/>
        </w:rPr>
        <w:t>境）</w:t>
      </w:r>
      <w:r>
        <w:rPr>
          <w:rFonts w:hint="eastAsia" w:ascii="仿宋" w:hAnsi="仿宋" w:eastAsia="仿宋"/>
          <w:sz w:val="32"/>
          <w:szCs w:val="32"/>
        </w:rPr>
        <w:t>费用</w:t>
      </w:r>
      <w:r>
        <w:rPr>
          <w:rFonts w:hint="eastAsia" w:ascii="仿宋" w:hAnsi="仿宋" w:eastAsia="仿宋"/>
          <w:sz w:val="32"/>
          <w:szCs w:val="32"/>
          <w:lang w:val="en-US" w:eastAsia="zh-CN"/>
        </w:rPr>
        <w:t>为0万元</w:t>
      </w:r>
      <w:r>
        <w:rPr>
          <w:rFonts w:hint="eastAsia" w:ascii="仿宋" w:hAnsi="仿宋" w:eastAsia="仿宋"/>
          <w:sz w:val="32"/>
          <w:szCs w:val="32"/>
        </w:rPr>
        <w:t>。</w:t>
      </w:r>
    </w:p>
    <w:p>
      <w:pPr>
        <w:numPr>
          <w:ilvl w:val="0"/>
          <w:numId w:val="2"/>
        </w:numPr>
        <w:kinsoku w:val="0"/>
        <w:overflowPunct w:val="0"/>
        <w:autoSpaceDE w:val="0"/>
        <w:autoSpaceDN w:val="0"/>
        <w:adjustRightInd w:val="0"/>
        <w:snapToGrid w:val="0"/>
        <w:spacing w:line="360" w:lineRule="auto"/>
        <w:ind w:left="420" w:leftChars="200"/>
        <w:rPr>
          <w:rFonts w:ascii="仿宋" w:hAnsi="仿宋" w:eastAsia="仿宋"/>
          <w:sz w:val="32"/>
          <w:szCs w:val="32"/>
        </w:rPr>
      </w:pPr>
      <w:r>
        <w:rPr>
          <w:rFonts w:hint="eastAsia" w:ascii="仿宋" w:hAnsi="仿宋" w:eastAsia="仿宋"/>
          <w:sz w:val="32"/>
          <w:szCs w:val="32"/>
        </w:rPr>
        <w:t>公务用车购置及运行费，其中公务用车购置费为0万元；公务用车运行维护费40万元，主要用于开展工作所需公务用车的燃料费、维修费、过路过桥费、保险费等。预算数持平。</w:t>
      </w:r>
    </w:p>
    <w:p>
      <w:pPr>
        <w:numPr>
          <w:ilvl w:val="0"/>
          <w:numId w:val="2"/>
        </w:numPr>
        <w:kinsoku w:val="0"/>
        <w:overflowPunct w:val="0"/>
        <w:autoSpaceDE w:val="0"/>
        <w:autoSpaceDN w:val="0"/>
        <w:adjustRightInd w:val="0"/>
        <w:snapToGrid w:val="0"/>
        <w:spacing w:line="360" w:lineRule="auto"/>
        <w:ind w:left="420" w:leftChars="200"/>
        <w:rPr>
          <w:rFonts w:ascii="仿宋" w:hAnsi="仿宋" w:eastAsia="仿宋"/>
          <w:sz w:val="32"/>
          <w:szCs w:val="32"/>
        </w:rPr>
      </w:pPr>
      <w:r>
        <w:rPr>
          <w:rFonts w:hint="eastAsia" w:ascii="仿宋" w:hAnsi="仿宋" w:eastAsia="仿宋"/>
          <w:sz w:val="32"/>
          <w:szCs w:val="32"/>
        </w:rPr>
        <w:t>公务接待费20万元，主要用于按规定开支的各类公务接待支出。预算数持平。</w:t>
      </w:r>
    </w:p>
    <w:p>
      <w:pPr>
        <w:kinsoku w:val="0"/>
        <w:overflowPunct w:val="0"/>
        <w:autoSpaceDE w:val="0"/>
        <w:autoSpaceDN w:val="0"/>
        <w:adjustRightInd w:val="0"/>
        <w:snapToGrid w:val="0"/>
        <w:spacing w:line="360" w:lineRule="auto"/>
        <w:ind w:firstLine="321" w:firstLineChars="100"/>
        <w:rPr>
          <w:rFonts w:ascii="仿宋" w:hAnsi="仿宋" w:eastAsia="仿宋"/>
          <w:b/>
          <w:bCs/>
          <w:sz w:val="32"/>
          <w:szCs w:val="32"/>
        </w:rPr>
      </w:pPr>
      <w:r>
        <w:rPr>
          <w:rFonts w:hint="eastAsia" w:ascii="仿宋" w:hAnsi="仿宋" w:eastAsia="仿宋"/>
          <w:b/>
          <w:bCs/>
          <w:sz w:val="32"/>
          <w:szCs w:val="32"/>
          <w:lang w:val="en-US" w:eastAsia="zh-CN"/>
        </w:rPr>
        <w:t>八</w:t>
      </w:r>
      <w:r>
        <w:rPr>
          <w:rFonts w:hint="eastAsia" w:ascii="仿宋" w:hAnsi="仿宋" w:eastAsia="仿宋"/>
          <w:b/>
          <w:bCs/>
          <w:sz w:val="32"/>
          <w:szCs w:val="32"/>
        </w:rPr>
        <w:t>.政府性基金预算支出情况说明</w:t>
      </w:r>
    </w:p>
    <w:p>
      <w:pPr>
        <w:kinsoku w:val="0"/>
        <w:overflowPunct w:val="0"/>
        <w:autoSpaceDE w:val="0"/>
        <w:autoSpaceDN w:val="0"/>
        <w:adjustRightInd w:val="0"/>
        <w:snapToGrid w:val="0"/>
        <w:spacing w:line="360" w:lineRule="auto"/>
        <w:ind w:left="420" w:leftChars="200"/>
        <w:rPr>
          <w:rFonts w:ascii="仿宋" w:hAnsi="仿宋" w:eastAsia="仿宋"/>
          <w:sz w:val="32"/>
          <w:szCs w:val="32"/>
        </w:rPr>
      </w:pPr>
      <w:r>
        <w:rPr>
          <w:rFonts w:hint="eastAsia" w:ascii="仿宋" w:hAnsi="仿宋" w:eastAsia="仿宋"/>
          <w:sz w:val="32"/>
          <w:szCs w:val="32"/>
        </w:rPr>
        <w:t>我院2020年无政府性基金预算支出</w:t>
      </w:r>
    </w:p>
    <w:p>
      <w:pPr>
        <w:kinsoku w:val="0"/>
        <w:overflowPunct w:val="0"/>
        <w:autoSpaceDE w:val="0"/>
        <w:autoSpaceDN w:val="0"/>
        <w:adjustRightInd w:val="0"/>
        <w:snapToGrid w:val="0"/>
        <w:spacing w:line="360" w:lineRule="auto"/>
        <w:ind w:firstLine="321" w:firstLineChars="100"/>
        <w:rPr>
          <w:rFonts w:ascii="仿宋" w:hAnsi="仿宋" w:eastAsia="仿宋"/>
          <w:b/>
          <w:bCs/>
          <w:sz w:val="32"/>
          <w:szCs w:val="32"/>
        </w:rPr>
      </w:pPr>
      <w:r>
        <w:rPr>
          <w:rFonts w:hint="eastAsia" w:ascii="仿宋" w:hAnsi="仿宋" w:eastAsia="仿宋"/>
          <w:b/>
          <w:bCs/>
          <w:sz w:val="32"/>
          <w:szCs w:val="32"/>
          <w:lang w:val="en-US" w:eastAsia="zh-CN"/>
        </w:rPr>
        <w:t>九</w:t>
      </w:r>
      <w:r>
        <w:rPr>
          <w:rFonts w:hint="eastAsia" w:ascii="仿宋" w:hAnsi="仿宋" w:eastAsia="仿宋"/>
          <w:b/>
          <w:bCs/>
          <w:sz w:val="32"/>
          <w:szCs w:val="32"/>
        </w:rPr>
        <w:t>．其他重要事项的情况说明</w:t>
      </w:r>
    </w:p>
    <w:p>
      <w:pPr>
        <w:kinsoku w:val="0"/>
        <w:overflowPunct w:val="0"/>
        <w:autoSpaceDE w:val="0"/>
        <w:autoSpaceDN w:val="0"/>
        <w:adjustRightInd w:val="0"/>
        <w:snapToGrid w:val="0"/>
        <w:spacing w:line="360" w:lineRule="auto"/>
        <w:ind w:firstLine="640" w:firstLineChars="200"/>
        <w:rPr>
          <w:rFonts w:hint="default" w:ascii="仿宋" w:hAnsi="仿宋" w:eastAsia="仿宋"/>
          <w:sz w:val="32"/>
          <w:szCs w:val="32"/>
          <w:lang w:val="en-US" w:eastAsia="zh-CN"/>
        </w:rPr>
      </w:pPr>
      <w:r>
        <w:rPr>
          <w:rFonts w:hint="eastAsia" w:ascii="仿宋" w:hAnsi="仿宋" w:eastAsia="仿宋"/>
          <w:sz w:val="32"/>
          <w:szCs w:val="32"/>
        </w:rPr>
        <w:t>1.</w:t>
      </w:r>
      <w:r>
        <w:rPr>
          <w:rFonts w:hint="eastAsia" w:ascii="仿宋" w:hAnsi="仿宋" w:eastAsia="仿宋"/>
          <w:sz w:val="32"/>
          <w:szCs w:val="32"/>
          <w:lang w:val="en-US" w:eastAsia="zh-CN"/>
        </w:rPr>
        <w:t>政府采购预算情况说明</w:t>
      </w:r>
    </w:p>
    <w:p>
      <w:pPr>
        <w:kinsoku w:val="0"/>
        <w:overflowPunct w:val="0"/>
        <w:autoSpaceDE w:val="0"/>
        <w:autoSpaceDN w:val="0"/>
        <w:adjustRightInd w:val="0"/>
        <w:snapToGrid w:val="0"/>
        <w:spacing w:line="360" w:lineRule="auto"/>
        <w:ind w:firstLine="640" w:firstLineChars="200"/>
        <w:rPr>
          <w:rFonts w:hint="default" w:ascii="仿宋" w:hAnsi="仿宋" w:eastAsia="仿宋"/>
          <w:sz w:val="32"/>
          <w:szCs w:val="32"/>
          <w:lang w:val="en-US"/>
        </w:rPr>
      </w:pPr>
      <w:r>
        <w:rPr>
          <w:rFonts w:hint="eastAsia" w:ascii="仿宋" w:hAnsi="仿宋" w:eastAsia="仿宋" w:cs="仿宋"/>
          <w:sz w:val="32"/>
          <w:szCs w:val="32"/>
          <w:shd w:val="clear" w:fill="FFFFFF"/>
        </w:rPr>
        <w:t>20</w:t>
      </w:r>
      <w:r>
        <w:rPr>
          <w:rFonts w:hint="eastAsia" w:ascii="仿宋" w:hAnsi="仿宋" w:eastAsia="仿宋" w:cs="仿宋"/>
          <w:sz w:val="32"/>
          <w:szCs w:val="32"/>
          <w:shd w:val="clear" w:fill="FFFFFF"/>
          <w:lang w:val="en-US" w:eastAsia="zh-CN"/>
        </w:rPr>
        <w:t>20</w:t>
      </w:r>
      <w:r>
        <w:rPr>
          <w:rFonts w:hint="eastAsia" w:ascii="仿宋" w:hAnsi="仿宋" w:eastAsia="仿宋" w:cs="仿宋"/>
          <w:sz w:val="32"/>
          <w:szCs w:val="32"/>
          <w:shd w:val="clear" w:fill="FFFFFF"/>
        </w:rPr>
        <w:t>年度</w:t>
      </w:r>
      <w:r>
        <w:rPr>
          <w:rFonts w:hint="eastAsia" w:ascii="仿宋" w:hAnsi="仿宋" w:eastAsia="仿宋" w:cs="仿宋"/>
          <w:sz w:val="32"/>
          <w:szCs w:val="32"/>
          <w:shd w:val="clear" w:fill="FFFFFF"/>
          <w:lang w:eastAsia="zh-CN"/>
        </w:rPr>
        <w:t>预算</w:t>
      </w:r>
      <w:r>
        <w:rPr>
          <w:rFonts w:hint="eastAsia" w:ascii="仿宋" w:hAnsi="仿宋" w:eastAsia="仿宋" w:cs="仿宋"/>
          <w:sz w:val="32"/>
          <w:szCs w:val="32"/>
          <w:shd w:val="clear" w:fill="FFFFFF"/>
        </w:rPr>
        <w:t>政府采购支出总额</w:t>
      </w:r>
      <w:r>
        <w:rPr>
          <w:rFonts w:hint="eastAsia" w:ascii="仿宋" w:hAnsi="仿宋" w:eastAsia="仿宋" w:cs="仿宋"/>
          <w:sz w:val="32"/>
          <w:szCs w:val="32"/>
          <w:shd w:val="clear" w:fill="FFFFFF"/>
          <w:lang w:val="en-US" w:eastAsia="zh-CN"/>
        </w:rPr>
        <w:t>131</w:t>
      </w:r>
      <w:r>
        <w:rPr>
          <w:rFonts w:hint="eastAsia" w:ascii="仿宋" w:hAnsi="仿宋" w:eastAsia="仿宋" w:cs="仿宋"/>
          <w:sz w:val="32"/>
          <w:szCs w:val="32"/>
          <w:shd w:val="clear" w:fill="FFFFFF"/>
        </w:rPr>
        <w:t>万元，其中：政府采购货物</w:t>
      </w:r>
      <w:r>
        <w:rPr>
          <w:rFonts w:hint="eastAsia" w:ascii="仿宋" w:hAnsi="仿宋" w:eastAsia="仿宋" w:cs="仿宋"/>
          <w:sz w:val="32"/>
          <w:szCs w:val="32"/>
          <w:shd w:val="clear" w:fill="FFFFFF"/>
          <w:lang w:val="en-US" w:eastAsia="zh-CN"/>
        </w:rPr>
        <w:t>131</w:t>
      </w:r>
      <w:r>
        <w:rPr>
          <w:rFonts w:hint="eastAsia" w:ascii="仿宋" w:hAnsi="仿宋" w:eastAsia="仿宋" w:cs="仿宋"/>
          <w:sz w:val="32"/>
          <w:szCs w:val="32"/>
          <w:shd w:val="clear" w:fill="FFFFFF"/>
        </w:rPr>
        <w:t>万元、</w:t>
      </w:r>
      <w:r>
        <w:rPr>
          <w:rFonts w:hint="eastAsia" w:ascii="仿宋" w:hAnsi="仿宋" w:eastAsia="仿宋" w:cs="仿宋"/>
          <w:sz w:val="32"/>
          <w:szCs w:val="32"/>
          <w:shd w:val="clear" w:fill="FFFFFF"/>
          <w:lang w:eastAsia="zh-CN"/>
        </w:rPr>
        <w:t>占采购比例为</w:t>
      </w:r>
      <w:r>
        <w:rPr>
          <w:rFonts w:hint="eastAsia" w:ascii="仿宋" w:hAnsi="仿宋" w:eastAsia="仿宋" w:cs="仿宋"/>
          <w:sz w:val="32"/>
          <w:szCs w:val="32"/>
          <w:shd w:val="clear" w:fill="FFFFFF"/>
          <w:lang w:val="en-US" w:eastAsia="zh-CN"/>
        </w:rPr>
        <w:t>100%；</w:t>
      </w:r>
      <w:r>
        <w:rPr>
          <w:rFonts w:hint="eastAsia" w:ascii="仿宋" w:hAnsi="仿宋" w:eastAsia="仿宋" w:cs="仿宋"/>
          <w:sz w:val="32"/>
          <w:szCs w:val="32"/>
          <w:shd w:val="clear" w:fill="FFFFFF"/>
        </w:rPr>
        <w:t>政府采购工程支出</w:t>
      </w:r>
      <w:r>
        <w:rPr>
          <w:rFonts w:hint="eastAsia" w:ascii="仿宋" w:hAnsi="仿宋" w:eastAsia="仿宋" w:cs="仿宋"/>
          <w:sz w:val="32"/>
          <w:szCs w:val="32"/>
          <w:shd w:val="clear" w:fill="FFFFFF"/>
          <w:lang w:val="en-US" w:eastAsia="zh-CN"/>
        </w:rPr>
        <w:t>0</w:t>
      </w:r>
      <w:r>
        <w:rPr>
          <w:rFonts w:hint="eastAsia" w:ascii="仿宋" w:hAnsi="仿宋" w:eastAsia="仿宋" w:cs="仿宋"/>
          <w:sz w:val="32"/>
          <w:szCs w:val="32"/>
          <w:shd w:val="clear" w:fill="FFFFFF"/>
        </w:rPr>
        <w:t>万元</w:t>
      </w:r>
      <w:r>
        <w:rPr>
          <w:rFonts w:hint="eastAsia" w:ascii="仿宋" w:hAnsi="仿宋" w:eastAsia="仿宋" w:cs="仿宋"/>
          <w:sz w:val="32"/>
          <w:szCs w:val="32"/>
          <w:shd w:val="clear" w:fill="FFFFFF"/>
          <w:lang w:eastAsia="zh-CN"/>
        </w:rPr>
        <w:t>，占采购比例为</w:t>
      </w:r>
      <w:r>
        <w:rPr>
          <w:rFonts w:hint="eastAsia" w:ascii="仿宋" w:hAnsi="仿宋" w:eastAsia="仿宋" w:cs="仿宋"/>
          <w:sz w:val="32"/>
          <w:szCs w:val="32"/>
          <w:shd w:val="clear" w:fill="FFFFFF"/>
          <w:lang w:val="en-US" w:eastAsia="zh-CN"/>
        </w:rPr>
        <w:t>0%，</w:t>
      </w:r>
      <w:r>
        <w:rPr>
          <w:rFonts w:hint="eastAsia" w:ascii="仿宋" w:hAnsi="仿宋" w:eastAsia="仿宋" w:cs="仿宋"/>
          <w:sz w:val="32"/>
          <w:szCs w:val="32"/>
          <w:shd w:val="clear" w:fill="FFFFFF"/>
        </w:rPr>
        <w:t>政府采购</w:t>
      </w:r>
      <w:r>
        <w:rPr>
          <w:rFonts w:hint="eastAsia" w:ascii="仿宋" w:hAnsi="仿宋" w:eastAsia="仿宋" w:cs="仿宋"/>
          <w:sz w:val="32"/>
          <w:szCs w:val="32"/>
          <w:shd w:val="clear" w:fill="FFFFFF"/>
          <w:lang w:eastAsia="zh-CN"/>
        </w:rPr>
        <w:t>服务</w:t>
      </w:r>
      <w:r>
        <w:rPr>
          <w:rFonts w:hint="eastAsia" w:ascii="仿宋" w:hAnsi="仿宋" w:eastAsia="仿宋" w:cs="仿宋"/>
          <w:sz w:val="32"/>
          <w:szCs w:val="32"/>
          <w:shd w:val="clear" w:fill="FFFFFF"/>
        </w:rPr>
        <w:t>支出</w:t>
      </w:r>
      <w:r>
        <w:rPr>
          <w:rFonts w:hint="eastAsia" w:ascii="仿宋" w:hAnsi="仿宋" w:eastAsia="仿宋" w:cs="仿宋"/>
          <w:sz w:val="32"/>
          <w:szCs w:val="32"/>
          <w:shd w:val="clear" w:fill="FFFFFF"/>
          <w:lang w:val="en-US" w:eastAsia="zh-CN"/>
        </w:rPr>
        <w:t>0</w:t>
      </w:r>
      <w:r>
        <w:rPr>
          <w:rFonts w:hint="eastAsia" w:ascii="仿宋" w:hAnsi="仿宋" w:eastAsia="仿宋" w:cs="仿宋"/>
          <w:sz w:val="32"/>
          <w:szCs w:val="32"/>
          <w:shd w:val="clear" w:fill="FFFFFF"/>
        </w:rPr>
        <w:t>万元</w:t>
      </w:r>
      <w:r>
        <w:rPr>
          <w:rFonts w:hint="eastAsia" w:ascii="仿宋" w:hAnsi="仿宋" w:eastAsia="仿宋" w:cs="仿宋"/>
          <w:sz w:val="32"/>
          <w:szCs w:val="32"/>
          <w:shd w:val="clear" w:fill="FFFFFF"/>
          <w:lang w:eastAsia="zh-CN"/>
        </w:rPr>
        <w:t>，占采购比例为</w:t>
      </w:r>
      <w:r>
        <w:rPr>
          <w:rFonts w:hint="eastAsia" w:ascii="仿宋" w:hAnsi="仿宋" w:eastAsia="仿宋" w:cs="仿宋"/>
          <w:sz w:val="32"/>
          <w:szCs w:val="32"/>
          <w:shd w:val="clear" w:fill="FFFFFF"/>
          <w:lang w:val="en-US" w:eastAsia="zh-CN"/>
        </w:rPr>
        <w:t>0%。其中：授予小微企业合同金额0万元，占政府采购支出总额的0%.</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hint="eastAsia" w:ascii="仿宋" w:hAnsi="仿宋" w:eastAsia="仿宋" w:cs="Courier New"/>
          <w:sz w:val="32"/>
          <w:szCs w:val="32"/>
        </w:rPr>
        <w:t>2.关于预算绩效管理工作开展情况说明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hint="eastAsia" w:ascii="仿宋" w:hAnsi="仿宋" w:eastAsia="仿宋" w:cs="Courier New"/>
          <w:sz w:val="32"/>
          <w:szCs w:val="32"/>
        </w:rPr>
        <w:t>我院20</w:t>
      </w:r>
      <w:r>
        <w:rPr>
          <w:rFonts w:hint="eastAsia" w:ascii="仿宋" w:hAnsi="仿宋" w:eastAsia="仿宋" w:cs="Courier New"/>
          <w:sz w:val="32"/>
          <w:szCs w:val="32"/>
          <w:lang w:val="en-US" w:eastAsia="zh-CN"/>
        </w:rPr>
        <w:t>20</w:t>
      </w:r>
      <w:r>
        <w:rPr>
          <w:rFonts w:hint="eastAsia" w:ascii="仿宋" w:hAnsi="仿宋" w:eastAsia="仿宋" w:cs="Courier New"/>
          <w:sz w:val="32"/>
          <w:szCs w:val="32"/>
        </w:rPr>
        <w:t>年没有开展项目预算预算绩效评价。</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hint="eastAsia" w:ascii="仿宋" w:hAnsi="仿宋" w:eastAsia="仿宋" w:cs="Courier New"/>
          <w:sz w:val="32"/>
          <w:szCs w:val="32"/>
        </w:rPr>
        <w:t>3.国有资产占用情况</w:t>
      </w:r>
    </w:p>
    <w:p>
      <w:pPr>
        <w:pStyle w:val="5"/>
        <w:keepNext w:val="0"/>
        <w:keepLines w:val="0"/>
        <w:pageBreakBefore w:val="0"/>
        <w:widowControl/>
        <w:suppressLineNumbers w:val="0"/>
        <w:wordWrap/>
        <w:topLinePunct w:val="0"/>
        <w:bidi w:val="0"/>
        <w:spacing w:before="0" w:beforeAutospacing="0" w:afterAutospacing="0" w:line="360" w:lineRule="auto"/>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shd w:val="clear" w:fill="FFFFFF"/>
        </w:rPr>
        <w:t>2019年期末，我部门共有车辆13辆，其中：省级领导干部用车0辆、主要领导干部用车0辆、机要通信用车0辆、应急保障车0辆、执法执勤用车11辆、特种专业技术用车0辆、离退休干部用车0辆、其他用车2辆；单位价值50万元以上通用设备0台（套），单位价值100万元以上专用设备0台（套）。</w:t>
      </w:r>
    </w:p>
    <w:p>
      <w:pPr>
        <w:keepNext w:val="0"/>
        <w:keepLines w:val="0"/>
        <w:pageBreakBefore w:val="0"/>
        <w:kinsoku w:val="0"/>
        <w:wordWrap/>
        <w:overflowPunct w:val="0"/>
        <w:topLinePunct w:val="0"/>
        <w:autoSpaceDE w:val="0"/>
        <w:autoSpaceDN w:val="0"/>
        <w:bidi w:val="0"/>
        <w:adjustRightInd w:val="0"/>
        <w:snapToGrid w:val="0"/>
        <w:spacing w:afterAutospacing="0" w:line="360" w:lineRule="auto"/>
        <w:ind w:firstLine="800" w:firstLineChars="200"/>
        <w:jc w:val="both"/>
        <w:textAlignment w:val="auto"/>
        <w:rPr>
          <w:rFonts w:hint="eastAsia" w:ascii="仿宋" w:hAnsi="仿宋" w:eastAsia="仿宋" w:cs="仿宋"/>
          <w:sz w:val="40"/>
          <w:szCs w:val="40"/>
        </w:rPr>
        <w:sectPr>
          <w:pgSz w:w="11905" w:h="16840"/>
          <w:pgMar w:top="1580" w:right="1240" w:bottom="1180" w:left="1400" w:header="0" w:footer="982" w:gutter="0"/>
          <w:pgNumType w:fmt="numberInDash"/>
          <w:cols w:space="720" w:num="1"/>
        </w:sectPr>
      </w:pP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p>
    <w:p>
      <w:pPr>
        <w:numPr>
          <w:ilvl w:val="0"/>
          <w:numId w:val="2"/>
        </w:numPr>
        <w:kinsoku w:val="0"/>
        <w:overflowPunct w:val="0"/>
        <w:autoSpaceDE w:val="0"/>
        <w:autoSpaceDN w:val="0"/>
        <w:adjustRightInd w:val="0"/>
        <w:snapToGrid w:val="0"/>
        <w:spacing w:line="360" w:lineRule="auto"/>
        <w:ind w:left="420" w:leftChars="200"/>
        <w:rPr>
          <w:rFonts w:ascii="仿宋" w:hAnsi="仿宋" w:eastAsia="仿宋"/>
          <w:sz w:val="32"/>
          <w:szCs w:val="32"/>
        </w:rPr>
      </w:pPr>
      <w:r>
        <w:rPr>
          <w:rFonts w:hint="eastAsia" w:ascii="仿宋" w:hAnsi="仿宋" w:eastAsia="仿宋" w:cs="Courier New"/>
          <w:sz w:val="32"/>
          <w:szCs w:val="32"/>
        </w:rPr>
        <w:t>机关运行</w:t>
      </w:r>
      <w:r>
        <w:rPr>
          <w:rFonts w:hint="eastAsia" w:ascii="仿宋" w:hAnsi="仿宋" w:eastAsia="仿宋"/>
          <w:sz w:val="32"/>
          <w:szCs w:val="32"/>
        </w:rPr>
        <w:t>经费支出情况</w:t>
      </w:r>
    </w:p>
    <w:p>
      <w:pPr>
        <w:kinsoku w:val="0"/>
        <w:overflowPunct w:val="0"/>
        <w:autoSpaceDE w:val="0"/>
        <w:autoSpaceDN w:val="0"/>
        <w:adjustRightInd w:val="0"/>
        <w:snapToGrid w:val="0"/>
        <w:spacing w:line="360" w:lineRule="auto"/>
        <w:ind w:firstLine="640" w:firstLineChars="200"/>
        <w:rPr>
          <w:rFonts w:ascii="仿宋" w:hAnsi="仿宋" w:eastAsia="仿宋"/>
          <w:sz w:val="32"/>
          <w:szCs w:val="32"/>
        </w:rPr>
      </w:pPr>
      <w:bookmarkStart w:id="0" w:name="_GoBack"/>
      <w:r>
        <w:rPr>
          <w:rFonts w:hint="eastAsia" w:eastAsia="仿宋_GB2312"/>
          <w:color w:val="000000"/>
          <w:kern w:val="0"/>
          <w:sz w:val="32"/>
          <w:szCs w:val="32"/>
          <w:lang w:eastAsia="zh-CN"/>
        </w:rPr>
        <w:t>河南省信阳市浉河区人民法院</w:t>
      </w:r>
      <w:bookmarkEnd w:id="0"/>
      <w:r>
        <w:rPr>
          <w:rFonts w:hint="eastAsia" w:eastAsia="仿宋_GB2312"/>
          <w:color w:val="000000"/>
          <w:kern w:val="0"/>
          <w:sz w:val="32"/>
          <w:szCs w:val="32"/>
        </w:rPr>
        <w:t>2020</w:t>
      </w:r>
      <w:r>
        <w:rPr>
          <w:rFonts w:eastAsia="仿宋_GB2312"/>
          <w:color w:val="000000"/>
          <w:kern w:val="0"/>
          <w:sz w:val="32"/>
          <w:szCs w:val="32"/>
        </w:rPr>
        <w:t>年机关运行经费支出预算</w:t>
      </w:r>
      <w:r>
        <w:rPr>
          <w:rFonts w:hint="eastAsia" w:eastAsia="仿宋_GB2312"/>
          <w:color w:val="000000"/>
          <w:kern w:val="0"/>
          <w:sz w:val="32"/>
          <w:szCs w:val="32"/>
        </w:rPr>
        <w:t>211.2</w:t>
      </w:r>
      <w:r>
        <w:rPr>
          <w:rFonts w:hint="eastAsia" w:ascii="仿宋" w:hAnsi="仿宋" w:eastAsia="仿宋"/>
          <w:sz w:val="32"/>
          <w:szCs w:val="32"/>
        </w:rPr>
        <w:t>万元，主要包括办公费、印刷费、水电费、差旅费、维修费、招待费、公务用车运行费等。</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sectPr>
          <w:pgSz w:w="11905" w:h="16838"/>
          <w:pgMar w:top="1440" w:right="1803" w:bottom="1440" w:left="1803" w:header="850" w:footer="992" w:gutter="0"/>
          <w:pgNumType w:fmt="numberInDash"/>
          <w:cols w:space="0" w:num="1"/>
          <w:docGrid w:type="lines" w:linePitch="317" w:charSpace="0"/>
        </w:sect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sectPr>
          <w:pgSz w:w="11905" w:h="16838"/>
          <w:pgMar w:top="1440" w:right="1803" w:bottom="1440" w:left="1803" w:header="850" w:footer="992" w:gutter="0"/>
          <w:pgNumType w:fmt="numberInDash"/>
          <w:cols w:space="0" w:num="1"/>
          <w:docGrid w:type="lines" w:linePitch="317" w:charSpace="0"/>
        </w:sectPr>
      </w:pPr>
      <w:r>
        <w:rPr>
          <w:rFonts w:hint="eastAsia" w:ascii="仿宋" w:hAnsi="仿宋" w:eastAsia="仿宋" w:cs="隶书"/>
          <w:sz w:val="48"/>
          <w:szCs w:val="48"/>
        </w:rPr>
        <w:t>第</w:t>
      </w:r>
      <w:r>
        <w:rPr>
          <w:rFonts w:hint="eastAsia" w:ascii="仿宋" w:hAnsi="仿宋" w:eastAsia="仿宋" w:cs="隶书"/>
          <w:sz w:val="48"/>
          <w:szCs w:val="48"/>
          <w:lang w:val="en-US" w:eastAsia="zh-CN"/>
        </w:rPr>
        <w:t>三</w:t>
      </w:r>
      <w:r>
        <w:rPr>
          <w:rFonts w:hint="eastAsia" w:ascii="仿宋" w:hAnsi="仿宋" w:eastAsia="仿宋" w:cs="隶书"/>
          <w:sz w:val="48"/>
          <w:szCs w:val="48"/>
        </w:rPr>
        <w:t>部分　　名词解释</w:t>
      </w:r>
    </w:p>
    <w:p>
      <w:pPr>
        <w:numPr>
          <w:ilvl w:val="0"/>
          <w:numId w:val="3"/>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财政拨款收入：</w:t>
      </w:r>
      <w:r>
        <w:rPr>
          <w:rFonts w:hint="eastAsia" w:ascii="仿宋" w:hAnsi="仿宋" w:eastAsia="仿宋" w:cs="宋体"/>
          <w:sz w:val="32"/>
          <w:szCs w:val="32"/>
        </w:rPr>
        <w:t>是指省级财政当年拨付的资金。</w:t>
      </w:r>
    </w:p>
    <w:p>
      <w:pPr>
        <w:numPr>
          <w:ilvl w:val="0"/>
          <w:numId w:val="3"/>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事业收入：</w:t>
      </w:r>
      <w:r>
        <w:rPr>
          <w:rFonts w:hint="eastAsia" w:ascii="仿宋" w:hAnsi="仿宋" w:eastAsia="仿宋" w:cs="宋体"/>
          <w:sz w:val="32"/>
          <w:szCs w:val="32"/>
        </w:rPr>
        <w:t>是指事业单位开展专业业务活动及辅助活动所取得的收入。</w:t>
      </w:r>
    </w:p>
    <w:p>
      <w:pPr>
        <w:numPr>
          <w:ilvl w:val="0"/>
          <w:numId w:val="3"/>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经营收入：</w:t>
      </w:r>
      <w:r>
        <w:rPr>
          <w:rFonts w:hint="eastAsia" w:ascii="仿宋" w:hAnsi="仿宋" w:eastAsia="仿宋" w:cs="宋体"/>
          <w:sz w:val="32"/>
          <w:szCs w:val="32"/>
        </w:rPr>
        <w:t>指事业单位在专业业务活动及其辅助活动之外开展非独立核算经营活动取得的收入。</w:t>
      </w:r>
    </w:p>
    <w:p>
      <w:pPr>
        <w:numPr>
          <w:ilvl w:val="0"/>
          <w:numId w:val="3"/>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其他收入：</w:t>
      </w:r>
      <w:r>
        <w:rPr>
          <w:rFonts w:hint="eastAsia" w:ascii="仿宋" w:hAnsi="仿宋" w:eastAsia="仿宋" w:cs="宋体"/>
          <w:sz w:val="32"/>
          <w:szCs w:val="32"/>
        </w:rPr>
        <w:t>指除上述</w:t>
      </w:r>
      <w:r>
        <w:rPr>
          <w:rFonts w:ascii="仿宋" w:hAnsi="仿宋" w:eastAsia="仿宋" w:cs="Courier New"/>
          <w:sz w:val="32"/>
          <w:szCs w:val="32"/>
        </w:rPr>
        <w:t>“</w:t>
      </w:r>
      <w:r>
        <w:rPr>
          <w:rFonts w:hint="eastAsia" w:ascii="仿宋" w:hAnsi="仿宋" w:eastAsia="仿宋" w:cs="宋体"/>
          <w:sz w:val="32"/>
          <w:szCs w:val="32"/>
        </w:rPr>
        <w:t>财政拨款收入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事业单位经营收入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经营收入</w:t>
      </w:r>
      <w:r>
        <w:rPr>
          <w:rFonts w:ascii="仿宋" w:hAnsi="仿宋" w:eastAsia="仿宋" w:cs="Courier New"/>
          <w:sz w:val="32"/>
          <w:szCs w:val="32"/>
        </w:rPr>
        <w:t>”</w:t>
      </w:r>
      <w:r>
        <w:rPr>
          <w:rFonts w:hint="eastAsia" w:ascii="仿宋" w:hAnsi="仿宋" w:eastAsia="仿宋" w:cs="宋体"/>
          <w:sz w:val="32"/>
          <w:szCs w:val="32"/>
        </w:rPr>
        <w:t>等以外的收入。主要是按规定动用的售房收入、存款利息收入等。</w:t>
      </w:r>
    </w:p>
    <w:p>
      <w:pPr>
        <w:numPr>
          <w:ilvl w:val="0"/>
          <w:numId w:val="3"/>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用事业基金弥补收支差额：</w:t>
      </w:r>
      <w:r>
        <w:rPr>
          <w:rFonts w:hint="eastAsia" w:ascii="仿宋" w:hAnsi="仿宋" w:eastAsia="仿宋" w:cs="宋体"/>
          <w:sz w:val="32"/>
          <w:szCs w:val="32"/>
        </w:rPr>
        <w:t>指事业单位在当年的</w:t>
      </w:r>
      <w:r>
        <w:rPr>
          <w:rFonts w:ascii="仿宋" w:hAnsi="仿宋" w:eastAsia="仿宋" w:cs="Courier New"/>
          <w:sz w:val="32"/>
          <w:szCs w:val="32"/>
        </w:rPr>
        <w:t>“</w:t>
      </w:r>
      <w:r>
        <w:rPr>
          <w:rFonts w:hint="eastAsia" w:ascii="仿宋" w:hAnsi="仿宋" w:eastAsia="仿宋" w:cs="宋体"/>
          <w:sz w:val="32"/>
          <w:szCs w:val="32"/>
        </w:rPr>
        <w:t>财政拨款收入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经营收入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其他收入</w:t>
      </w:r>
      <w:r>
        <w:rPr>
          <w:rFonts w:ascii="仿宋" w:hAnsi="仿宋" w:eastAsia="仿宋" w:cs="Courier New"/>
          <w:sz w:val="32"/>
          <w:szCs w:val="32"/>
        </w:rPr>
        <w:t>”</w:t>
      </w:r>
      <w:r>
        <w:rPr>
          <w:rFonts w:hint="eastAsia" w:ascii="仿宋" w:hAnsi="仿宋" w:eastAsia="仿宋" w:cs="宋体"/>
          <w:sz w:val="32"/>
          <w:szCs w:val="32"/>
        </w:rPr>
        <w:t>不足以安排当年支出的情况下，使用以前年度积累的事业基金（事业单位当年收支相抵后按国家规定提取、用于弥补以后年度收支差额的基金）弥补本年度收支缺口的资金</w:t>
      </w:r>
      <w:r>
        <w:rPr>
          <w:rFonts w:hint="eastAsia" w:ascii="仿宋" w:hAnsi="仿宋" w:eastAsia="仿宋" w:cs="宋体"/>
          <w:b/>
          <w:bCs/>
          <w:sz w:val="32"/>
          <w:szCs w:val="32"/>
        </w:rPr>
        <w:t>。</w:t>
      </w:r>
    </w:p>
    <w:p>
      <w:pPr>
        <w:numPr>
          <w:ilvl w:val="0"/>
          <w:numId w:val="3"/>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年初结转和结余：</w:t>
      </w:r>
      <w:r>
        <w:rPr>
          <w:rFonts w:hint="eastAsia" w:ascii="仿宋" w:hAnsi="仿宋" w:eastAsia="仿宋" w:cs="宋体"/>
          <w:sz w:val="32"/>
          <w:szCs w:val="32"/>
        </w:rPr>
        <w:t>指以前年度尚未完成、结转到本年按有关规定继续使用的资金。</w:t>
      </w:r>
    </w:p>
    <w:p>
      <w:pPr>
        <w:numPr>
          <w:ilvl w:val="0"/>
          <w:numId w:val="3"/>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color w:val="000000"/>
          <w:kern w:val="0"/>
          <w:sz w:val="32"/>
          <w:szCs w:val="32"/>
        </w:rPr>
        <w:t>资源勘探信息等支出</w:t>
      </w:r>
      <w:r>
        <w:rPr>
          <w:rFonts w:hint="eastAsia" w:ascii="仿宋" w:hAnsi="仿宋" w:eastAsia="仿宋" w:cs="宋体"/>
          <w:b/>
          <w:bCs/>
          <w:sz w:val="32"/>
          <w:szCs w:val="32"/>
        </w:rPr>
        <w:t>（类）</w:t>
      </w:r>
      <w:r>
        <w:rPr>
          <w:rFonts w:hint="eastAsia" w:ascii="仿宋" w:hAnsi="仿宋" w:eastAsia="仿宋" w:cs="宋体"/>
          <w:b/>
          <w:color w:val="000000"/>
          <w:sz w:val="32"/>
          <w:szCs w:val="32"/>
        </w:rPr>
        <w:t>安全生产监管</w:t>
      </w:r>
      <w:r>
        <w:rPr>
          <w:rFonts w:hint="eastAsia" w:ascii="仿宋" w:hAnsi="仿宋" w:eastAsia="仿宋" w:cs="宋体"/>
          <w:b/>
          <w:bCs/>
          <w:sz w:val="32"/>
          <w:szCs w:val="32"/>
        </w:rPr>
        <w:t>（款）行政运行（项）：</w:t>
      </w:r>
      <w:r>
        <w:rPr>
          <w:rFonts w:hint="eastAsia" w:ascii="仿宋" w:hAnsi="仿宋" w:eastAsia="仿宋" w:cs="宋体"/>
          <w:sz w:val="32"/>
          <w:szCs w:val="32"/>
        </w:rPr>
        <w:t>是指</w:t>
      </w:r>
      <w:r>
        <w:rPr>
          <w:rFonts w:hint="eastAsia" w:ascii="仿宋" w:hAnsi="仿宋" w:eastAsia="仿宋" w:cs="Courier New"/>
          <w:sz w:val="32"/>
          <w:szCs w:val="32"/>
        </w:rPr>
        <w:t>反应行政单位（包括实行公务员管理的事业单位）的基本支出。</w:t>
      </w:r>
    </w:p>
    <w:p>
      <w:pPr>
        <w:numPr>
          <w:ilvl w:val="0"/>
          <w:numId w:val="3"/>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color w:val="000000"/>
          <w:kern w:val="0"/>
          <w:sz w:val="32"/>
          <w:szCs w:val="32"/>
        </w:rPr>
        <w:t>资源勘探信息等支出</w:t>
      </w:r>
      <w:r>
        <w:rPr>
          <w:rFonts w:hint="eastAsia" w:ascii="仿宋" w:hAnsi="仿宋" w:eastAsia="仿宋" w:cs="宋体"/>
          <w:b/>
          <w:bCs/>
          <w:sz w:val="32"/>
          <w:szCs w:val="32"/>
        </w:rPr>
        <w:t>（类）</w:t>
      </w:r>
      <w:r>
        <w:rPr>
          <w:rFonts w:hint="eastAsia" w:ascii="仿宋" w:hAnsi="仿宋" w:eastAsia="仿宋" w:cs="宋体"/>
          <w:b/>
          <w:color w:val="000000"/>
          <w:sz w:val="32"/>
          <w:szCs w:val="32"/>
        </w:rPr>
        <w:t>安全生产监管</w:t>
      </w:r>
      <w:r>
        <w:rPr>
          <w:rFonts w:hint="eastAsia" w:ascii="仿宋" w:hAnsi="仿宋" w:eastAsia="仿宋" w:cs="宋体"/>
          <w:b/>
          <w:bCs/>
          <w:sz w:val="32"/>
          <w:szCs w:val="32"/>
        </w:rPr>
        <w:t>（款）行政运行（项）：</w:t>
      </w:r>
      <w:r>
        <w:rPr>
          <w:rFonts w:hint="eastAsia" w:ascii="仿宋" w:hAnsi="仿宋" w:eastAsia="仿宋" w:cs="Courier New"/>
          <w:sz w:val="32"/>
          <w:szCs w:val="32"/>
        </w:rPr>
        <w:t>反应国家安全生产监督管理部门、煤矿安全监察部门的支出。</w:t>
      </w:r>
    </w:p>
    <w:p>
      <w:pPr>
        <w:numPr>
          <w:ilvl w:val="0"/>
          <w:numId w:val="3"/>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结余分配：</w:t>
      </w:r>
      <w:r>
        <w:rPr>
          <w:rFonts w:hint="eastAsia" w:ascii="仿宋" w:hAnsi="仿宋" w:eastAsia="仿宋" w:cs="宋体"/>
          <w:sz w:val="32"/>
          <w:szCs w:val="32"/>
        </w:rPr>
        <w:t>指事业单位按规定提取的职工福利基金、事业基金和缴纳的所得税，以及建设单位按规定应交回的基本建设竣工项目结余资金。</w:t>
      </w:r>
    </w:p>
    <w:p>
      <w:pPr>
        <w:numPr>
          <w:ilvl w:val="0"/>
          <w:numId w:val="3"/>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年末结转和结余：</w:t>
      </w:r>
      <w:r>
        <w:rPr>
          <w:rFonts w:hint="eastAsia" w:ascii="仿宋" w:hAnsi="仿宋" w:eastAsia="仿宋" w:cs="宋体"/>
          <w:sz w:val="32"/>
          <w:szCs w:val="32"/>
        </w:rPr>
        <w:t>指本年度或以前年度预算安排、因客观条件发生变化无法按原计划实施，需延迟到以后年度按有关规定继续使用的资金。</w:t>
      </w:r>
    </w:p>
    <w:p>
      <w:pPr>
        <w:numPr>
          <w:ilvl w:val="0"/>
          <w:numId w:val="3"/>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基本支出：</w:t>
      </w:r>
      <w:r>
        <w:rPr>
          <w:rFonts w:hint="eastAsia" w:ascii="仿宋" w:hAnsi="仿宋" w:eastAsia="仿宋" w:cs="宋体"/>
          <w:sz w:val="32"/>
          <w:szCs w:val="32"/>
        </w:rPr>
        <w:t>指为保障机构正常运转、完成日常工作任务而发生的人员支出和公用支出。</w:t>
      </w:r>
    </w:p>
    <w:p>
      <w:pPr>
        <w:numPr>
          <w:ilvl w:val="0"/>
          <w:numId w:val="3"/>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项目支出：</w:t>
      </w:r>
      <w:r>
        <w:rPr>
          <w:rFonts w:hint="eastAsia" w:ascii="仿宋" w:hAnsi="仿宋" w:eastAsia="仿宋" w:cs="宋体"/>
          <w:sz w:val="32"/>
          <w:szCs w:val="32"/>
        </w:rPr>
        <w:t>指在基本支出之外为完成特定行政任务和事业发展目标所发生的支出。</w:t>
      </w:r>
    </w:p>
    <w:p>
      <w:pPr>
        <w:numPr>
          <w:ilvl w:val="0"/>
          <w:numId w:val="3"/>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经营支出：</w:t>
      </w:r>
      <w:r>
        <w:rPr>
          <w:rFonts w:hint="eastAsia" w:ascii="仿宋" w:hAnsi="仿宋" w:eastAsia="仿宋" w:cs="宋体"/>
          <w:sz w:val="32"/>
          <w:szCs w:val="32"/>
        </w:rPr>
        <w:t>指事业单位在专业业务活动及其辅助活动之外开展非独立核算经营活动发生的支出。</w:t>
      </w:r>
    </w:p>
    <w:p>
      <w:pPr>
        <w:numPr>
          <w:ilvl w:val="0"/>
          <w:numId w:val="3"/>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ascii="仿宋" w:hAnsi="仿宋" w:eastAsia="仿宋"/>
          <w:b/>
          <w:bCs/>
          <w:sz w:val="32"/>
          <w:szCs w:val="32"/>
        </w:rPr>
        <w:t>“</w:t>
      </w:r>
      <w:r>
        <w:rPr>
          <w:rFonts w:hint="eastAsia" w:ascii="仿宋" w:hAnsi="仿宋" w:eastAsia="仿宋" w:cs="宋体"/>
          <w:b/>
          <w:bCs/>
          <w:sz w:val="32"/>
          <w:szCs w:val="32"/>
        </w:rPr>
        <w:t>三公</w:t>
      </w:r>
      <w:r>
        <w:rPr>
          <w:rFonts w:ascii="仿宋" w:hAnsi="仿宋" w:eastAsia="仿宋"/>
          <w:b/>
          <w:bCs/>
          <w:sz w:val="32"/>
          <w:szCs w:val="32"/>
        </w:rPr>
        <w:t>”</w:t>
      </w:r>
      <w:r>
        <w:rPr>
          <w:rFonts w:hint="eastAsia" w:ascii="仿宋" w:hAnsi="仿宋" w:eastAsia="仿宋" w:cs="宋体"/>
          <w:b/>
          <w:bCs/>
          <w:sz w:val="32"/>
          <w:szCs w:val="32"/>
        </w:rPr>
        <w:t>经费：</w:t>
      </w:r>
      <w:r>
        <w:rPr>
          <w:rFonts w:hint="eastAsia" w:ascii="仿宋" w:hAnsi="仿宋" w:eastAsia="仿宋" w:cs="宋体"/>
          <w:sz w:val="32"/>
          <w:szCs w:val="32"/>
        </w:rPr>
        <w:t>纳入中央财政预决算管理的</w:t>
      </w:r>
      <w:r>
        <w:rPr>
          <w:rFonts w:ascii="仿宋" w:hAnsi="仿宋" w:eastAsia="仿宋" w:cs="Courier New"/>
          <w:sz w:val="32"/>
          <w:szCs w:val="32"/>
        </w:rPr>
        <w:t>“</w:t>
      </w:r>
      <w:r>
        <w:rPr>
          <w:rFonts w:hint="eastAsia" w:ascii="仿宋" w:hAnsi="仿宋" w:eastAsia="仿宋" w:cs="宋体"/>
          <w:sz w:val="32"/>
          <w:szCs w:val="32"/>
        </w:rPr>
        <w:t>三公</w:t>
      </w:r>
      <w:r>
        <w:rPr>
          <w:rFonts w:ascii="仿宋" w:hAnsi="仿宋" w:eastAsia="仿宋" w:cs="Courier New"/>
          <w:sz w:val="32"/>
          <w:szCs w:val="32"/>
        </w:rPr>
        <w:t>”</w:t>
      </w:r>
      <w:r>
        <w:rPr>
          <w:rFonts w:hint="eastAsia" w:ascii="仿宋" w:hAnsi="仿宋" w:eastAsia="仿宋" w:cs="宋体"/>
          <w:sz w:val="32"/>
          <w:szCs w:val="32"/>
        </w:rPr>
        <w:t>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3"/>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机关运行经费：</w:t>
      </w:r>
      <w:r>
        <w:rPr>
          <w:rFonts w:hint="eastAsia" w:ascii="仿宋" w:hAnsi="仿宋" w:eastAsia="仿宋" w:cs="宋体"/>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590" w:lineRule="exact"/>
        <w:jc w:val="left"/>
        <w:rPr>
          <w:rFonts w:ascii="仿宋" w:hAnsi="仿宋" w:eastAsia="仿宋"/>
          <w:sz w:val="32"/>
          <w:szCs w:val="32"/>
        </w:rPr>
      </w:pPr>
    </w:p>
    <w:p>
      <w:pPr>
        <w:rPr>
          <w:rFonts w:ascii="仿宋" w:hAnsi="仿宋" w:eastAsia="仿宋" w:cs="隶书"/>
          <w:sz w:val="48"/>
          <w:szCs w:val="48"/>
        </w:rPr>
      </w:pPr>
    </w:p>
    <w:sectPr>
      <w:pgSz w:w="11905" w:h="16838"/>
      <w:pgMar w:top="1440" w:right="1803" w:bottom="1440" w:left="1803" w:header="850" w:footer="992" w:gutter="0"/>
      <w:pgNumType w:fmt="numberInDash"/>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- 16 -</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CE763D"/>
    <w:multiLevelType w:val="singleLevel"/>
    <w:tmpl w:val="98CE763D"/>
    <w:lvl w:ilvl="0" w:tentative="0">
      <w:start w:val="1"/>
      <w:numFmt w:val="decimal"/>
      <w:lvlText w:val="%1."/>
      <w:lvlJc w:val="left"/>
      <w:pPr>
        <w:tabs>
          <w:tab w:val="left" w:pos="312"/>
        </w:tabs>
      </w:pPr>
    </w:lvl>
  </w:abstractNum>
  <w:abstractNum w:abstractNumId="1">
    <w:nsid w:val="5971BE17"/>
    <w:multiLevelType w:val="singleLevel"/>
    <w:tmpl w:val="5971BE17"/>
    <w:lvl w:ilvl="0" w:tentative="0">
      <w:start w:val="1"/>
      <w:numFmt w:val="chineseCounting"/>
      <w:suff w:val="nothing"/>
      <w:lvlText w:val="%1、"/>
      <w:lvlJc w:val="left"/>
      <w:rPr>
        <w:rFonts w:cs="Times New Roman"/>
      </w:rPr>
    </w:lvl>
  </w:abstractNum>
  <w:abstractNum w:abstractNumId="2">
    <w:nsid w:val="5971F72C"/>
    <w:multiLevelType w:val="singleLevel"/>
    <w:tmpl w:val="5971F72C"/>
    <w:lvl w:ilvl="0" w:tentative="0">
      <w:start w:val="1"/>
      <w:numFmt w:val="chineseCounting"/>
      <w:suff w:val="nothing"/>
      <w:lvlText w:val="%1、"/>
      <w:lvlJc w:val="left"/>
      <w:pPr>
        <w:ind w:firstLine="420"/>
      </w:pPr>
      <w:rPr>
        <w:rFonts w:hint="eastAsia"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210"/>
  <w:drawingGridVerticalSpacing w:val="159"/>
  <w:displayVerticalDrawingGridEvery w:val="2"/>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172A27"/>
    <w:rsid w:val="000268B8"/>
    <w:rsid w:val="00027D33"/>
    <w:rsid w:val="00042522"/>
    <w:rsid w:val="00046637"/>
    <w:rsid w:val="00092801"/>
    <w:rsid w:val="000B03A7"/>
    <w:rsid w:val="000B1B09"/>
    <w:rsid w:val="000B1B9B"/>
    <w:rsid w:val="00114977"/>
    <w:rsid w:val="00115D24"/>
    <w:rsid w:val="00132E43"/>
    <w:rsid w:val="00170110"/>
    <w:rsid w:val="0017112E"/>
    <w:rsid w:val="00172A27"/>
    <w:rsid w:val="00185E57"/>
    <w:rsid w:val="001A20DA"/>
    <w:rsid w:val="001D3FB5"/>
    <w:rsid w:val="002A721A"/>
    <w:rsid w:val="002D58B3"/>
    <w:rsid w:val="0030386B"/>
    <w:rsid w:val="00327363"/>
    <w:rsid w:val="00336FCB"/>
    <w:rsid w:val="003651E9"/>
    <w:rsid w:val="00376170"/>
    <w:rsid w:val="00402C74"/>
    <w:rsid w:val="00461CE2"/>
    <w:rsid w:val="004B2FFD"/>
    <w:rsid w:val="004B5B1E"/>
    <w:rsid w:val="004C11C3"/>
    <w:rsid w:val="004D36BB"/>
    <w:rsid w:val="004F3C7C"/>
    <w:rsid w:val="0050293C"/>
    <w:rsid w:val="00503F16"/>
    <w:rsid w:val="005124AA"/>
    <w:rsid w:val="0053318F"/>
    <w:rsid w:val="005462DD"/>
    <w:rsid w:val="005947C5"/>
    <w:rsid w:val="005E126E"/>
    <w:rsid w:val="00630D31"/>
    <w:rsid w:val="006735C5"/>
    <w:rsid w:val="006F22F7"/>
    <w:rsid w:val="00707516"/>
    <w:rsid w:val="007115FD"/>
    <w:rsid w:val="00731FE8"/>
    <w:rsid w:val="00743248"/>
    <w:rsid w:val="00787823"/>
    <w:rsid w:val="007956F5"/>
    <w:rsid w:val="007B72EA"/>
    <w:rsid w:val="007F7F87"/>
    <w:rsid w:val="00812C46"/>
    <w:rsid w:val="008F3CB7"/>
    <w:rsid w:val="009306DB"/>
    <w:rsid w:val="009B6CAD"/>
    <w:rsid w:val="00A77C36"/>
    <w:rsid w:val="00AB7377"/>
    <w:rsid w:val="00AE7787"/>
    <w:rsid w:val="00AF5F01"/>
    <w:rsid w:val="00AF7B15"/>
    <w:rsid w:val="00AF7FD8"/>
    <w:rsid w:val="00B12B50"/>
    <w:rsid w:val="00B27CAB"/>
    <w:rsid w:val="00B43A07"/>
    <w:rsid w:val="00B54309"/>
    <w:rsid w:val="00B64810"/>
    <w:rsid w:val="00B6740E"/>
    <w:rsid w:val="00B74243"/>
    <w:rsid w:val="00B84FB0"/>
    <w:rsid w:val="00BA37FF"/>
    <w:rsid w:val="00BC30E8"/>
    <w:rsid w:val="00BC5210"/>
    <w:rsid w:val="00BE4CA5"/>
    <w:rsid w:val="00BF3D6F"/>
    <w:rsid w:val="00BF74B7"/>
    <w:rsid w:val="00C57D7B"/>
    <w:rsid w:val="00C6444A"/>
    <w:rsid w:val="00CB3FCC"/>
    <w:rsid w:val="00CD4933"/>
    <w:rsid w:val="00CE4A73"/>
    <w:rsid w:val="00D07FA6"/>
    <w:rsid w:val="00D857B3"/>
    <w:rsid w:val="00D9092F"/>
    <w:rsid w:val="00DB1C77"/>
    <w:rsid w:val="00DD5457"/>
    <w:rsid w:val="00E21B07"/>
    <w:rsid w:val="00E32E02"/>
    <w:rsid w:val="00E8190D"/>
    <w:rsid w:val="00E92067"/>
    <w:rsid w:val="00EB3B9A"/>
    <w:rsid w:val="00EC7E84"/>
    <w:rsid w:val="00ED38A5"/>
    <w:rsid w:val="00ED44BB"/>
    <w:rsid w:val="00EE6AA4"/>
    <w:rsid w:val="00F7092C"/>
    <w:rsid w:val="00F71DFD"/>
    <w:rsid w:val="00F92F65"/>
    <w:rsid w:val="00FB0B96"/>
    <w:rsid w:val="01B35992"/>
    <w:rsid w:val="01F21A60"/>
    <w:rsid w:val="026651AD"/>
    <w:rsid w:val="027033B1"/>
    <w:rsid w:val="03240ECA"/>
    <w:rsid w:val="03361E6A"/>
    <w:rsid w:val="04453648"/>
    <w:rsid w:val="045316F9"/>
    <w:rsid w:val="07F31BEE"/>
    <w:rsid w:val="084D7413"/>
    <w:rsid w:val="08A93228"/>
    <w:rsid w:val="08FB3159"/>
    <w:rsid w:val="09A42898"/>
    <w:rsid w:val="09BB2134"/>
    <w:rsid w:val="0AF811F7"/>
    <w:rsid w:val="0B4E7122"/>
    <w:rsid w:val="0B686365"/>
    <w:rsid w:val="0B7D0182"/>
    <w:rsid w:val="0C366EEC"/>
    <w:rsid w:val="0F091215"/>
    <w:rsid w:val="0F516E70"/>
    <w:rsid w:val="0FAB2FE6"/>
    <w:rsid w:val="0FEF0DE6"/>
    <w:rsid w:val="10485A42"/>
    <w:rsid w:val="113E646F"/>
    <w:rsid w:val="117A0571"/>
    <w:rsid w:val="129F649E"/>
    <w:rsid w:val="1359389F"/>
    <w:rsid w:val="147E551D"/>
    <w:rsid w:val="14D2458E"/>
    <w:rsid w:val="150B6848"/>
    <w:rsid w:val="1529226C"/>
    <w:rsid w:val="15492582"/>
    <w:rsid w:val="17965762"/>
    <w:rsid w:val="17BE6092"/>
    <w:rsid w:val="17F73D7A"/>
    <w:rsid w:val="19952B4E"/>
    <w:rsid w:val="19CF041B"/>
    <w:rsid w:val="19EC5A6F"/>
    <w:rsid w:val="1A624019"/>
    <w:rsid w:val="1AAE1810"/>
    <w:rsid w:val="1B235D0F"/>
    <w:rsid w:val="1C1F61CB"/>
    <w:rsid w:val="1C3B117F"/>
    <w:rsid w:val="1C970E94"/>
    <w:rsid w:val="1CA855C4"/>
    <w:rsid w:val="1D1C0A70"/>
    <w:rsid w:val="1D8B7C1E"/>
    <w:rsid w:val="1E2566FD"/>
    <w:rsid w:val="1E7D3B34"/>
    <w:rsid w:val="1FBD13A6"/>
    <w:rsid w:val="20F5460F"/>
    <w:rsid w:val="212E5315"/>
    <w:rsid w:val="212F4398"/>
    <w:rsid w:val="23CA2B4E"/>
    <w:rsid w:val="23DB7D2F"/>
    <w:rsid w:val="25284710"/>
    <w:rsid w:val="254B33D1"/>
    <w:rsid w:val="256D2254"/>
    <w:rsid w:val="27507D70"/>
    <w:rsid w:val="29621C7E"/>
    <w:rsid w:val="2983760E"/>
    <w:rsid w:val="29B13F52"/>
    <w:rsid w:val="29ED2241"/>
    <w:rsid w:val="2AC56505"/>
    <w:rsid w:val="2ACE51FA"/>
    <w:rsid w:val="2AE56DCD"/>
    <w:rsid w:val="2BA4769A"/>
    <w:rsid w:val="2C654BE7"/>
    <w:rsid w:val="2C8F6BCF"/>
    <w:rsid w:val="2CC075DB"/>
    <w:rsid w:val="2CD06EF4"/>
    <w:rsid w:val="2D705C4F"/>
    <w:rsid w:val="2D9D4DA5"/>
    <w:rsid w:val="2DBF18D1"/>
    <w:rsid w:val="2F47056C"/>
    <w:rsid w:val="2F675D4E"/>
    <w:rsid w:val="307652F7"/>
    <w:rsid w:val="31795F4A"/>
    <w:rsid w:val="325F6EF2"/>
    <w:rsid w:val="32B13EFD"/>
    <w:rsid w:val="32EF005E"/>
    <w:rsid w:val="32EF40CE"/>
    <w:rsid w:val="33A76F4E"/>
    <w:rsid w:val="34416F30"/>
    <w:rsid w:val="356700F0"/>
    <w:rsid w:val="364D690A"/>
    <w:rsid w:val="365C2132"/>
    <w:rsid w:val="36927E66"/>
    <w:rsid w:val="36FA2471"/>
    <w:rsid w:val="372974AC"/>
    <w:rsid w:val="37EA5D50"/>
    <w:rsid w:val="38262F47"/>
    <w:rsid w:val="38902107"/>
    <w:rsid w:val="39637962"/>
    <w:rsid w:val="39765334"/>
    <w:rsid w:val="39967F15"/>
    <w:rsid w:val="3A060C7E"/>
    <w:rsid w:val="3AE7177F"/>
    <w:rsid w:val="3BC824E5"/>
    <w:rsid w:val="3C5769C0"/>
    <w:rsid w:val="3D3B7113"/>
    <w:rsid w:val="3E071129"/>
    <w:rsid w:val="3EA4192D"/>
    <w:rsid w:val="3EA437AD"/>
    <w:rsid w:val="3ECE1AA1"/>
    <w:rsid w:val="3EEE22CD"/>
    <w:rsid w:val="3F081D17"/>
    <w:rsid w:val="3FCD07F4"/>
    <w:rsid w:val="3FD93CA2"/>
    <w:rsid w:val="40223B4D"/>
    <w:rsid w:val="402377E7"/>
    <w:rsid w:val="419B7BE0"/>
    <w:rsid w:val="41CF71DE"/>
    <w:rsid w:val="42271DDB"/>
    <w:rsid w:val="42563EC6"/>
    <w:rsid w:val="432D6DA6"/>
    <w:rsid w:val="43E82B9D"/>
    <w:rsid w:val="43FA0DA1"/>
    <w:rsid w:val="442D2EFE"/>
    <w:rsid w:val="44396C2B"/>
    <w:rsid w:val="448A166C"/>
    <w:rsid w:val="457B1C96"/>
    <w:rsid w:val="46773344"/>
    <w:rsid w:val="468900BD"/>
    <w:rsid w:val="46F559ED"/>
    <w:rsid w:val="47332F05"/>
    <w:rsid w:val="4755690A"/>
    <w:rsid w:val="477D716C"/>
    <w:rsid w:val="48B52937"/>
    <w:rsid w:val="48C00F7D"/>
    <w:rsid w:val="48EE3EF3"/>
    <w:rsid w:val="4B2D55EB"/>
    <w:rsid w:val="4B98378B"/>
    <w:rsid w:val="4C1E2F28"/>
    <w:rsid w:val="4CCD5EAE"/>
    <w:rsid w:val="4D605B4A"/>
    <w:rsid w:val="4DE20C7C"/>
    <w:rsid w:val="4E131DCD"/>
    <w:rsid w:val="4E8F2CF9"/>
    <w:rsid w:val="4F21128D"/>
    <w:rsid w:val="4F37769C"/>
    <w:rsid w:val="50C2787A"/>
    <w:rsid w:val="5115239B"/>
    <w:rsid w:val="511C4FB0"/>
    <w:rsid w:val="541D6A82"/>
    <w:rsid w:val="544677EE"/>
    <w:rsid w:val="54F604A8"/>
    <w:rsid w:val="5584058C"/>
    <w:rsid w:val="55EA1009"/>
    <w:rsid w:val="561F2BF4"/>
    <w:rsid w:val="5651051D"/>
    <w:rsid w:val="56701540"/>
    <w:rsid w:val="57E961A8"/>
    <w:rsid w:val="581E77CF"/>
    <w:rsid w:val="58B06254"/>
    <w:rsid w:val="5A55793D"/>
    <w:rsid w:val="5A5C1B6E"/>
    <w:rsid w:val="5AF25131"/>
    <w:rsid w:val="5AFB5ABB"/>
    <w:rsid w:val="5BCA31AA"/>
    <w:rsid w:val="5C0F3375"/>
    <w:rsid w:val="5C767AA2"/>
    <w:rsid w:val="5DD56AC2"/>
    <w:rsid w:val="5E0A6E52"/>
    <w:rsid w:val="5E886EBD"/>
    <w:rsid w:val="5EB57926"/>
    <w:rsid w:val="5ECF3FA4"/>
    <w:rsid w:val="5F130DE5"/>
    <w:rsid w:val="5F964892"/>
    <w:rsid w:val="5FB578F9"/>
    <w:rsid w:val="600176AC"/>
    <w:rsid w:val="602079B1"/>
    <w:rsid w:val="60B55E2B"/>
    <w:rsid w:val="60B8378D"/>
    <w:rsid w:val="60F22670"/>
    <w:rsid w:val="617A16DC"/>
    <w:rsid w:val="61DE17B6"/>
    <w:rsid w:val="61F51F8A"/>
    <w:rsid w:val="624C73D1"/>
    <w:rsid w:val="627353C8"/>
    <w:rsid w:val="627A693C"/>
    <w:rsid w:val="62C5289C"/>
    <w:rsid w:val="62D27395"/>
    <w:rsid w:val="63FC5C35"/>
    <w:rsid w:val="664A46E0"/>
    <w:rsid w:val="6796775E"/>
    <w:rsid w:val="67D84ED8"/>
    <w:rsid w:val="67ED68D8"/>
    <w:rsid w:val="684E1D81"/>
    <w:rsid w:val="68500770"/>
    <w:rsid w:val="686B0051"/>
    <w:rsid w:val="687C156E"/>
    <w:rsid w:val="689D4421"/>
    <w:rsid w:val="68E95CA0"/>
    <w:rsid w:val="68F315DE"/>
    <w:rsid w:val="69F84494"/>
    <w:rsid w:val="6A93477A"/>
    <w:rsid w:val="6ABB6698"/>
    <w:rsid w:val="6AC30185"/>
    <w:rsid w:val="6AF6750A"/>
    <w:rsid w:val="6C702674"/>
    <w:rsid w:val="6D62036F"/>
    <w:rsid w:val="6DC12C15"/>
    <w:rsid w:val="6E452221"/>
    <w:rsid w:val="6F2D14A1"/>
    <w:rsid w:val="6F94315C"/>
    <w:rsid w:val="6FDF24CC"/>
    <w:rsid w:val="705F045F"/>
    <w:rsid w:val="71490407"/>
    <w:rsid w:val="7156288B"/>
    <w:rsid w:val="718F11BE"/>
    <w:rsid w:val="729811A1"/>
    <w:rsid w:val="72B61072"/>
    <w:rsid w:val="73F12465"/>
    <w:rsid w:val="748270C1"/>
    <w:rsid w:val="75531EF6"/>
    <w:rsid w:val="755A7A11"/>
    <w:rsid w:val="75D0003D"/>
    <w:rsid w:val="76BA049D"/>
    <w:rsid w:val="776C6617"/>
    <w:rsid w:val="783E1213"/>
    <w:rsid w:val="79060C93"/>
    <w:rsid w:val="799764F9"/>
    <w:rsid w:val="79CE37CF"/>
    <w:rsid w:val="79CF574F"/>
    <w:rsid w:val="7A070B19"/>
    <w:rsid w:val="7AD8764C"/>
    <w:rsid w:val="7C2C4361"/>
    <w:rsid w:val="7E5F132A"/>
    <w:rsid w:val="7E71420D"/>
    <w:rsid w:val="7E8E7D66"/>
    <w:rsid w:val="7F750CC0"/>
    <w:rsid w:val="7FE1247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99"/>
    <w:pPr>
      <w:ind w:firstLine="640" w:firstLineChars="200"/>
    </w:pPr>
  </w:style>
  <w:style w:type="paragraph" w:styleId="3">
    <w:name w:val="footer"/>
    <w:basedOn w:val="1"/>
    <w:link w:val="9"/>
    <w:qFormat/>
    <w:uiPriority w:val="99"/>
    <w:pPr>
      <w:tabs>
        <w:tab w:val="center" w:pos="4153"/>
        <w:tab w:val="right" w:pos="8306"/>
      </w:tabs>
      <w:snapToGrid w:val="0"/>
      <w:jc w:val="left"/>
    </w:pPr>
    <w:rPr>
      <w:sz w:val="18"/>
    </w:rPr>
  </w:style>
  <w:style w:type="paragraph" w:styleId="4">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locked/>
    <w:uiPriority w:val="0"/>
    <w:pPr>
      <w:spacing w:before="0" w:beforeAutospacing="1" w:after="0" w:afterAutospacing="1"/>
      <w:ind w:left="0" w:right="0"/>
      <w:jc w:val="left"/>
    </w:pPr>
    <w:rPr>
      <w:kern w:val="0"/>
      <w:sz w:val="24"/>
      <w:lang w:val="en-US" w:eastAsia="zh-CN" w:bidi="ar"/>
    </w:rPr>
  </w:style>
  <w:style w:type="character" w:customStyle="1" w:styleId="8">
    <w:name w:val="正文文本缩进 Char"/>
    <w:basedOn w:val="7"/>
    <w:link w:val="2"/>
    <w:semiHidden/>
    <w:qFormat/>
    <w:locked/>
    <w:uiPriority w:val="99"/>
    <w:rPr>
      <w:rFonts w:ascii="Calibri" w:hAnsi="Calibri" w:cs="Times New Roman"/>
      <w:sz w:val="24"/>
      <w:szCs w:val="24"/>
    </w:rPr>
  </w:style>
  <w:style w:type="character" w:customStyle="1" w:styleId="9">
    <w:name w:val="页脚 Char"/>
    <w:basedOn w:val="7"/>
    <w:link w:val="3"/>
    <w:semiHidden/>
    <w:qFormat/>
    <w:locked/>
    <w:uiPriority w:val="99"/>
    <w:rPr>
      <w:rFonts w:ascii="Calibri" w:hAnsi="Calibri" w:cs="Times New Roman"/>
      <w:sz w:val="18"/>
      <w:szCs w:val="18"/>
    </w:rPr>
  </w:style>
  <w:style w:type="character" w:customStyle="1" w:styleId="10">
    <w:name w:val="页眉 Char"/>
    <w:basedOn w:val="7"/>
    <w:link w:val="4"/>
    <w:semiHidden/>
    <w:qFormat/>
    <w:locked/>
    <w:uiPriority w:val="99"/>
    <w:rPr>
      <w:rFonts w:ascii="Calibri" w:hAnsi="Calibri" w:cs="Times New Roman"/>
      <w:sz w:val="18"/>
      <w:szCs w:val="18"/>
    </w:rPr>
  </w:style>
  <w:style w:type="character" w:customStyle="1" w:styleId="11">
    <w:name w:val="font31"/>
    <w:basedOn w:val="7"/>
    <w:qFormat/>
    <w:uiPriority w:val="99"/>
    <w:rPr>
      <w:rFonts w:ascii="Arial" w:hAnsi="Arial" w:cs="Arial"/>
      <w:color w:val="000000"/>
      <w:sz w:val="16"/>
      <w:szCs w:val="16"/>
      <w:u w:val="none"/>
    </w:rPr>
  </w:style>
  <w:style w:type="character" w:customStyle="1" w:styleId="12">
    <w:name w:val="font01"/>
    <w:basedOn w:val="7"/>
    <w:qFormat/>
    <w:uiPriority w:val="99"/>
    <w:rPr>
      <w:rFonts w:ascii="Arial" w:hAnsi="Arial" w:cs="Arial"/>
      <w:color w:val="000000"/>
      <w:sz w:val="16"/>
      <w:szCs w:val="16"/>
      <w:u w:val="none"/>
    </w:rPr>
  </w:style>
  <w:style w:type="character" w:customStyle="1" w:styleId="13">
    <w:name w:val="font41"/>
    <w:basedOn w:val="7"/>
    <w:qFormat/>
    <w:uiPriority w:val="99"/>
    <w:rPr>
      <w:rFonts w:ascii="宋体" w:hAnsi="宋体" w:eastAsia="宋体" w:cs="宋体"/>
      <w:color w:val="000000"/>
      <w:sz w:val="16"/>
      <w:szCs w:val="16"/>
      <w:u w:val="none"/>
    </w:rPr>
  </w:style>
  <w:style w:type="paragraph" w:customStyle="1" w:styleId="14">
    <w:name w:val="列出段落1"/>
    <w:basedOn w:val="1"/>
    <w:unhideWhenUsed/>
    <w:qFormat/>
    <w:uiPriority w:val="99"/>
    <w:pPr>
      <w:ind w:firstLine="420" w:firstLineChars="200"/>
    </w:pPr>
  </w:style>
  <w:style w:type="paragraph" w:customStyle="1" w:styleId="15">
    <w:name w:val="style3"/>
    <w:basedOn w:val="1"/>
    <w:qFormat/>
    <w:uiPriority w:val="0"/>
    <w:pPr>
      <w:spacing w:before="100" w:beforeAutospacing="1" w:after="100" w:afterAutospacing="1"/>
    </w:pPr>
    <w:rPr>
      <w:rFonts w:ascii="宋体" w:hAnsi="宋体" w:cs="宋体"/>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110912-3435-41E0-8400-7CB3EA508BFF}">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26</Pages>
  <Words>1067</Words>
  <Characters>6084</Characters>
  <Lines>50</Lines>
  <Paragraphs>14</Paragraphs>
  <TotalTime>163</TotalTime>
  <ScaleCrop>false</ScaleCrop>
  <LinksUpToDate>false</LinksUpToDate>
  <CharactersWithSpaces>7137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从光宇</cp:lastModifiedBy>
  <cp:lastPrinted>2018-02-24T09:25:00Z</cp:lastPrinted>
  <dcterms:modified xsi:type="dcterms:W3CDTF">2021-06-19T13:34:55Z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497BB06E11F14F68B19E36E02724E4A0</vt:lpwstr>
  </property>
</Properties>
</file>