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2020年</w:t>
      </w:r>
      <w:bookmarkStart w:id="0" w:name="_GoBack"/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信阳市浉河区人力资源和社会保障局</w:t>
      </w:r>
      <w:bookmarkEnd w:id="0"/>
      <w:r>
        <w:rPr>
          <w:rFonts w:hint="eastAsia" w:ascii="宋体" w:hAnsi="宋体"/>
          <w:b/>
          <w:color w:val="auto"/>
          <w:sz w:val="36"/>
          <w:szCs w:val="36"/>
        </w:rPr>
        <w:t>部门预算公开说明</w:t>
      </w:r>
    </w:p>
    <w:p>
      <w:pPr>
        <w:spacing w:line="600" w:lineRule="exact"/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目   录</w:t>
      </w:r>
    </w:p>
    <w:p>
      <w:pPr>
        <w:spacing w:line="600" w:lineRule="exact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 xml:space="preserve">   </w:t>
      </w:r>
      <w:r>
        <w:rPr>
          <w:rFonts w:hint="eastAsia" w:ascii="黑体" w:eastAsia="黑体"/>
          <w:color w:val="auto"/>
          <w:sz w:val="32"/>
          <w:szCs w:val="32"/>
        </w:rPr>
        <w:t>一 、</w:t>
      </w:r>
      <w:r>
        <w:rPr>
          <w:rFonts w:hint="eastAsia" w:eastAsia="黑体"/>
          <w:color w:val="auto"/>
          <w:sz w:val="32"/>
          <w:szCs w:val="32"/>
          <w:lang w:eastAsia="zh-CN"/>
        </w:rPr>
        <w:t>信阳市浉河区人力资源和社会保障局</w:t>
      </w:r>
      <w:r>
        <w:rPr>
          <w:rFonts w:eastAsia="黑体"/>
          <w:color w:val="auto"/>
          <w:sz w:val="32"/>
          <w:szCs w:val="32"/>
        </w:rPr>
        <w:t>基本情况</w:t>
      </w:r>
    </w:p>
    <w:p>
      <w:pPr>
        <w:spacing w:line="6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 （一）</w:t>
      </w:r>
      <w:r>
        <w:rPr>
          <w:rFonts w:hint="eastAsia" w:eastAsia="黑体"/>
          <w:color w:val="auto"/>
          <w:sz w:val="32"/>
          <w:szCs w:val="32"/>
          <w:lang w:eastAsia="zh-CN"/>
        </w:rPr>
        <w:t>信阳市浉河区人力资源和社会保障局</w:t>
      </w:r>
      <w:r>
        <w:rPr>
          <w:rFonts w:ascii="宋体" w:hAnsi="宋体"/>
          <w:color w:val="auto"/>
          <w:sz w:val="32"/>
          <w:szCs w:val="32"/>
        </w:rPr>
        <w:t>主要职责</w:t>
      </w:r>
    </w:p>
    <w:p>
      <w:pPr>
        <w:spacing w:line="6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 （二）</w:t>
      </w:r>
      <w:r>
        <w:rPr>
          <w:rFonts w:hint="eastAsia" w:eastAsia="黑体"/>
          <w:color w:val="auto"/>
          <w:sz w:val="32"/>
          <w:szCs w:val="32"/>
          <w:lang w:eastAsia="zh-CN"/>
        </w:rPr>
        <w:t>信阳市浉河区人力资源和社会保障局</w:t>
      </w:r>
      <w:r>
        <w:rPr>
          <w:rFonts w:ascii="宋体" w:hAnsi="宋体"/>
          <w:color w:val="auto"/>
          <w:sz w:val="32"/>
          <w:szCs w:val="32"/>
        </w:rPr>
        <w:t>机构设置</w:t>
      </w:r>
    </w:p>
    <w:p>
      <w:pPr>
        <w:spacing w:line="60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二、2020年度部门预算情况说明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名词解释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附件：</w:t>
      </w:r>
      <w:r>
        <w:rPr>
          <w:rFonts w:hint="eastAsia" w:eastAsia="黑体"/>
          <w:color w:val="auto"/>
          <w:sz w:val="32"/>
          <w:szCs w:val="32"/>
          <w:lang w:eastAsia="zh-CN"/>
        </w:rPr>
        <w:t>信阳市浉河区人力资源和社会保障局</w:t>
      </w:r>
      <w:r>
        <w:rPr>
          <w:rFonts w:hint="eastAsia" w:ascii="黑体" w:eastAsia="黑体"/>
          <w:color w:val="auto"/>
          <w:sz w:val="32"/>
          <w:szCs w:val="32"/>
        </w:rPr>
        <w:t>2020年度部门预算表</w:t>
      </w:r>
    </w:p>
    <w:p>
      <w:pPr>
        <w:spacing w:line="600" w:lineRule="exact"/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1、部门收支总体情况表</w:t>
      </w:r>
    </w:p>
    <w:p>
      <w:pPr>
        <w:spacing w:line="600" w:lineRule="exact"/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2、部门收入总体情况表</w:t>
      </w:r>
    </w:p>
    <w:p>
      <w:pPr>
        <w:spacing w:line="600" w:lineRule="exact"/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3、部门支出总体情况表</w:t>
      </w:r>
    </w:p>
    <w:p>
      <w:pPr>
        <w:spacing w:line="600" w:lineRule="exact"/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4、财政拨款收支总体情况表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5、一般公共预算支出情况表</w:t>
      </w:r>
    </w:p>
    <w:p>
      <w:pPr>
        <w:spacing w:line="600" w:lineRule="exact"/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color w:val="auto"/>
          <w:sz w:val="32"/>
          <w:szCs w:val="32"/>
        </w:rPr>
        <w:t>、政府性基金预算支出情况表</w:t>
      </w:r>
    </w:p>
    <w:p>
      <w:pPr>
        <w:spacing w:line="600" w:lineRule="exact"/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color w:val="auto"/>
          <w:sz w:val="32"/>
          <w:szCs w:val="32"/>
        </w:rPr>
        <w:t>、一般公共预算基本支出情况表</w:t>
      </w:r>
    </w:p>
    <w:p>
      <w:pPr>
        <w:spacing w:line="600" w:lineRule="exact"/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color w:val="auto"/>
          <w:sz w:val="32"/>
          <w:szCs w:val="32"/>
        </w:rPr>
        <w:t>、一般公共预算“三公”经费支出情况表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Theme="minorEastAsia" w:hAnsiTheme="minorEastAsia" w:eastAsiaTheme="minorEastAsia"/>
          <w:b/>
          <w:color w:val="auto"/>
          <w:sz w:val="36"/>
          <w:szCs w:val="36"/>
        </w:rPr>
      </w:pPr>
      <w:r>
        <w:rPr>
          <w:rFonts w:eastAsia="黑体"/>
          <w:color w:val="auto"/>
          <w:sz w:val="32"/>
          <w:szCs w:val="32"/>
        </w:rPr>
        <w:br w:type="page"/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一、部门基本情况</w:t>
      </w:r>
    </w:p>
    <w:p>
      <w:pPr>
        <w:spacing w:line="360" w:lineRule="auto"/>
        <w:ind w:firstLine="450" w:firstLineChars="15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（一）内设机构及职责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机关内设 11个职能科室和12个二级归口独立预算单位。主要职责是：（一）贯彻执行国家、省人力资源和社会保障法律、法规、政策；（二）拟定全区人力资源市场发展规划和人力资源流动政策措施，建立统一规范的人力资源市场，促进人力资源合理流动有效配置；（三）负责全区社会保险基金征缴和待遇支付，保持社会保险基金总体收支平衡；（四）负责全区事业单位人事综合管理工作；（五）负责组织实施全区劳动保障监察、劳动人事调解工作，切实维护劳动者合法权益。</w:t>
      </w:r>
    </w:p>
    <w:p>
      <w:pPr>
        <w:spacing w:line="360" w:lineRule="auto"/>
        <w:ind w:firstLine="450" w:firstLineChars="15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（二）人员构成情况</w:t>
      </w:r>
    </w:p>
    <w:p>
      <w:pPr>
        <w:widowControl/>
        <w:ind w:firstLine="600" w:firstLineChars="200"/>
        <w:jc w:val="left"/>
        <w:rPr>
          <w:rFonts w:hint="eastAsia"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机关及归口预算管理单位共有编制 139人，其中：行政编制11人，事业编制128人；在职职工 153人，离退休人员46人。</w:t>
      </w:r>
    </w:p>
    <w:p>
      <w:pPr>
        <w:spacing w:line="360" w:lineRule="auto"/>
        <w:ind w:firstLine="450" w:firstLineChars="150"/>
        <w:rPr>
          <w:rFonts w:hint="eastAsia"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（三）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从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预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算单位构成看</w:t>
      </w:r>
    </w:p>
    <w:p>
      <w:pPr>
        <w:widowControl/>
        <w:ind w:firstLine="600" w:firstLineChars="200"/>
        <w:jc w:val="left"/>
        <w:rPr>
          <w:rFonts w:hint="eastAsia"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部门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预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算包括：本级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预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算、所属单位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预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算。</w:t>
      </w:r>
    </w:p>
    <w:p>
      <w:pPr>
        <w:widowControl/>
        <w:ind w:firstLine="600" w:firstLineChars="200"/>
        <w:jc w:val="left"/>
        <w:rPr>
          <w:rFonts w:hint="eastAsia"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纳入本部门20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年度部门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预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算编制范围的单位共4个，其中二级预算单位3个，具体是：</w:t>
      </w:r>
    </w:p>
    <w:p>
      <w:pPr>
        <w:widowControl/>
        <w:ind w:firstLine="600" w:firstLineChars="200"/>
        <w:jc w:val="left"/>
        <w:rPr>
          <w:rFonts w:hint="eastAsia"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1.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本级</w:t>
      </w:r>
    </w:p>
    <w:p>
      <w:pPr>
        <w:widowControl/>
        <w:ind w:firstLine="600" w:firstLineChars="200"/>
        <w:jc w:val="left"/>
        <w:rPr>
          <w:rFonts w:hint="eastAsia"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2.浉河区干部档案室</w:t>
      </w:r>
    </w:p>
    <w:p>
      <w:pPr>
        <w:widowControl/>
        <w:ind w:firstLine="600" w:firstLineChars="200"/>
        <w:jc w:val="left"/>
        <w:rPr>
          <w:rFonts w:hint="eastAsia"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3.浉河区军转干部服务中心（机构改革2019年划出）</w:t>
      </w:r>
    </w:p>
    <w:p>
      <w:pPr>
        <w:widowControl/>
        <w:ind w:firstLine="600" w:firstLineChars="200"/>
        <w:jc w:val="left"/>
        <w:rPr>
          <w:rFonts w:hint="eastAsia"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信息中心</w:t>
      </w:r>
    </w:p>
    <w:p>
      <w:pPr>
        <w:spacing w:line="360" w:lineRule="auto"/>
        <w:ind w:firstLine="750" w:firstLineChars="250"/>
        <w:rPr>
          <w:rFonts w:hint="default" w:asciiTheme="minorEastAsia" w:hAnsiTheme="minorEastAsia" w:eastAsiaTheme="minorEastAsia"/>
          <w:color w:val="auto"/>
          <w:sz w:val="30"/>
          <w:szCs w:val="30"/>
          <w:lang w:val="en-US" w:eastAsia="zh-CN"/>
        </w:rPr>
      </w:pPr>
    </w:p>
    <w:p>
      <w:pPr>
        <w:spacing w:line="360" w:lineRule="auto"/>
        <w:ind w:firstLine="450" w:firstLineChars="150"/>
        <w:rPr>
          <w:rFonts w:hint="eastAsia"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（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四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）预算年度主要工作任务</w:t>
      </w:r>
    </w:p>
    <w:p>
      <w:pPr>
        <w:spacing w:line="360" w:lineRule="auto"/>
        <w:ind w:firstLine="588" w:firstLineChars="196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一是贯彻执行国家、省、市人力资源和社会保障法律、法规、政策，认真做好全区人力资源和社会保障服务工作。 二是将所有收入纳入预算，包括行政事业性收费、固定资产出租等，控制公用经费和楼堂馆所等基本建设支出。</w:t>
      </w:r>
    </w:p>
    <w:p>
      <w:pPr>
        <w:spacing w:line="360" w:lineRule="auto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二、20</w:t>
      </w:r>
      <w:r>
        <w:rPr>
          <w:rFonts w:hint="eastAsia" w:eastAsia="黑体"/>
          <w:color w:val="auto"/>
          <w:sz w:val="32"/>
          <w:szCs w:val="32"/>
        </w:rPr>
        <w:t>20</w:t>
      </w:r>
      <w:r>
        <w:rPr>
          <w:rFonts w:eastAsia="黑体"/>
          <w:color w:val="auto"/>
          <w:sz w:val="32"/>
          <w:szCs w:val="32"/>
        </w:rPr>
        <w:t>年度部门预算说明</w:t>
      </w:r>
    </w:p>
    <w:p>
      <w:pPr>
        <w:spacing w:line="360" w:lineRule="auto"/>
        <w:ind w:firstLine="643" w:firstLineChars="200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（一）</w:t>
      </w:r>
      <w:r>
        <w:rPr>
          <w:rFonts w:hint="eastAsia" w:eastAsia="仿宋_GB2312"/>
          <w:b/>
          <w:bCs/>
          <w:color w:val="auto"/>
          <w:sz w:val="32"/>
          <w:szCs w:val="32"/>
        </w:rPr>
        <w:t>收入支出预算总体情况说明</w:t>
      </w:r>
    </w:p>
    <w:p>
      <w:pPr>
        <w:spacing w:line="360" w:lineRule="auto"/>
        <w:ind w:firstLine="602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2020年行政机关收入预算754.24万元，</w:t>
      </w:r>
      <w:r>
        <w:rPr>
          <w:rFonts w:eastAsia="仿宋_GB2312"/>
          <w:color w:val="auto"/>
          <w:sz w:val="32"/>
          <w:szCs w:val="32"/>
        </w:rPr>
        <w:t>支出总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计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754.24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万元，与201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9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年相比</w:t>
      </w:r>
      <w:r>
        <w:rPr>
          <w:rFonts w:eastAsia="仿宋_GB2312"/>
          <w:color w:val="auto"/>
          <w:sz w:val="32"/>
          <w:szCs w:val="32"/>
        </w:rPr>
        <w:t>，收、支总计各</w:t>
      </w:r>
      <w:r>
        <w:rPr>
          <w:rFonts w:hint="eastAsia" w:eastAsia="仿宋_GB2312"/>
          <w:color w:val="auto"/>
          <w:sz w:val="32"/>
          <w:szCs w:val="32"/>
        </w:rPr>
        <w:t>增加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180.34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增加31.42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%。</w:t>
      </w:r>
      <w:r>
        <w:rPr>
          <w:rFonts w:eastAsia="仿宋_GB2312"/>
          <w:color w:val="auto"/>
          <w:sz w:val="32"/>
          <w:szCs w:val="32"/>
        </w:rPr>
        <w:t>主要原因</w:t>
      </w:r>
      <w:r>
        <w:rPr>
          <w:rFonts w:hint="eastAsia" w:eastAsia="仿宋_GB2312"/>
          <w:color w:val="auto"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区事业单位招聘工作人员和省招才引智引进人才人员数量增加，导致工作量、业务量、工作经费等增加。</w:t>
      </w:r>
    </w:p>
    <w:p>
      <w:pPr>
        <w:spacing w:line="360" w:lineRule="auto"/>
        <w:ind w:firstLine="643" w:firstLineChars="200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（二）收入预算</w:t>
      </w:r>
      <w:r>
        <w:rPr>
          <w:rFonts w:hint="eastAsia" w:eastAsia="仿宋_GB2312"/>
          <w:b/>
          <w:bCs/>
          <w:color w:val="auto"/>
          <w:sz w:val="32"/>
          <w:szCs w:val="32"/>
        </w:rPr>
        <w:t>总体情况</w:t>
      </w:r>
      <w:r>
        <w:rPr>
          <w:rFonts w:eastAsia="仿宋_GB2312"/>
          <w:b/>
          <w:bCs/>
          <w:color w:val="auto"/>
          <w:sz w:val="32"/>
          <w:szCs w:val="32"/>
        </w:rPr>
        <w:t>说明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机关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年收入预算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754.24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万元，其中：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一般公共预算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收入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710.74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占收入预算94.2%；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其他收入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43.50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(行政收费)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占年初收入预算5.8%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。</w:t>
      </w:r>
    </w:p>
    <w:p>
      <w:pPr>
        <w:spacing w:line="360" w:lineRule="auto"/>
        <w:ind w:firstLine="602" w:firstLineChars="200"/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</w:pPr>
      <w:r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  <w:t>（三）支出预算总体情况说明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年支出预算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754.24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万元，其中：基本支出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708.74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万元，占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9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3.97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%；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“三支一扶”大学生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项目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支出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45.50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万元，占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6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.03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%。</w:t>
      </w:r>
    </w:p>
    <w:p>
      <w:pPr>
        <w:spacing w:line="360" w:lineRule="auto"/>
        <w:ind w:firstLine="602" w:firstLineChars="200"/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</w:pPr>
      <w:r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  <w:t>（四）财政拨款收入支出预算总体情况说明</w:t>
      </w:r>
    </w:p>
    <w:p>
      <w:pPr>
        <w:spacing w:line="360" w:lineRule="auto"/>
        <w:ind w:firstLine="602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财政拨款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收支预算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710.74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万元。与 201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9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年相比，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财政拨款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收支预算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增加136.84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增加23.84%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增加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的主要原因：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区事业单位招聘工作人员和省招才引智引进人才人员数量增加，导致工作量、业务量、工作经费等增加。</w:t>
      </w:r>
    </w:p>
    <w:p>
      <w:pPr>
        <w:spacing w:line="360" w:lineRule="auto"/>
        <w:ind w:firstLine="602" w:firstLineChars="200"/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</w:pPr>
      <w:r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  <w:t>（五）一般公共预算支出预算情况说明</w:t>
      </w:r>
    </w:p>
    <w:p>
      <w:pPr>
        <w:spacing w:line="360" w:lineRule="auto"/>
        <w:ind w:firstLine="900" w:firstLineChars="30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2020年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一般公共预算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支出754.24万元，按一般公共预算支出功能划分为：工资福利和对个人和家庭的补助支出3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.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3万元，占40.6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%；商品和服务支出402.51万元，占53.37%；“三支一扶”大学生专项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支出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45.50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，占6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.03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%。</w:t>
      </w:r>
    </w:p>
    <w:p>
      <w:pPr>
        <w:spacing w:line="360" w:lineRule="auto"/>
        <w:ind w:firstLine="452" w:firstLineChars="150"/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</w:pPr>
      <w:r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  <w:t>（六）一般公共预算基本支出预算情况说明</w:t>
      </w:r>
    </w:p>
    <w:p>
      <w:pPr>
        <w:spacing w:line="360" w:lineRule="auto"/>
        <w:ind w:firstLine="645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机关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一般公共预算基本支出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7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08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.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4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万元，其中：人员经费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3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06.23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 xml:space="preserve">万元，主要包括：基本工资、津贴补贴、奖金、社会保障缴费、绩效工资、离休费、遗属补助、住房公积金等；公用经费 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402.51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万元，主要包括：办公费、印刷费、手续费、水费、电费、邮电费、差旅费、维修（护）费、租赁费、会议费、培训费、公务接待费、工会经费、福利费、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事业单位招聘工作人员费用、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其他交通费用等。</w:t>
      </w:r>
    </w:p>
    <w:p>
      <w:pPr>
        <w:spacing w:line="360" w:lineRule="auto"/>
        <w:ind w:firstLine="753" w:firstLineChars="250"/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</w:pPr>
      <w:r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  <w:t>（七）政府性基金预算支出决算情况说明</w:t>
      </w:r>
    </w:p>
    <w:p>
      <w:pPr>
        <w:spacing w:line="360" w:lineRule="auto"/>
        <w:ind w:firstLine="945" w:firstLineChars="315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年无政府性基金预算支出。</w:t>
      </w:r>
    </w:p>
    <w:p>
      <w:pPr>
        <w:spacing w:line="360" w:lineRule="auto"/>
        <w:ind w:firstLine="645"/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</w:pPr>
      <w:r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  <w:t>（八）“三公”经费支出预算情况说明</w:t>
      </w:r>
    </w:p>
    <w:p>
      <w:pPr>
        <w:spacing w:line="360" w:lineRule="auto"/>
        <w:ind w:firstLine="747" w:firstLineChars="249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预算2020年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机关“三公”经费支出5万元，与上年持平，其中公务接待费支出5万元，50次，接待1000人次，当年无因公出国（境）费、公务用车购置费预算支出安排。</w:t>
      </w:r>
    </w:p>
    <w:p>
      <w:pPr>
        <w:kinsoku w:val="0"/>
        <w:overflowPunct w:val="0"/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asciiTheme="minorEastAsia" w:hAnsiTheme="minorEastAsia" w:eastAsiaTheme="minorEastAsia"/>
          <w:color w:val="auto"/>
          <w:sz w:val="30"/>
          <w:szCs w:val="30"/>
        </w:rPr>
        <w:t>具体支出情况如下：</w:t>
      </w:r>
    </w:p>
    <w:p>
      <w:pPr>
        <w:numPr>
          <w:ilvl w:val="0"/>
          <w:numId w:val="2"/>
        </w:numPr>
        <w:ind w:firstLine="600" w:firstLineChars="200"/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30"/>
          <w:szCs w:val="30"/>
        </w:rPr>
        <w:t>因公出国（境）费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0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。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全年安排机关单位因公出国（境）团组0个，累计0人次。</w:t>
      </w:r>
    </w:p>
    <w:p>
      <w:pPr>
        <w:numPr>
          <w:ilvl w:val="0"/>
          <w:numId w:val="2"/>
        </w:numPr>
        <w:ind w:firstLine="600" w:firstLineChars="200"/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公务用车购置及运行费0万元，公车保有量为0，其中，公务用车购置费0万元；公务用车运行维护费0万元，主要用于开展工作所需公务用车的燃料费、维修费、过路过桥费、保险费等支出。预算数与2019年持平。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3、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公务接待费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5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万元，主要用于按规定开支的各类公务接待支出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，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预算数比 201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9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基本持平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。</w:t>
      </w:r>
    </w:p>
    <w:p>
      <w:pPr>
        <w:kinsoku w:val="0"/>
        <w:overflowPunct w:val="0"/>
        <w:spacing w:line="360" w:lineRule="auto"/>
        <w:ind w:firstLine="602" w:firstLineChars="200"/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</w:pPr>
      <w:r>
        <w:rPr>
          <w:rFonts w:asciiTheme="minorEastAsia" w:hAnsiTheme="minorEastAsia" w:eastAsiaTheme="minorEastAsia"/>
          <w:b/>
          <w:bCs/>
          <w:color w:val="auto"/>
          <w:sz w:val="30"/>
          <w:szCs w:val="30"/>
        </w:rPr>
        <w:t>（九）其他重要事项的情况说明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1、机关运行经费安排的情况说明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为保证我单位日常正常运行，2020年机关运行经费预算支出402.51万元（包括区直事业单位招聘工作人员专项经费100万元、省招才引智引进人才120万元和行政收费纳入财政专户管理的资金43.50万元）。其中办公费92.11万元、印刷费11万元、水费1.44万元、电费8.70万元、邮电费4.20万元、物业及通讯费19.20、维修费5.50万元、培训费14万元、会议费60万元、工会会费12万元、差旅费9.80万元、事业单位招聘支出100万元、公务员交通补贴16.56万元、公务接待费5万元、房屋租赁费30万元、上缴市局技工考试报名费13万元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2、政府采购的情况说明</w:t>
      </w:r>
    </w:p>
    <w:p>
      <w:pPr>
        <w:widowControl/>
        <w:spacing w:line="600" w:lineRule="exact"/>
        <w:ind w:firstLine="60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区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人力社局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年政府采购预算安排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5.80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万元，其中：政府采购货物预算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val="en-US" w:eastAsia="zh-CN"/>
        </w:rPr>
        <w:t>5.80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万元、政府采购工程预算0万元、政府采购服务预算0万元。采购内容包括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办公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设备购置等。</w:t>
      </w:r>
    </w:p>
    <w:p>
      <w:pPr>
        <w:kinsoku w:val="0"/>
        <w:overflowPunct w:val="0"/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3、</w:t>
      </w:r>
      <w:r>
        <w:rPr>
          <w:rFonts w:asciiTheme="minorEastAsia" w:hAnsiTheme="minorEastAsia" w:eastAsiaTheme="minorEastAsia"/>
          <w:color w:val="auto"/>
          <w:sz w:val="30"/>
          <w:szCs w:val="30"/>
        </w:rPr>
        <w:t>关于预算绩效管理工作开展情况说明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30"/>
          <w:szCs w:val="30"/>
        </w:rPr>
      </w:pPr>
      <w:r>
        <w:rPr>
          <w:rFonts w:asciiTheme="minorEastAsia" w:hAnsiTheme="minorEastAsia" w:eastAsiaTheme="minorEastAsia"/>
          <w:color w:val="auto"/>
          <w:sz w:val="30"/>
          <w:szCs w:val="30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  <w:t>信阳市浉河区人力资源和社会保障局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2020年没有安排预算绩效评价的项目。</w:t>
      </w:r>
    </w:p>
    <w:p>
      <w:pPr>
        <w:kinsoku w:val="0"/>
        <w:overflowPunct w:val="0"/>
        <w:spacing w:line="360" w:lineRule="auto"/>
        <w:ind w:firstLine="60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</w:rPr>
        <w:t>4</w:t>
      </w:r>
      <w:r>
        <w:rPr>
          <w:rFonts w:hint="eastAsia" w:eastAsia="仿宋_GB2312"/>
          <w:color w:val="auto"/>
          <w:sz w:val="32"/>
          <w:szCs w:val="32"/>
        </w:rPr>
        <w:t>、国有资产占用情况</w:t>
      </w:r>
    </w:p>
    <w:p>
      <w:pPr>
        <w:spacing w:line="360" w:lineRule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 xml:space="preserve">    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19年期末，我局共有车辆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辆，其中：一般公务用车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辆、一般执法执勤用车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辆、特种用途车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辆。单价50万元以上的通用设备0台（套），单位价值100万以上的专业设备0台（套）。办公用房420平方米，16间，其它用房200平方米，3间。</w:t>
      </w:r>
    </w:p>
    <w:p>
      <w:pPr>
        <w:spacing w:line="360" w:lineRule="auto"/>
        <w:ind w:firstLine="800" w:firstLineChars="250"/>
        <w:rPr>
          <w:rFonts w:hAnsi="黑体"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三、名词解释</w:t>
      </w:r>
    </w:p>
    <w:p>
      <w:pPr>
        <w:kinsoku w:val="0"/>
        <w:overflowPunct w:val="0"/>
        <w:autoSpaceDE w:val="0"/>
        <w:autoSpaceDN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1、财政拨款收入：是指省级财政当年拨付的资金。</w:t>
      </w:r>
    </w:p>
    <w:p>
      <w:pPr>
        <w:kinsoku w:val="0"/>
        <w:overflowPunct w:val="0"/>
        <w:autoSpaceDE w:val="0"/>
        <w:autoSpaceDN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 xml:space="preserve">2、其他收入：是指部门取得的除“财政拨款”、“事业收入”、“事业单位经营收入”等以外的收入。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3、基本支出：是指为保障机构正常运转、完成日常工作任务所必需的开支，其内容包括人员经费和日常公用经费两部分。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4、项目支出：是指在基本支出之外，为完成特定的行政工作任务或事业发展目标所发生的支出。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5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360" w:lineRule="auto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 xml:space="preserve">    6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360" w:lineRule="auto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附件：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信阳市浉河区人力资源和社会保障局</w:t>
      </w:r>
      <w:r>
        <w:rPr>
          <w:rFonts w:hint="eastAsia" w:eastAsia="仿宋_GB2312"/>
          <w:color w:val="auto"/>
          <w:sz w:val="32"/>
          <w:szCs w:val="32"/>
        </w:rPr>
        <w:t>2020年度部门预算表</w:t>
      </w:r>
    </w:p>
    <w:p>
      <w:pPr>
        <w:spacing w:line="360" w:lineRule="auto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360" w:lineRule="auto"/>
        <w:rPr>
          <w:rFonts w:asciiTheme="minorEastAsia" w:hAnsiTheme="minorEastAsia" w:eastAsiaTheme="minorEastAsia"/>
          <w:color w:val="auto"/>
          <w:sz w:val="30"/>
          <w:szCs w:val="30"/>
        </w:rPr>
      </w:pPr>
    </w:p>
    <w:sectPr>
      <w:pgSz w:w="11906" w:h="16838"/>
      <w:pgMar w:top="1701" w:right="624" w:bottom="1814" w:left="62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03789"/>
    <w:multiLevelType w:val="singleLevel"/>
    <w:tmpl w:val="E95037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A89323"/>
    <w:multiLevelType w:val="singleLevel"/>
    <w:tmpl w:val="51A893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0201"/>
    <w:rsid w:val="0001115C"/>
    <w:rsid w:val="00017261"/>
    <w:rsid w:val="00026602"/>
    <w:rsid w:val="0003061F"/>
    <w:rsid w:val="0003134D"/>
    <w:rsid w:val="00032D31"/>
    <w:rsid w:val="00034691"/>
    <w:rsid w:val="00046289"/>
    <w:rsid w:val="000526F8"/>
    <w:rsid w:val="000652B4"/>
    <w:rsid w:val="000661D5"/>
    <w:rsid w:val="000A3D7A"/>
    <w:rsid w:val="000C4930"/>
    <w:rsid w:val="000C78BD"/>
    <w:rsid w:val="000D3D33"/>
    <w:rsid w:val="000E58DA"/>
    <w:rsid w:val="00114991"/>
    <w:rsid w:val="00116166"/>
    <w:rsid w:val="00121E55"/>
    <w:rsid w:val="00146C23"/>
    <w:rsid w:val="001645EE"/>
    <w:rsid w:val="0017041F"/>
    <w:rsid w:val="001706FC"/>
    <w:rsid w:val="00184CDB"/>
    <w:rsid w:val="00192E49"/>
    <w:rsid w:val="00195CA2"/>
    <w:rsid w:val="001A7FDF"/>
    <w:rsid w:val="001C763F"/>
    <w:rsid w:val="001E0A0F"/>
    <w:rsid w:val="001F54C0"/>
    <w:rsid w:val="00204B06"/>
    <w:rsid w:val="002103C5"/>
    <w:rsid w:val="00220CDD"/>
    <w:rsid w:val="00223FF6"/>
    <w:rsid w:val="002515D4"/>
    <w:rsid w:val="00274339"/>
    <w:rsid w:val="00275C19"/>
    <w:rsid w:val="00291110"/>
    <w:rsid w:val="0029592B"/>
    <w:rsid w:val="002B1B9C"/>
    <w:rsid w:val="002B7E4B"/>
    <w:rsid w:val="002D5AAD"/>
    <w:rsid w:val="002E21AD"/>
    <w:rsid w:val="002F33B0"/>
    <w:rsid w:val="002F479B"/>
    <w:rsid w:val="00310233"/>
    <w:rsid w:val="0031091E"/>
    <w:rsid w:val="00311A12"/>
    <w:rsid w:val="00322785"/>
    <w:rsid w:val="00323B43"/>
    <w:rsid w:val="00323FB4"/>
    <w:rsid w:val="003240D8"/>
    <w:rsid w:val="003364AB"/>
    <w:rsid w:val="0037557E"/>
    <w:rsid w:val="003D37D8"/>
    <w:rsid w:val="003E037E"/>
    <w:rsid w:val="004037C8"/>
    <w:rsid w:val="0040766D"/>
    <w:rsid w:val="0041382E"/>
    <w:rsid w:val="00426133"/>
    <w:rsid w:val="00431A70"/>
    <w:rsid w:val="004358AB"/>
    <w:rsid w:val="00444A1F"/>
    <w:rsid w:val="00447ECB"/>
    <w:rsid w:val="00456D46"/>
    <w:rsid w:val="00470973"/>
    <w:rsid w:val="00476D83"/>
    <w:rsid w:val="0047734A"/>
    <w:rsid w:val="004802F8"/>
    <w:rsid w:val="004904C7"/>
    <w:rsid w:val="004C2734"/>
    <w:rsid w:val="004D7F83"/>
    <w:rsid w:val="004E5649"/>
    <w:rsid w:val="004E6C29"/>
    <w:rsid w:val="005059C8"/>
    <w:rsid w:val="00511416"/>
    <w:rsid w:val="0057354C"/>
    <w:rsid w:val="0058795A"/>
    <w:rsid w:val="005B179C"/>
    <w:rsid w:val="005C4C28"/>
    <w:rsid w:val="00614670"/>
    <w:rsid w:val="0061705E"/>
    <w:rsid w:val="00625C90"/>
    <w:rsid w:val="00636032"/>
    <w:rsid w:val="00637D30"/>
    <w:rsid w:val="00643141"/>
    <w:rsid w:val="006572D3"/>
    <w:rsid w:val="006638A2"/>
    <w:rsid w:val="006A2F5A"/>
    <w:rsid w:val="006B116D"/>
    <w:rsid w:val="006C0494"/>
    <w:rsid w:val="006C4D10"/>
    <w:rsid w:val="006D158D"/>
    <w:rsid w:val="006E3265"/>
    <w:rsid w:val="00723BF1"/>
    <w:rsid w:val="00726EFC"/>
    <w:rsid w:val="00741630"/>
    <w:rsid w:val="00751561"/>
    <w:rsid w:val="007753AD"/>
    <w:rsid w:val="00783B37"/>
    <w:rsid w:val="00793A0F"/>
    <w:rsid w:val="007A11B1"/>
    <w:rsid w:val="007A2EB7"/>
    <w:rsid w:val="007B004D"/>
    <w:rsid w:val="007B0F53"/>
    <w:rsid w:val="007F76B0"/>
    <w:rsid w:val="008038CB"/>
    <w:rsid w:val="0083193F"/>
    <w:rsid w:val="00856D28"/>
    <w:rsid w:val="008716D4"/>
    <w:rsid w:val="008879BF"/>
    <w:rsid w:val="008A2840"/>
    <w:rsid w:val="008A761E"/>
    <w:rsid w:val="008B7726"/>
    <w:rsid w:val="008C3EB1"/>
    <w:rsid w:val="008C5E60"/>
    <w:rsid w:val="008F1B76"/>
    <w:rsid w:val="0090483D"/>
    <w:rsid w:val="00931289"/>
    <w:rsid w:val="00961BEE"/>
    <w:rsid w:val="009663EB"/>
    <w:rsid w:val="00967C2D"/>
    <w:rsid w:val="00980484"/>
    <w:rsid w:val="00981D19"/>
    <w:rsid w:val="00995FA9"/>
    <w:rsid w:val="009A0BC0"/>
    <w:rsid w:val="009A21F9"/>
    <w:rsid w:val="009A6386"/>
    <w:rsid w:val="009B697A"/>
    <w:rsid w:val="009F40C2"/>
    <w:rsid w:val="00A6318E"/>
    <w:rsid w:val="00A71066"/>
    <w:rsid w:val="00A74118"/>
    <w:rsid w:val="00A92F29"/>
    <w:rsid w:val="00AA6143"/>
    <w:rsid w:val="00AA6264"/>
    <w:rsid w:val="00AE2852"/>
    <w:rsid w:val="00B12251"/>
    <w:rsid w:val="00B37FED"/>
    <w:rsid w:val="00B43E1A"/>
    <w:rsid w:val="00B82DF3"/>
    <w:rsid w:val="00BA70BB"/>
    <w:rsid w:val="00BA7F58"/>
    <w:rsid w:val="00BD05BD"/>
    <w:rsid w:val="00BD36B0"/>
    <w:rsid w:val="00BF00D3"/>
    <w:rsid w:val="00C0497C"/>
    <w:rsid w:val="00C126D1"/>
    <w:rsid w:val="00C26140"/>
    <w:rsid w:val="00C33000"/>
    <w:rsid w:val="00C512FE"/>
    <w:rsid w:val="00C914EB"/>
    <w:rsid w:val="00C9209D"/>
    <w:rsid w:val="00CA0DB9"/>
    <w:rsid w:val="00CB2EF1"/>
    <w:rsid w:val="00CC336B"/>
    <w:rsid w:val="00CC3901"/>
    <w:rsid w:val="00CD1D7E"/>
    <w:rsid w:val="00CD366D"/>
    <w:rsid w:val="00D12756"/>
    <w:rsid w:val="00D2134E"/>
    <w:rsid w:val="00D31D50"/>
    <w:rsid w:val="00D42086"/>
    <w:rsid w:val="00D82B2C"/>
    <w:rsid w:val="00DB68D0"/>
    <w:rsid w:val="00DB77F9"/>
    <w:rsid w:val="00DC746A"/>
    <w:rsid w:val="00DD32F7"/>
    <w:rsid w:val="00E04E57"/>
    <w:rsid w:val="00E26DAE"/>
    <w:rsid w:val="00E41428"/>
    <w:rsid w:val="00E47FF9"/>
    <w:rsid w:val="00EC0FF8"/>
    <w:rsid w:val="00EC242A"/>
    <w:rsid w:val="00ED284E"/>
    <w:rsid w:val="00F13474"/>
    <w:rsid w:val="00F15268"/>
    <w:rsid w:val="00F30C17"/>
    <w:rsid w:val="00F33182"/>
    <w:rsid w:val="00F60394"/>
    <w:rsid w:val="00F64D29"/>
    <w:rsid w:val="00FA2736"/>
    <w:rsid w:val="0ABC6534"/>
    <w:rsid w:val="0AC62BF6"/>
    <w:rsid w:val="0AEF3754"/>
    <w:rsid w:val="0B1F3150"/>
    <w:rsid w:val="18766DA2"/>
    <w:rsid w:val="2146706E"/>
    <w:rsid w:val="24E25340"/>
    <w:rsid w:val="3A5E32F4"/>
    <w:rsid w:val="3B696E17"/>
    <w:rsid w:val="40CF0812"/>
    <w:rsid w:val="4BC00E2C"/>
    <w:rsid w:val="4F7930C8"/>
    <w:rsid w:val="53F17297"/>
    <w:rsid w:val="59397BCC"/>
    <w:rsid w:val="5BD74F35"/>
    <w:rsid w:val="5EAE23EA"/>
    <w:rsid w:val="64577432"/>
    <w:rsid w:val="67DB14F4"/>
    <w:rsid w:val="681D2D34"/>
    <w:rsid w:val="6EB4599A"/>
    <w:rsid w:val="78493C5C"/>
    <w:rsid w:val="7D4F2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E2AB7-3D14-4CD3-B937-350823214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422</Words>
  <Characters>2408</Characters>
  <Lines>20</Lines>
  <Paragraphs>5</Paragraphs>
  <TotalTime>4</TotalTime>
  <ScaleCrop>false</ScaleCrop>
  <LinksUpToDate>false</LinksUpToDate>
  <CharactersWithSpaces>2825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从光宇</cp:lastModifiedBy>
  <cp:lastPrinted>2019-08-21T01:19:00Z</cp:lastPrinted>
  <dcterms:modified xsi:type="dcterms:W3CDTF">2021-06-20T10:22:09Z</dcterms:modified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97201CC8E9C147C495401324702D44E9</vt:lpwstr>
  </property>
</Properties>
</file>