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sz w:val="44"/>
          <w:szCs w:val="44"/>
          <w:lang w:eastAsia="zh-CN"/>
        </w:rPr>
      </w:pPr>
      <w:bookmarkStart w:id="0" w:name="_GoBack"/>
      <w:r>
        <w:rPr>
          <w:rFonts w:hint="eastAsia" w:ascii="黑体" w:hAnsi="黑体" w:eastAsia="黑体"/>
          <w:sz w:val="44"/>
          <w:szCs w:val="44"/>
          <w:lang w:val="en-US" w:eastAsia="zh-CN"/>
        </w:rPr>
        <w:t>信阳市浉河区商务局</w:t>
      </w:r>
      <w:bookmarkEnd w:id="0"/>
    </w:p>
    <w:p>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2020年度部门预算</w:t>
      </w:r>
      <w:r>
        <w:rPr>
          <w:rFonts w:hint="eastAsia" w:ascii="黑体" w:hAnsi="黑体" w:eastAsia="黑体"/>
          <w:sz w:val="44"/>
          <w:szCs w:val="44"/>
          <w:lang w:val="en-US" w:eastAsia="zh-CN"/>
        </w:rPr>
        <w:t>公开</w:t>
      </w:r>
      <w:r>
        <w:rPr>
          <w:rFonts w:hint="eastAsia" w:ascii="黑体" w:hAnsi="黑体" w:eastAsia="黑体"/>
          <w:sz w:val="44"/>
          <w:szCs w:val="44"/>
        </w:rPr>
        <w:t>情况说明</w:t>
      </w:r>
    </w:p>
    <w:p>
      <w:pPr>
        <w:adjustRightInd w:val="0"/>
        <w:snapToGrid w:val="0"/>
        <w:spacing w:line="360" w:lineRule="auto"/>
        <w:jc w:val="center"/>
        <w:rPr>
          <w:rFonts w:ascii="黑体" w:hAnsi="黑体" w:eastAsia="黑体"/>
          <w:sz w:val="44"/>
          <w:szCs w:val="44"/>
        </w:rPr>
      </w:pPr>
    </w:p>
    <w:p>
      <w:pPr>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目   录</w:t>
      </w:r>
    </w:p>
    <w:p>
      <w:pPr>
        <w:adjustRightInd w:val="0"/>
        <w:snapToGrid w:val="0"/>
        <w:spacing w:line="360" w:lineRule="auto"/>
        <w:rPr>
          <w:rFonts w:ascii="黑体" w:hAnsi="黑体" w:eastAsia="黑体"/>
          <w:sz w:val="36"/>
          <w:szCs w:val="36"/>
        </w:rPr>
      </w:pPr>
      <w:r>
        <w:rPr>
          <w:rFonts w:hint="eastAsia" w:ascii="黑体" w:hAnsi="黑体" w:eastAsia="黑体"/>
          <w:sz w:val="36"/>
          <w:szCs w:val="36"/>
          <w:lang w:val="en-US" w:eastAsia="zh-CN"/>
        </w:rPr>
        <w:t>第</w:t>
      </w:r>
      <w:r>
        <w:rPr>
          <w:rFonts w:hint="eastAsia" w:ascii="黑体" w:hAnsi="黑体" w:eastAsia="黑体"/>
          <w:sz w:val="36"/>
          <w:szCs w:val="36"/>
        </w:rPr>
        <w:t>一</w:t>
      </w:r>
      <w:r>
        <w:rPr>
          <w:rFonts w:hint="eastAsia" w:ascii="黑体" w:hAnsi="黑体" w:eastAsia="黑体"/>
          <w:sz w:val="36"/>
          <w:szCs w:val="36"/>
          <w:lang w:val="en-US" w:eastAsia="zh-CN"/>
        </w:rPr>
        <w:t>部分</w:t>
      </w:r>
      <w:r>
        <w:rPr>
          <w:rFonts w:hint="eastAsia" w:ascii="黑体" w:hAnsi="黑体" w:eastAsia="黑体"/>
          <w:sz w:val="36"/>
          <w:szCs w:val="36"/>
        </w:rPr>
        <w:t>、部门基本情况</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1、部门机构设置、主要职能</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2、人员构成情况</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3、预算年度主要工作任务</w:t>
      </w:r>
    </w:p>
    <w:p>
      <w:pPr>
        <w:adjustRightInd w:val="0"/>
        <w:snapToGrid w:val="0"/>
        <w:spacing w:line="360" w:lineRule="auto"/>
        <w:rPr>
          <w:rFonts w:hint="eastAsia" w:ascii="黑体" w:hAnsi="黑体" w:eastAsia="黑体"/>
          <w:sz w:val="36"/>
          <w:szCs w:val="36"/>
        </w:rPr>
      </w:pPr>
      <w:r>
        <w:rPr>
          <w:rFonts w:hint="eastAsia" w:ascii="黑体" w:hAnsi="黑体" w:eastAsia="黑体"/>
          <w:sz w:val="36"/>
          <w:szCs w:val="36"/>
          <w:lang w:val="en-US" w:eastAsia="zh-CN"/>
        </w:rPr>
        <w:t>第</w:t>
      </w:r>
      <w:r>
        <w:rPr>
          <w:rFonts w:hint="eastAsia" w:ascii="黑体" w:hAnsi="黑体" w:eastAsia="黑体"/>
          <w:sz w:val="36"/>
          <w:szCs w:val="36"/>
        </w:rPr>
        <w:t>二</w:t>
      </w:r>
      <w:r>
        <w:rPr>
          <w:rFonts w:hint="eastAsia" w:ascii="黑体" w:hAnsi="黑体" w:eastAsia="黑体"/>
          <w:sz w:val="36"/>
          <w:szCs w:val="36"/>
          <w:lang w:val="en-US" w:eastAsia="zh-CN"/>
        </w:rPr>
        <w:t>部分</w:t>
      </w:r>
      <w:r>
        <w:rPr>
          <w:rFonts w:hint="eastAsia" w:ascii="黑体" w:hAnsi="黑体" w:eastAsia="黑体"/>
          <w:sz w:val="36"/>
          <w:szCs w:val="36"/>
        </w:rPr>
        <w:t>、</w:t>
      </w:r>
      <w:r>
        <w:rPr>
          <w:rFonts w:hint="eastAsia" w:ascii="黑体" w:hAnsi="黑体" w:eastAsia="黑体"/>
          <w:sz w:val="36"/>
          <w:szCs w:val="36"/>
          <w:lang w:val="en-US" w:eastAsia="zh-CN"/>
        </w:rPr>
        <w:t>2020年度部门预算</w:t>
      </w:r>
      <w:r>
        <w:rPr>
          <w:rFonts w:hint="eastAsia" w:ascii="黑体" w:hAnsi="黑体" w:eastAsia="黑体"/>
          <w:sz w:val="36"/>
          <w:szCs w:val="36"/>
        </w:rPr>
        <w:t>情况说明</w:t>
      </w:r>
    </w:p>
    <w:p>
      <w:pPr>
        <w:adjustRightInd w:val="0"/>
        <w:snapToGrid w:val="0"/>
        <w:spacing w:line="360" w:lineRule="auto"/>
        <w:rPr>
          <w:rFonts w:hint="eastAsia" w:ascii="黑体" w:hAnsi="黑体" w:eastAsia="黑体"/>
          <w:sz w:val="36"/>
          <w:szCs w:val="36"/>
          <w:lang w:val="en-US" w:eastAsia="zh-CN"/>
        </w:rPr>
      </w:pPr>
      <w:r>
        <w:rPr>
          <w:rFonts w:hint="eastAsia" w:ascii="黑体" w:hAnsi="黑体" w:eastAsia="黑体"/>
          <w:sz w:val="36"/>
          <w:szCs w:val="36"/>
          <w:lang w:val="en-US" w:eastAsia="zh-CN"/>
        </w:rPr>
        <w:t>第三部分、专业性较强的名词进行解释</w:t>
      </w:r>
    </w:p>
    <w:p>
      <w:pPr>
        <w:adjustRightInd w:val="0"/>
        <w:snapToGrid w:val="0"/>
        <w:spacing w:line="360" w:lineRule="auto"/>
        <w:rPr>
          <w:rFonts w:hint="eastAsia" w:ascii="黑体" w:hAnsi="黑体" w:eastAsia="黑体"/>
          <w:sz w:val="36"/>
          <w:szCs w:val="36"/>
          <w:lang w:val="en-US" w:eastAsia="zh-CN"/>
        </w:rPr>
      </w:pPr>
      <w:r>
        <w:rPr>
          <w:rFonts w:hint="eastAsia" w:ascii="黑体" w:hAnsi="黑体" w:eastAsia="黑体"/>
          <w:sz w:val="36"/>
          <w:szCs w:val="36"/>
          <w:lang w:val="en-US" w:eastAsia="zh-CN"/>
        </w:rPr>
        <w:t>附   件、2020年度部门预算公开表</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1、部门收支总体情况表</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2、部门收入总体情况表</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3、部门支出总体情况表</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4、财政拨款收支总体情况表</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5、一般公共预算支出情况表</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、一般公共预算基本支出情况表</w:t>
      </w:r>
    </w:p>
    <w:p>
      <w:pPr>
        <w:adjustRightInd w:val="0"/>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7</w:t>
      </w:r>
      <w:r>
        <w:rPr>
          <w:rFonts w:hint="eastAsia" w:ascii="宋体" w:hAnsi="宋体" w:eastAsia="宋体" w:cs="宋体"/>
          <w:b w:val="0"/>
          <w:bCs w:val="0"/>
          <w:sz w:val="32"/>
          <w:szCs w:val="32"/>
        </w:rPr>
        <w:t>、一般公共预算“三公”经费支出情况表</w:t>
      </w:r>
    </w:p>
    <w:p>
      <w:pPr>
        <w:adjustRightInd w:val="0"/>
        <w:snapToGrid w:val="0"/>
        <w:spacing w:line="360" w:lineRule="auto"/>
        <w:ind w:firstLine="640" w:firstLineChars="200"/>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rPr>
        <w:t>、政府性基金预算支出情况</w:t>
      </w:r>
      <w:r>
        <w:rPr>
          <w:rFonts w:hint="eastAsia" w:ascii="宋体" w:hAnsi="宋体" w:eastAsia="宋体" w:cs="宋体"/>
          <w:b w:val="0"/>
          <w:bCs w:val="0"/>
          <w:sz w:val="32"/>
          <w:szCs w:val="32"/>
          <w:lang w:eastAsia="zh-CN"/>
        </w:rPr>
        <w:t>表</w:t>
      </w:r>
    </w:p>
    <w:p>
      <w:pPr>
        <w:adjustRightInd w:val="0"/>
        <w:snapToGrid w:val="0"/>
        <w:spacing w:line="360" w:lineRule="auto"/>
        <w:ind w:firstLine="640" w:firstLineChars="200"/>
        <w:rPr>
          <w:rFonts w:hint="eastAsia" w:ascii="宋体" w:hAnsi="宋体" w:eastAsia="宋体" w:cs="宋体"/>
          <w:b w:val="0"/>
          <w:bCs w:val="0"/>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3"/>
        <w:numPr>
          <w:ilvl w:val="0"/>
          <w:numId w:val="0"/>
        </w:numPr>
        <w:shd w:val="clear" w:color="auto" w:fill="FFFFFF"/>
        <w:spacing w:line="301" w:lineRule="atLeast"/>
        <w:ind w:leftChars="0"/>
        <w:rPr>
          <w:rFonts w:ascii="仿宋" w:hAnsi="仿宋" w:eastAsia="仿宋"/>
          <w:color w:val="000000"/>
          <w:sz w:val="36"/>
          <w:szCs w:val="36"/>
        </w:rPr>
      </w:pPr>
      <w:r>
        <w:rPr>
          <w:rFonts w:hint="eastAsia" w:ascii="仿宋" w:hAnsi="仿宋" w:eastAsia="仿宋"/>
          <w:b/>
          <w:bCs/>
          <w:color w:val="000000"/>
          <w:sz w:val="36"/>
          <w:szCs w:val="36"/>
          <w:lang w:val="en-US" w:eastAsia="zh-CN"/>
        </w:rPr>
        <w:t>第一部分、</w:t>
      </w:r>
      <w:r>
        <w:rPr>
          <w:rFonts w:hint="eastAsia" w:ascii="仿宋" w:hAnsi="仿宋" w:eastAsia="仿宋"/>
          <w:b/>
          <w:bCs/>
          <w:color w:val="000000"/>
          <w:sz w:val="36"/>
          <w:szCs w:val="36"/>
        </w:rPr>
        <w:t>部门基本情况</w:t>
      </w:r>
    </w:p>
    <w:p>
      <w:pPr>
        <w:pStyle w:val="3"/>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rPr>
        <w:t>（一）部门机构设置、主要职能</w:t>
      </w:r>
    </w:p>
    <w:p>
      <w:pPr>
        <w:pStyle w:val="3"/>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信阳市浉河区商务局</w:t>
      </w:r>
      <w:r>
        <w:rPr>
          <w:rFonts w:hint="eastAsia" w:ascii="仿宋" w:hAnsi="仿宋" w:eastAsia="仿宋"/>
          <w:color w:val="000000"/>
          <w:sz w:val="32"/>
          <w:szCs w:val="32"/>
        </w:rPr>
        <w:t>单位机关内设7个职能科室（办公室、人事股、财务股、外资外经股、市场发展服务股、对外贸易股、市场秩序股、）和1个二级归口预算单位浉河区商务稽查大队。主要职责是：按照上级要求，贯彻落实国家，省，市有关内外贸易的方针，政策，组织境内外举办的各种博览会，展销会，交易会和国际性大型经贸交流活动，负责境外招商引资等工作,负责贯彻实施有关商务行政监管法规、规章、政策。负责流通领域商务行政执法工作，行使区级商务领域依法行政监督管理职能 。</w:t>
      </w:r>
    </w:p>
    <w:p>
      <w:pPr>
        <w:pStyle w:val="3"/>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rPr>
        <w:t xml:space="preserve">（二）人员构成情况 </w:t>
      </w:r>
    </w:p>
    <w:p>
      <w:pPr>
        <w:pStyle w:val="3"/>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信阳市浉河区商务局</w:t>
      </w:r>
      <w:r>
        <w:rPr>
          <w:rFonts w:hint="eastAsia" w:ascii="仿宋" w:hAnsi="仿宋" w:eastAsia="仿宋"/>
          <w:color w:val="000000"/>
          <w:sz w:val="32"/>
          <w:szCs w:val="32"/>
        </w:rPr>
        <w:t xml:space="preserve">单位及归口预算管理单位共有编制26人，其中：行政编制15人，机关工勤编制1人,下属事业单位: 浉河区商务稽查大队事业编制 10 人；在职职工 26人，（其中：行政11人，事业8人,长期聘用人员7人），离退休人员48人(其中离休2人退休46人)。 </w:t>
      </w:r>
    </w:p>
    <w:p>
      <w:pPr>
        <w:pStyle w:val="3"/>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rPr>
        <w:t xml:space="preserve">（三）预算年度主要工作任务 </w:t>
      </w:r>
    </w:p>
    <w:p>
      <w:pPr>
        <w:pStyle w:val="3"/>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按照上级要求，贯彻落实国家，省，市有关内外贸易的方针，政策，组织境内外举办的各种博览会，展销会，交易会和国际性大型经贸交流活动，负责境外招商引资等工作 。维护商务系统信访稳定，保障商务工作顺利开展。负责流通领域商务行政执法工作，行使区级商务领域依法行政监督管理职能 。</w:t>
      </w:r>
    </w:p>
    <w:p>
      <w:pPr>
        <w:pStyle w:val="3"/>
        <w:shd w:val="clear" w:color="auto" w:fill="FFFFFF"/>
        <w:spacing w:line="301" w:lineRule="atLeas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本年预算系</w:t>
      </w:r>
      <w:r>
        <w:rPr>
          <w:rFonts w:hint="eastAsia" w:ascii="仿宋" w:hAnsi="仿宋" w:eastAsia="仿宋"/>
          <w:b/>
          <w:bCs/>
          <w:color w:val="000000"/>
          <w:sz w:val="32"/>
          <w:szCs w:val="32"/>
          <w:lang w:eastAsia="zh-CN"/>
        </w:rPr>
        <w:t>信阳市浉河区商务局</w:t>
      </w:r>
      <w:r>
        <w:rPr>
          <w:rFonts w:hint="eastAsia" w:ascii="仿宋" w:hAnsi="仿宋" w:eastAsia="仿宋"/>
          <w:b/>
          <w:bCs/>
          <w:color w:val="000000"/>
          <w:sz w:val="32"/>
          <w:szCs w:val="32"/>
        </w:rPr>
        <w:t>本级单位预算，和所属单位预算在内的汇总预算。</w:t>
      </w:r>
    </w:p>
    <w:p>
      <w:pPr>
        <w:pStyle w:val="3"/>
        <w:numPr>
          <w:ilvl w:val="0"/>
          <w:numId w:val="0"/>
        </w:numPr>
        <w:shd w:val="clear" w:color="auto" w:fill="FFFFFF"/>
        <w:spacing w:line="301" w:lineRule="atLeast"/>
        <w:ind w:leftChars="0"/>
        <w:rPr>
          <w:rFonts w:hint="default" w:ascii="仿宋" w:hAnsi="仿宋" w:eastAsia="仿宋"/>
          <w:b/>
          <w:bCs/>
          <w:color w:val="000000"/>
          <w:sz w:val="36"/>
          <w:szCs w:val="36"/>
          <w:lang w:val="en-US" w:eastAsia="zh-CN"/>
        </w:rPr>
      </w:pPr>
      <w:r>
        <w:rPr>
          <w:rFonts w:hint="eastAsia" w:ascii="仿宋" w:hAnsi="仿宋" w:eastAsia="仿宋"/>
          <w:b/>
          <w:bCs/>
          <w:color w:val="000000"/>
          <w:sz w:val="36"/>
          <w:szCs w:val="36"/>
          <w:lang w:val="en-US" w:eastAsia="zh-CN"/>
        </w:rPr>
        <w:t>第二部分、2020年度部门预算情况说明</w:t>
      </w:r>
    </w:p>
    <w:p>
      <w:pPr>
        <w:pStyle w:val="3"/>
        <w:numPr>
          <w:ilvl w:val="0"/>
          <w:numId w:val="0"/>
        </w:numPr>
        <w:shd w:val="clear" w:color="auto" w:fill="FFFFFF"/>
        <w:spacing w:line="301" w:lineRule="atLeast"/>
        <w:ind w:left="210" w:leftChars="0"/>
        <w:rPr>
          <w:rFonts w:hint="eastAsia" w:ascii="仿宋" w:hAnsi="仿宋" w:eastAsia="仿宋"/>
          <w:b/>
          <w:bCs/>
          <w:color w:val="000000"/>
          <w:sz w:val="32"/>
          <w:szCs w:val="32"/>
        </w:rPr>
      </w:pPr>
      <w:r>
        <w:rPr>
          <w:rFonts w:hint="eastAsia" w:ascii="仿宋" w:hAnsi="仿宋" w:eastAsia="仿宋"/>
          <w:b/>
          <w:bCs/>
          <w:color w:val="000000"/>
          <w:sz w:val="32"/>
          <w:szCs w:val="32"/>
          <w:lang w:val="en-US" w:eastAsia="zh-CN"/>
        </w:rPr>
        <w:t>一、</w:t>
      </w:r>
      <w:r>
        <w:rPr>
          <w:rFonts w:hint="eastAsia" w:ascii="仿宋" w:hAnsi="仿宋" w:eastAsia="仿宋"/>
          <w:b/>
          <w:bCs/>
          <w:color w:val="000000"/>
          <w:sz w:val="32"/>
          <w:szCs w:val="32"/>
        </w:rPr>
        <w:t>收入、支出预算总体情况说明</w:t>
      </w:r>
    </w:p>
    <w:p>
      <w:pPr>
        <w:pStyle w:val="3"/>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2020年度预算收入</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支出总计</w:t>
      </w:r>
      <w:r>
        <w:rPr>
          <w:rFonts w:hint="eastAsia" w:ascii="仿宋" w:hAnsi="仿宋" w:eastAsia="仿宋"/>
          <w:color w:val="000000"/>
          <w:sz w:val="32"/>
          <w:szCs w:val="32"/>
        </w:rPr>
        <w:t>665.1万元，</w:t>
      </w:r>
      <w:r>
        <w:rPr>
          <w:rFonts w:hint="eastAsia" w:ascii="仿宋" w:hAnsi="仿宋" w:eastAsia="仿宋"/>
          <w:color w:val="000000"/>
          <w:sz w:val="32"/>
          <w:szCs w:val="32"/>
          <w:lang w:val="en-US" w:eastAsia="zh-CN"/>
        </w:rPr>
        <w:t>与2019年相比，</w:t>
      </w:r>
      <w:r>
        <w:rPr>
          <w:rFonts w:hint="eastAsia" w:ascii="仿宋" w:hAnsi="仿宋" w:eastAsia="仿宋"/>
          <w:color w:val="000000"/>
          <w:sz w:val="32"/>
          <w:szCs w:val="32"/>
        </w:rPr>
        <w:t>收入</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支出各自</w:t>
      </w:r>
      <w:r>
        <w:rPr>
          <w:rFonts w:hint="eastAsia" w:ascii="仿宋" w:hAnsi="仿宋" w:eastAsia="仿宋"/>
          <w:color w:val="000000"/>
          <w:sz w:val="32"/>
          <w:szCs w:val="32"/>
        </w:rPr>
        <w:t>增加155.6万元，增</w:t>
      </w:r>
      <w:r>
        <w:rPr>
          <w:rFonts w:hint="eastAsia" w:ascii="仿宋" w:hAnsi="仿宋" w:eastAsia="仿宋"/>
          <w:color w:val="000000"/>
          <w:sz w:val="32"/>
          <w:szCs w:val="32"/>
          <w:lang w:val="en-US" w:eastAsia="zh-CN"/>
        </w:rPr>
        <w:t>长</w:t>
      </w:r>
      <w:r>
        <w:rPr>
          <w:rFonts w:hint="eastAsia" w:ascii="仿宋" w:hAnsi="仿宋" w:eastAsia="仿宋"/>
          <w:color w:val="000000"/>
          <w:sz w:val="32"/>
          <w:szCs w:val="32"/>
        </w:rPr>
        <w:t>30%</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主要原因</w:t>
      </w:r>
      <w:r>
        <w:rPr>
          <w:rFonts w:hint="eastAsia" w:ascii="仿宋" w:hAnsi="仿宋" w:eastAsia="仿宋"/>
          <w:color w:val="000000"/>
          <w:sz w:val="32"/>
          <w:szCs w:val="32"/>
          <w:lang w:eastAsia="zh-CN"/>
        </w:rPr>
        <w:t>系离退休人员经费及外贸出口企业奖励经费增加形成。</w:t>
      </w:r>
    </w:p>
    <w:p>
      <w:pPr>
        <w:pStyle w:val="3"/>
        <w:numPr>
          <w:ilvl w:val="0"/>
          <w:numId w:val="0"/>
        </w:numPr>
        <w:shd w:val="clear" w:color="auto" w:fill="FFFFFF"/>
        <w:spacing w:line="301" w:lineRule="atLeast"/>
        <w:ind w:left="210" w:leftChars="0"/>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二、收入预算总体情况说明</w:t>
      </w:r>
    </w:p>
    <w:p>
      <w:pPr>
        <w:adjustRightInd w:val="0"/>
        <w:snapToGrid w:val="0"/>
        <w:spacing w:line="360" w:lineRule="auto"/>
        <w:ind w:firstLine="640"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2020年度预算收入665.1万元，系财政拨款收入665.1万元，占100%；事业收入0 万元，占 0 %；经营收入0万元，占 0 %；其他收入0万元，占0 %。</w:t>
      </w:r>
    </w:p>
    <w:p>
      <w:pPr>
        <w:pStyle w:val="3"/>
        <w:numPr>
          <w:ilvl w:val="0"/>
          <w:numId w:val="1"/>
        </w:numPr>
        <w:shd w:val="clear" w:color="auto" w:fill="FFFFFF"/>
        <w:spacing w:line="301" w:lineRule="atLeast"/>
        <w:ind w:left="210" w:leftChars="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支出预算总体情况说明</w:t>
      </w:r>
    </w:p>
    <w:p>
      <w:pPr>
        <w:pStyle w:val="3"/>
        <w:numPr>
          <w:ilvl w:val="0"/>
          <w:numId w:val="0"/>
        </w:numPr>
        <w:shd w:val="clear" w:color="auto" w:fill="FFFFFF"/>
        <w:spacing w:line="301" w:lineRule="atLeas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2020年度预算支出665.1万元，</w:t>
      </w:r>
      <w:r>
        <w:rPr>
          <w:rFonts w:hint="eastAsia" w:ascii="仿宋" w:hAnsi="仿宋" w:eastAsia="仿宋"/>
          <w:color w:val="000000"/>
          <w:sz w:val="32"/>
          <w:szCs w:val="32"/>
          <w:lang w:eastAsia="zh-CN"/>
        </w:rPr>
        <w:t>系一般公共预算支出。</w:t>
      </w:r>
      <w:r>
        <w:rPr>
          <w:rFonts w:hint="eastAsia" w:ascii="仿宋" w:hAnsi="仿宋" w:eastAsia="仿宋"/>
          <w:color w:val="000000"/>
          <w:sz w:val="32"/>
          <w:szCs w:val="32"/>
        </w:rPr>
        <w:t>其中</w:t>
      </w:r>
      <w:r>
        <w:rPr>
          <w:rFonts w:hint="eastAsia" w:ascii="仿宋" w:hAnsi="仿宋" w:eastAsia="仿宋"/>
          <w:color w:val="000000"/>
          <w:sz w:val="32"/>
          <w:szCs w:val="32"/>
          <w:lang w:eastAsia="zh-CN"/>
        </w:rPr>
        <w:t>：</w:t>
      </w:r>
      <w:r>
        <w:rPr>
          <w:rFonts w:hint="eastAsia" w:ascii="仿宋" w:hAnsi="仿宋" w:eastAsia="仿宋"/>
          <w:color w:val="000000"/>
          <w:sz w:val="32"/>
          <w:szCs w:val="32"/>
        </w:rPr>
        <w:t>基本支出400.1万元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占年初预算60.16%；</w:t>
      </w:r>
      <w:r>
        <w:rPr>
          <w:rFonts w:hint="eastAsia" w:ascii="仿宋" w:hAnsi="仿宋" w:eastAsia="仿宋"/>
          <w:color w:val="000000"/>
          <w:sz w:val="32"/>
          <w:szCs w:val="32"/>
        </w:rPr>
        <w:t>项目支出265万元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占年初预算39.84%。</w:t>
      </w:r>
    </w:p>
    <w:p>
      <w:pPr>
        <w:pStyle w:val="3"/>
        <w:numPr>
          <w:ilvl w:val="0"/>
          <w:numId w:val="1"/>
        </w:numPr>
        <w:shd w:val="clear" w:color="auto" w:fill="FFFFFF"/>
        <w:spacing w:line="301" w:lineRule="atLeast"/>
        <w:ind w:left="210" w:leftChars="0"/>
        <w:rPr>
          <w:rFonts w:hint="eastAsia" w:ascii="仿宋" w:hAnsi="仿宋" w:eastAsia="仿宋"/>
          <w:color w:val="000000"/>
          <w:sz w:val="32"/>
          <w:szCs w:val="32"/>
        </w:rPr>
      </w:pPr>
      <w:r>
        <w:rPr>
          <w:rFonts w:hint="eastAsia" w:ascii="仿宋" w:hAnsi="仿宋" w:eastAsia="仿宋"/>
          <w:b/>
          <w:bCs/>
          <w:color w:val="000000"/>
          <w:sz w:val="32"/>
          <w:szCs w:val="32"/>
          <w:lang w:val="en-US" w:eastAsia="zh-CN"/>
        </w:rPr>
        <w:t>财政拨款收入支出预算总体情况说明</w:t>
      </w:r>
    </w:p>
    <w:p>
      <w:pPr>
        <w:pStyle w:val="3"/>
        <w:numPr>
          <w:ilvl w:val="0"/>
          <w:numId w:val="0"/>
        </w:numPr>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2020年度</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lang w:val="en-US" w:eastAsia="zh-CN"/>
        </w:rPr>
        <w:t>收支</w:t>
      </w:r>
      <w:r>
        <w:rPr>
          <w:rFonts w:hint="eastAsia" w:ascii="仿宋" w:hAnsi="仿宋" w:eastAsia="仿宋"/>
          <w:color w:val="000000"/>
          <w:sz w:val="32"/>
          <w:szCs w:val="32"/>
          <w:lang w:eastAsia="zh-CN"/>
        </w:rPr>
        <w:t>预算</w:t>
      </w:r>
      <w:r>
        <w:rPr>
          <w:rFonts w:hint="eastAsia" w:ascii="仿宋" w:hAnsi="仿宋" w:eastAsia="仿宋"/>
          <w:color w:val="000000"/>
          <w:sz w:val="32"/>
          <w:szCs w:val="32"/>
          <w:lang w:val="en-US" w:eastAsia="zh-CN"/>
        </w:rPr>
        <w:t>665.1万元，</w:t>
      </w:r>
      <w:r>
        <w:rPr>
          <w:rFonts w:hint="eastAsia" w:ascii="仿宋" w:hAnsi="仿宋" w:eastAsia="仿宋"/>
          <w:color w:val="000000"/>
          <w:sz w:val="32"/>
          <w:szCs w:val="32"/>
        </w:rPr>
        <w:t>比上年</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预算支出增加</w:t>
      </w:r>
      <w:r>
        <w:rPr>
          <w:rFonts w:hint="eastAsia" w:ascii="仿宋" w:hAnsi="仿宋" w:eastAsia="仿宋"/>
          <w:color w:val="000000"/>
          <w:sz w:val="32"/>
          <w:szCs w:val="32"/>
          <w:lang w:val="en-US" w:eastAsia="zh-CN"/>
        </w:rPr>
        <w:t>155.6</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w:t>
      </w:r>
      <w:r>
        <w:rPr>
          <w:rFonts w:hint="eastAsia" w:ascii="仿宋" w:hAnsi="仿宋" w:eastAsia="仿宋"/>
          <w:color w:val="000000"/>
          <w:sz w:val="32"/>
          <w:szCs w:val="32"/>
          <w:lang w:eastAsia="zh-CN"/>
        </w:rPr>
        <w:t>系离退休人员健康休养费及外贸出口企业奖励经费增加形成</w:t>
      </w:r>
      <w:r>
        <w:rPr>
          <w:rFonts w:hint="eastAsia" w:ascii="仿宋" w:hAnsi="仿宋" w:eastAsia="仿宋"/>
          <w:color w:val="000000"/>
          <w:sz w:val="32"/>
          <w:szCs w:val="32"/>
        </w:rPr>
        <w:t>。</w:t>
      </w:r>
    </w:p>
    <w:p>
      <w:pPr>
        <w:pStyle w:val="3"/>
        <w:numPr>
          <w:ilvl w:val="0"/>
          <w:numId w:val="1"/>
        </w:numPr>
        <w:shd w:val="clear" w:color="auto" w:fill="FFFFFF"/>
        <w:spacing w:line="301" w:lineRule="atLeast"/>
        <w:ind w:left="210" w:leftChars="0"/>
        <w:rPr>
          <w:rFonts w:ascii="仿宋" w:hAnsi="仿宋" w:eastAsia="仿宋"/>
          <w:b/>
          <w:color w:val="000000"/>
          <w:sz w:val="36"/>
          <w:szCs w:val="36"/>
        </w:rPr>
      </w:pPr>
      <w:r>
        <w:rPr>
          <w:rFonts w:hint="eastAsia" w:ascii="仿宋" w:hAnsi="仿宋" w:eastAsia="仿宋"/>
          <w:b/>
          <w:bCs/>
          <w:color w:val="000000"/>
          <w:sz w:val="32"/>
          <w:szCs w:val="32"/>
          <w:lang w:val="en-US" w:eastAsia="zh-CN"/>
        </w:rPr>
        <w:t>一般公共预算支出预算情况说明</w:t>
      </w:r>
    </w:p>
    <w:p>
      <w:pPr>
        <w:pStyle w:val="3"/>
        <w:shd w:val="clear" w:color="auto" w:fill="FFFFFF"/>
        <w:spacing w:line="301"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2020年度预算支出665.1万元，</w:t>
      </w:r>
      <w:r>
        <w:rPr>
          <w:rFonts w:hint="eastAsia" w:ascii="仿宋" w:hAnsi="仿宋" w:eastAsia="仿宋"/>
          <w:color w:val="000000"/>
          <w:sz w:val="32"/>
          <w:szCs w:val="32"/>
          <w:lang w:eastAsia="zh-CN"/>
        </w:rPr>
        <w:t>系一般公共预算支出。</w:t>
      </w:r>
      <w:r>
        <w:rPr>
          <w:rFonts w:hint="eastAsia" w:ascii="仿宋" w:hAnsi="仿宋" w:eastAsia="仿宋"/>
          <w:color w:val="000000"/>
          <w:sz w:val="32"/>
          <w:szCs w:val="32"/>
        </w:rPr>
        <w:t>其中</w:t>
      </w:r>
      <w:r>
        <w:rPr>
          <w:rFonts w:hint="eastAsia" w:ascii="仿宋" w:hAnsi="仿宋" w:eastAsia="仿宋"/>
          <w:color w:val="000000"/>
          <w:sz w:val="32"/>
          <w:szCs w:val="32"/>
          <w:lang w:eastAsia="zh-CN"/>
        </w:rPr>
        <w:t>：</w:t>
      </w:r>
      <w:r>
        <w:rPr>
          <w:rFonts w:hint="eastAsia" w:ascii="仿宋" w:hAnsi="仿宋" w:eastAsia="仿宋"/>
          <w:color w:val="000000"/>
          <w:sz w:val="32"/>
          <w:szCs w:val="32"/>
        </w:rPr>
        <w:t>基本支出400.1万元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项目支出265万元系外贸出口奖励企业支出185万元及招商引资办公经费80万元</w:t>
      </w:r>
      <w:r>
        <w:rPr>
          <w:rFonts w:hint="eastAsia" w:ascii="仿宋" w:hAnsi="仿宋" w:eastAsia="仿宋"/>
          <w:color w:val="000000"/>
          <w:sz w:val="32"/>
          <w:szCs w:val="32"/>
          <w:lang w:eastAsia="zh-CN"/>
        </w:rPr>
        <w:t>。</w:t>
      </w:r>
    </w:p>
    <w:p>
      <w:pPr>
        <w:pStyle w:val="3"/>
        <w:numPr>
          <w:ilvl w:val="0"/>
          <w:numId w:val="1"/>
        </w:numPr>
        <w:shd w:val="clear" w:color="auto" w:fill="FFFFFF"/>
        <w:spacing w:line="301" w:lineRule="atLeast"/>
        <w:ind w:left="210" w:leftChars="0"/>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一般公共预算基本支出预算情况说明</w:t>
      </w:r>
    </w:p>
    <w:p>
      <w:pPr>
        <w:pStyle w:val="3"/>
        <w:shd w:val="clear" w:color="auto" w:fill="FFFFFF"/>
        <w:spacing w:line="301" w:lineRule="atLeast"/>
        <w:ind w:firstLine="640" w:firstLineChars="200"/>
        <w:rPr>
          <w:rFonts w:hint="eastAsia" w:ascii="仿宋_GB2312" w:hAnsi="宋体" w:eastAsia="仿宋_GB2312" w:cs="Courier New"/>
          <w:sz w:val="32"/>
          <w:szCs w:val="32"/>
        </w:rPr>
      </w:pPr>
      <w:r>
        <w:rPr>
          <w:rFonts w:hint="eastAsia" w:ascii="仿宋" w:hAnsi="仿宋" w:eastAsia="仿宋"/>
          <w:b w:val="0"/>
          <w:bCs w:val="0"/>
          <w:color w:val="000000"/>
          <w:sz w:val="32"/>
          <w:szCs w:val="32"/>
          <w:lang w:val="en-US" w:eastAsia="zh-CN"/>
        </w:rPr>
        <w:t>2020年度一般公共预算基本支出400.1万元，</w:t>
      </w:r>
      <w:r>
        <w:rPr>
          <w:rFonts w:hint="eastAsia" w:ascii="仿宋" w:hAnsi="仿宋" w:eastAsia="仿宋"/>
          <w:color w:val="000000"/>
          <w:sz w:val="32"/>
          <w:szCs w:val="32"/>
          <w:lang w:eastAsia="zh-CN"/>
        </w:rPr>
        <w:t>其中：</w:t>
      </w:r>
      <w:r>
        <w:rPr>
          <w:rFonts w:hint="eastAsia" w:ascii="仿宋_GB2312" w:hAnsi="宋体" w:eastAsia="仿宋_GB2312" w:cs="Courier New"/>
          <w:b/>
          <w:bCs/>
          <w:sz w:val="32"/>
          <w:szCs w:val="32"/>
          <w:lang w:val="en-US" w:eastAsia="zh-CN"/>
        </w:rPr>
        <w:t>工资福利支出</w:t>
      </w:r>
      <w:r>
        <w:rPr>
          <w:rFonts w:hint="eastAsia" w:ascii="仿宋_GB2312" w:eastAsia="仿宋_GB2312" w:cs="Courier New"/>
          <w:b/>
          <w:bCs/>
          <w:sz w:val="32"/>
          <w:szCs w:val="32"/>
          <w:lang w:val="en-US" w:eastAsia="zh-CN"/>
        </w:rPr>
        <w:t>271.8</w:t>
      </w:r>
      <w:r>
        <w:rPr>
          <w:rFonts w:hint="eastAsia" w:ascii="仿宋_GB2312" w:hAnsi="宋体" w:eastAsia="仿宋_GB2312" w:cs="Courier New"/>
          <w:sz w:val="32"/>
          <w:szCs w:val="32"/>
        </w:rPr>
        <w:t>万元，主要包括：基本工资、津贴补贴、奖金、社会保障缴费、伙食补助费、绩效工资、其他工资福利支出。</w:t>
      </w:r>
      <w:r>
        <w:rPr>
          <w:rFonts w:hint="eastAsia" w:ascii="仿宋_GB2312" w:hAnsi="宋体" w:eastAsia="仿宋_GB2312" w:cs="Courier New"/>
          <w:b/>
          <w:bCs/>
          <w:sz w:val="32"/>
          <w:szCs w:val="32"/>
          <w:lang w:val="en-US" w:eastAsia="zh-CN"/>
        </w:rPr>
        <w:t>商品和服务支出</w:t>
      </w:r>
      <w:r>
        <w:rPr>
          <w:rFonts w:hint="eastAsia" w:ascii="仿宋_GB2312" w:eastAsia="仿宋_GB2312" w:cs="Courier New"/>
          <w:b/>
          <w:bCs/>
          <w:sz w:val="32"/>
          <w:szCs w:val="32"/>
          <w:lang w:val="en-US" w:eastAsia="zh-CN"/>
        </w:rPr>
        <w:t>13.3</w:t>
      </w:r>
      <w:r>
        <w:rPr>
          <w:rFonts w:hint="eastAsia" w:ascii="仿宋_GB2312" w:hAnsi="宋体" w:eastAsia="仿宋_GB2312" w:cs="Courier New"/>
          <w:sz w:val="32"/>
          <w:szCs w:val="32"/>
        </w:rPr>
        <w:t>万元，主要包括：办公费、印刷费、咨询费、手续费、水费、电费、邮电费、取暖费、物业管理费、差旅费、因公出国（境）费、维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修（护）费、租赁费、会议费、培训费、公务接待费、专用材料费、劳务费、委托业务费、工会经费、福利费、公务用车运行维护费、其他交通费用、其他商品和服务支出，办公设备购置、大型修缮、信息网络及软件购置更新。</w:t>
      </w:r>
      <w:r>
        <w:rPr>
          <w:rFonts w:hint="eastAsia" w:ascii="仿宋_GB2312" w:hAnsi="宋体" w:eastAsia="仿宋_GB2312" w:cs="Courier New"/>
          <w:b/>
          <w:bCs/>
          <w:sz w:val="32"/>
          <w:szCs w:val="32"/>
        </w:rPr>
        <w:t>对个人和家庭的补助</w:t>
      </w:r>
      <w:r>
        <w:rPr>
          <w:rFonts w:hint="eastAsia" w:ascii="仿宋_GB2312" w:eastAsia="仿宋_GB2312" w:cs="Courier New"/>
          <w:b/>
          <w:bCs/>
          <w:sz w:val="32"/>
          <w:szCs w:val="32"/>
          <w:lang w:val="en-US" w:eastAsia="zh-CN"/>
        </w:rPr>
        <w:t>115</w:t>
      </w:r>
      <w:r>
        <w:rPr>
          <w:rFonts w:hint="eastAsia" w:ascii="仿宋_GB2312" w:hAnsi="宋体" w:eastAsia="仿宋_GB2312" w:cs="Courier New"/>
          <w:sz w:val="32"/>
          <w:szCs w:val="32"/>
        </w:rPr>
        <w:t>万元，主要包括：离休费、退休费、退职（役）费、抚恤金、生活补助、</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医疗费、助学金、奖励金、住房公积金、购房补贴、其他对个人和家庭的补助支出。</w:t>
      </w:r>
    </w:p>
    <w:p>
      <w:pPr>
        <w:rPr>
          <w:rFonts w:ascii="仿宋" w:hAnsi="仿宋" w:eastAsia="仿宋" w:cs="仿宋"/>
          <w:sz w:val="36"/>
          <w:szCs w:val="36"/>
        </w:rPr>
      </w:pPr>
      <w:r>
        <w:rPr>
          <w:rFonts w:hint="eastAsia" w:ascii="仿宋" w:hAnsi="仿宋" w:eastAsia="仿宋" w:cs="仿宋"/>
          <w:b/>
          <w:bCs/>
          <w:sz w:val="36"/>
          <w:szCs w:val="36"/>
          <w:lang w:val="en-US" w:eastAsia="zh-CN"/>
        </w:rPr>
        <w:t>七</w:t>
      </w:r>
      <w:r>
        <w:rPr>
          <w:rFonts w:hint="eastAsia" w:ascii="仿宋" w:hAnsi="仿宋" w:eastAsia="仿宋" w:cs="仿宋"/>
          <w:b/>
          <w:bCs/>
          <w:sz w:val="36"/>
          <w:szCs w:val="36"/>
        </w:rPr>
        <w:t>、政府性基金预算支出</w:t>
      </w:r>
      <w:r>
        <w:rPr>
          <w:rFonts w:hint="eastAsia" w:ascii="仿宋" w:hAnsi="仿宋" w:eastAsia="仿宋" w:cs="仿宋"/>
          <w:b/>
          <w:bCs/>
          <w:sz w:val="36"/>
          <w:szCs w:val="36"/>
          <w:lang w:val="en-US" w:eastAsia="zh-CN"/>
        </w:rPr>
        <w:t>预</w:t>
      </w:r>
      <w:r>
        <w:rPr>
          <w:rFonts w:hint="eastAsia" w:ascii="仿宋" w:hAnsi="仿宋" w:eastAsia="仿宋" w:cs="仿宋"/>
          <w:b/>
          <w:bCs/>
          <w:sz w:val="36"/>
          <w:szCs w:val="36"/>
        </w:rPr>
        <w:t>算情况说明</w:t>
      </w:r>
    </w:p>
    <w:p>
      <w:pPr>
        <w:tabs>
          <w:tab w:val="left" w:pos="3030"/>
        </w:tabs>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信阳市浉河区商务局</w:t>
      </w:r>
      <w:r>
        <w:rPr>
          <w:rFonts w:hint="eastAsia" w:ascii="仿宋" w:hAnsi="仿宋" w:eastAsia="仿宋" w:cs="仿宋"/>
          <w:sz w:val="32"/>
          <w:szCs w:val="32"/>
        </w:rPr>
        <w:t>2020年无政府性基金预算支出。</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八、关于三公经费预算支出情况说明</w:t>
      </w:r>
    </w:p>
    <w:p>
      <w:pPr>
        <w:ind w:firstLine="640" w:firstLineChars="200"/>
        <w:rPr>
          <w:rFonts w:hint="eastAsia" w:ascii="仿宋" w:hAnsi="仿宋" w:eastAsia="仿宋"/>
          <w:sz w:val="32"/>
          <w:szCs w:val="32"/>
        </w:rPr>
      </w:pPr>
      <w:r>
        <w:rPr>
          <w:rFonts w:hint="eastAsia" w:ascii="仿宋" w:hAnsi="仿宋" w:eastAsia="仿宋"/>
          <w:sz w:val="32"/>
          <w:szCs w:val="32"/>
        </w:rPr>
        <w:t>2020 年“三公”经费预算为8.4万元，主要系招商引资公务接待，因我局承担全区对外招商工作，负责邀请外商，联系，接洽工作，为保障招商工作顺利完成。2020年“三公”经费支出预算数接待费用与上年同期减少</w:t>
      </w:r>
      <w:r>
        <w:rPr>
          <w:rFonts w:hint="eastAsia" w:ascii="仿宋" w:hAnsi="仿宋" w:eastAsia="仿宋"/>
          <w:sz w:val="32"/>
          <w:szCs w:val="32"/>
          <w:lang w:val="en-US" w:eastAsia="zh-CN"/>
        </w:rPr>
        <w:t>0.1万元,减幅</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减少的主要原因是2020年我局将按照中央国务院八项规定和省委省政府厉行节约的相关规定要求，严格管控“三公”经费支出，进一步压缩公务接待开支。</w:t>
      </w:r>
    </w:p>
    <w:p>
      <w:pPr>
        <w:ind w:firstLine="640" w:firstLineChars="200"/>
        <w:rPr>
          <w:rFonts w:ascii="仿宋" w:hAnsi="仿宋" w:eastAsia="仿宋"/>
          <w:sz w:val="32"/>
          <w:szCs w:val="32"/>
        </w:rPr>
      </w:pPr>
      <w:r>
        <w:rPr>
          <w:rFonts w:hint="eastAsia" w:ascii="仿宋" w:hAnsi="仿宋" w:eastAsia="仿宋"/>
          <w:sz w:val="32"/>
          <w:szCs w:val="32"/>
        </w:rPr>
        <w:t>具体支出情况如下：</w:t>
      </w:r>
    </w:p>
    <w:p>
      <w:pPr>
        <w:ind w:firstLine="640" w:firstLineChars="200"/>
        <w:rPr>
          <w:rFonts w:ascii="仿宋" w:hAnsi="仿宋" w:eastAsia="仿宋"/>
          <w:sz w:val="32"/>
          <w:szCs w:val="32"/>
        </w:rPr>
      </w:pPr>
      <w:r>
        <w:rPr>
          <w:rFonts w:hint="eastAsia" w:ascii="仿宋" w:hAnsi="仿宋" w:eastAsia="仿宋"/>
          <w:sz w:val="32"/>
          <w:szCs w:val="32"/>
        </w:rPr>
        <w:t>(1)因公出国（境）费0万元</w:t>
      </w:r>
      <w:r>
        <w:rPr>
          <w:rFonts w:hint="eastAsia" w:ascii="仿宋" w:hAnsi="仿宋" w:eastAsia="仿宋"/>
          <w:sz w:val="32"/>
          <w:szCs w:val="32"/>
          <w:lang w:eastAsia="zh-CN"/>
        </w:rPr>
        <w:t>，</w:t>
      </w:r>
      <w:r>
        <w:rPr>
          <w:rFonts w:hint="eastAsia" w:ascii="仿宋" w:hAnsi="仿宋" w:eastAsia="仿宋"/>
          <w:sz w:val="32"/>
          <w:szCs w:val="32"/>
        </w:rPr>
        <w:t xml:space="preserve">主要用于单位工作人员公务出国(境)的住宿费、旅费、伙食补助费、杂费、培训费等支出。               </w:t>
      </w:r>
    </w:p>
    <w:p>
      <w:pPr>
        <w:ind w:firstLine="640" w:firstLineChars="200"/>
        <w:rPr>
          <w:rFonts w:hint="eastAsia" w:ascii="仿宋" w:hAnsi="仿宋" w:eastAsia="仿宋"/>
          <w:sz w:val="32"/>
          <w:szCs w:val="32"/>
        </w:rPr>
      </w:pPr>
      <w:r>
        <w:rPr>
          <w:rFonts w:hint="eastAsia" w:ascii="仿宋" w:hAnsi="仿宋" w:eastAsia="仿宋"/>
          <w:sz w:val="32"/>
          <w:szCs w:val="32"/>
        </w:rPr>
        <w:t>(2)公务用车购置及运行费0万元，其中，公务用车购置费0万元；公务用车运行维护费0万元</w:t>
      </w:r>
      <w:r>
        <w:rPr>
          <w:rFonts w:hint="eastAsia" w:ascii="仿宋" w:hAnsi="仿宋" w:eastAsia="仿宋"/>
          <w:sz w:val="32"/>
          <w:szCs w:val="32"/>
          <w:lang w:eastAsia="zh-CN"/>
        </w:rPr>
        <w:t>，</w:t>
      </w:r>
      <w:r>
        <w:rPr>
          <w:rFonts w:hint="eastAsia" w:ascii="仿宋" w:hAnsi="仿宋" w:eastAsia="仿宋"/>
          <w:sz w:val="32"/>
          <w:szCs w:val="32"/>
        </w:rPr>
        <w:t>主要用于开展工作所需公务用车的燃料费、维修费、过路过桥费、保险费等支出。</w:t>
      </w:r>
    </w:p>
    <w:p>
      <w:pPr>
        <w:ind w:firstLine="640" w:firstLineChars="200"/>
        <w:rPr>
          <w:rFonts w:ascii="仿宋" w:hAnsi="仿宋" w:eastAsia="仿宋"/>
          <w:sz w:val="32"/>
          <w:szCs w:val="32"/>
        </w:rPr>
      </w:pPr>
      <w:r>
        <w:rPr>
          <w:rFonts w:hint="eastAsia" w:ascii="仿宋" w:hAnsi="仿宋" w:eastAsia="仿宋"/>
          <w:sz w:val="32"/>
          <w:szCs w:val="32"/>
        </w:rPr>
        <w:t>(3)公务接待费8.4万元，主要用于按规定开支的各类公务接待(含外宾接待)支出。与上年同期减少</w:t>
      </w:r>
      <w:r>
        <w:rPr>
          <w:rFonts w:hint="eastAsia" w:ascii="仿宋" w:hAnsi="仿宋" w:eastAsia="仿宋"/>
          <w:sz w:val="32"/>
          <w:szCs w:val="32"/>
          <w:lang w:val="en-US" w:eastAsia="zh-CN"/>
        </w:rPr>
        <w:t>0.1万元,减幅</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减少的主要原因是2020年我局将按照中央国务院八项规定和省委省政府厉行节约的相关规定要求，严格管控“三公”经费支出，进一步压缩公务接待开支。</w:t>
      </w:r>
    </w:p>
    <w:p>
      <w:pP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九、其他重要事项情况说明</w:t>
      </w:r>
    </w:p>
    <w:p>
      <w:pPr>
        <w:rPr>
          <w:rFonts w:ascii="仿宋" w:hAnsi="仿宋" w:eastAsia="仿宋"/>
          <w:b/>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、机关运行经费安排情况说明</w:t>
      </w:r>
    </w:p>
    <w:p>
      <w:pPr>
        <w:rPr>
          <w:rFonts w:hint="eastAsia" w:ascii="仿宋" w:hAnsi="仿宋" w:eastAsia="仿宋"/>
          <w:sz w:val="32"/>
          <w:szCs w:val="32"/>
          <w:lang w:val="en-US" w:eastAsia="zh-CN"/>
        </w:rPr>
      </w:pPr>
      <w:r>
        <w:rPr>
          <w:rFonts w:hint="eastAsia" w:ascii="仿宋" w:hAnsi="仿宋" w:eastAsia="仿宋"/>
          <w:sz w:val="32"/>
          <w:szCs w:val="32"/>
        </w:rPr>
        <w:t xml:space="preserve">   2020年度机关运行经费13.3万元，比上年同期机关运行经费减少45.7万元，同比减少77%。系行政事业房屋不允许租赁，非税收入减少形成。其中办公经费4.9万元，招商用招待费用8.4万</w:t>
      </w:r>
      <w:r>
        <w:rPr>
          <w:rFonts w:hint="eastAsia" w:ascii="仿宋" w:hAnsi="仿宋" w:eastAsia="仿宋"/>
          <w:sz w:val="32"/>
          <w:szCs w:val="32"/>
          <w:lang w:eastAsia="zh-CN"/>
        </w:rPr>
        <w:t>元，水电、物业费</w:t>
      </w:r>
      <w:r>
        <w:rPr>
          <w:rFonts w:hint="eastAsia" w:ascii="仿宋" w:hAnsi="仿宋" w:eastAsia="仿宋"/>
          <w:sz w:val="32"/>
          <w:szCs w:val="32"/>
          <w:lang w:val="en-US" w:eastAsia="zh-CN"/>
        </w:rPr>
        <w:t>5.5万元，其他交通费9.2万元，系公务员车补。</w:t>
      </w:r>
    </w:p>
    <w:p>
      <w:pPr>
        <w:numPr>
          <w:ilvl w:val="0"/>
          <w:numId w:val="2"/>
        </w:numPr>
        <w:rPr>
          <w:rFonts w:hint="eastAsia" w:ascii="仿宋" w:hAnsi="仿宋" w:eastAsia="仿宋"/>
          <w:b/>
          <w:sz w:val="32"/>
          <w:szCs w:val="32"/>
          <w:lang w:val="en-US" w:eastAsia="zh-CN"/>
        </w:rPr>
      </w:pPr>
      <w:r>
        <w:rPr>
          <w:rFonts w:hint="eastAsia" w:ascii="仿宋" w:hAnsi="仿宋" w:eastAsia="仿宋"/>
          <w:b/>
          <w:sz w:val="32"/>
          <w:szCs w:val="32"/>
          <w:lang w:val="en-US" w:eastAsia="zh-CN"/>
        </w:rPr>
        <w:t>政府采购支出情况</w:t>
      </w:r>
    </w:p>
    <w:p>
      <w:pPr>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2020年</w:t>
      </w:r>
      <w:r>
        <w:rPr>
          <w:rFonts w:hint="eastAsia" w:ascii="仿宋" w:hAnsi="仿宋" w:eastAsia="仿宋"/>
          <w:b w:val="0"/>
          <w:bCs w:val="0"/>
          <w:color w:val="000000"/>
          <w:sz w:val="32"/>
          <w:szCs w:val="32"/>
          <w:lang w:val="en-US" w:eastAsia="zh-CN"/>
        </w:rPr>
        <w:t>信阳市浉河区商务局</w:t>
      </w:r>
      <w:r>
        <w:rPr>
          <w:rFonts w:hint="eastAsia" w:ascii="仿宋" w:hAnsi="仿宋" w:eastAsia="仿宋"/>
          <w:b w:val="0"/>
          <w:bCs w:val="0"/>
          <w:color w:val="000000"/>
          <w:sz w:val="32"/>
          <w:szCs w:val="32"/>
        </w:rPr>
        <w:t>没有安排政府采购支出</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政府采购预算安排 0万元，其中：政府采购货物预算0万元、政府采购工程预算0万元、政府采购服务预算0万元。采购内容包括0设备购置、0实施费用等。</w:t>
      </w:r>
    </w:p>
    <w:p>
      <w:pPr>
        <w:numPr>
          <w:ilvl w:val="0"/>
          <w:numId w:val="0"/>
        </w:numPr>
        <w:rPr>
          <w:rFonts w:hint="eastAsia" w:ascii="仿宋" w:hAnsi="仿宋" w:eastAsia="仿宋"/>
          <w:b/>
          <w:sz w:val="32"/>
          <w:szCs w:val="32"/>
          <w:lang w:val="en-US" w:eastAsia="zh-CN"/>
        </w:rPr>
      </w:pPr>
      <w:r>
        <w:rPr>
          <w:rFonts w:hint="eastAsia" w:ascii="仿宋" w:hAnsi="仿宋" w:eastAsia="仿宋"/>
          <w:b/>
          <w:sz w:val="32"/>
          <w:szCs w:val="32"/>
          <w:lang w:val="en-US" w:eastAsia="zh-CN"/>
        </w:rPr>
        <w:t>3、国有资产占用情况说明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末，我部门共有车辆0辆，其中：省级领导干部用车0辆、主要领导干部用车0辆、机要通信用车0辆、应急保障车0辆、执法执勤用车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辆、特种专业技术用车0辆、离退休干部用车0辆、其他用车0辆；单位价值50万元以上通用设备0台（套），单位价值100万元以上专用设备0台（套）</w:t>
      </w:r>
      <w:r>
        <w:rPr>
          <w:rFonts w:hint="eastAsia" w:ascii="仿宋_GB2312" w:hAnsi="仿宋_GB2312" w:eastAsia="仿宋_GB2312" w:cs="仿宋_GB2312"/>
          <w:sz w:val="32"/>
          <w:szCs w:val="32"/>
          <w:lang w:eastAsia="zh-CN"/>
        </w:rPr>
        <w:t>。</w:t>
      </w:r>
    </w:p>
    <w:p>
      <w:pPr>
        <w:numPr>
          <w:ilvl w:val="0"/>
          <w:numId w:val="0"/>
        </w:numPr>
        <w:rPr>
          <w:rFonts w:hint="eastAsia" w:ascii="仿宋" w:hAnsi="仿宋" w:eastAsia="仿宋"/>
          <w:b/>
          <w:sz w:val="32"/>
          <w:szCs w:val="32"/>
          <w:lang w:val="en-US" w:eastAsia="zh-CN"/>
        </w:rPr>
      </w:pPr>
      <w:r>
        <w:rPr>
          <w:rFonts w:hint="eastAsia" w:ascii="仿宋" w:hAnsi="仿宋" w:eastAsia="仿宋"/>
          <w:b/>
          <w:sz w:val="32"/>
          <w:szCs w:val="32"/>
          <w:lang w:val="en-US" w:eastAsia="zh-CN"/>
        </w:rPr>
        <w:t>4、关于预算绩效管理工作开展情况说明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项目名称：2020年度外贸出口奖励185万元，用于兑现2019年度外贸出口完成目标企业奖励。</w:t>
      </w:r>
    </w:p>
    <w:p>
      <w:pPr>
        <w:widowControl/>
        <w:spacing w:line="590" w:lineRule="exact"/>
        <w:ind w:firstLine="640" w:firstLineChars="200"/>
        <w:rPr>
          <w:rFonts w:hint="default" w:ascii="仿宋_GB2312" w:hAnsi="仿宋_GB2312" w:eastAsia="仿宋_GB2312" w:cs="仿宋_GB2312"/>
          <w:sz w:val="32"/>
          <w:szCs w:val="32"/>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 xml:space="preserve"> 总体目标：预计2020年度完成外贸出口3700万美元，进一步扩大全区的对外贸易规模，以此提高全区的国际竞争力，推进全区的经济发展。</w:t>
      </w:r>
    </w:p>
    <w:p>
      <w:pPr>
        <w:tabs>
          <w:tab w:val="left" w:pos="3030"/>
        </w:tabs>
        <w:rPr>
          <w:rFonts w:ascii="仿宋_GB2312" w:hAnsi="宋体" w:eastAsia="仿宋_GB2312"/>
          <w:b/>
          <w:sz w:val="36"/>
          <w:szCs w:val="36"/>
        </w:rPr>
      </w:pPr>
      <w:r>
        <w:rPr>
          <w:rFonts w:hint="eastAsia" w:ascii="仿宋_GB2312" w:hAnsi="宋体" w:eastAsia="仿宋_GB2312"/>
          <w:b/>
          <w:sz w:val="36"/>
          <w:szCs w:val="36"/>
          <w:lang w:val="en-US" w:eastAsia="zh-CN"/>
        </w:rPr>
        <w:t>第三部分、</w:t>
      </w:r>
      <w:r>
        <w:rPr>
          <w:rFonts w:hint="eastAsia" w:ascii="仿宋_GB2312" w:hAnsi="宋体" w:eastAsia="仿宋_GB2312"/>
          <w:b/>
          <w:sz w:val="36"/>
          <w:szCs w:val="36"/>
        </w:rPr>
        <w:t>名词解释</w:t>
      </w:r>
    </w:p>
    <w:p>
      <w:pPr>
        <w:ind w:firstLine="643" w:firstLineChars="200"/>
        <w:rPr>
          <w:rFonts w:ascii="仿宋" w:hAnsi="仿宋" w:eastAsia="仿宋"/>
          <w:sz w:val="32"/>
          <w:szCs w:val="32"/>
        </w:rPr>
      </w:pPr>
      <w:r>
        <w:rPr>
          <w:rFonts w:hint="eastAsia" w:ascii="仿宋" w:hAnsi="仿宋" w:eastAsia="仿宋"/>
          <w:b/>
          <w:sz w:val="32"/>
          <w:szCs w:val="32"/>
        </w:rPr>
        <w:t>1、一般公共服务支出</w:t>
      </w:r>
      <w:r>
        <w:rPr>
          <w:rFonts w:hint="eastAsia" w:ascii="仿宋" w:hAnsi="仿宋" w:eastAsia="仿宋"/>
          <w:sz w:val="32"/>
          <w:szCs w:val="32"/>
        </w:rPr>
        <w:t>：反映政府提供一般公共服务的支出。</w:t>
      </w:r>
    </w:p>
    <w:p>
      <w:pPr>
        <w:ind w:firstLine="643" w:firstLineChars="200"/>
        <w:rPr>
          <w:rFonts w:ascii="仿宋" w:hAnsi="仿宋" w:eastAsia="仿宋"/>
          <w:sz w:val="32"/>
          <w:szCs w:val="32"/>
        </w:rPr>
      </w:pPr>
      <w:r>
        <w:rPr>
          <w:rFonts w:hint="eastAsia" w:ascii="仿宋" w:hAnsi="仿宋" w:eastAsia="仿宋"/>
          <w:b/>
          <w:sz w:val="32"/>
          <w:szCs w:val="32"/>
        </w:rPr>
        <w:t>2、商贸事务</w:t>
      </w:r>
      <w:r>
        <w:rPr>
          <w:rFonts w:hint="eastAsia" w:ascii="仿宋" w:hAnsi="仿宋" w:eastAsia="仿宋"/>
          <w:sz w:val="32"/>
          <w:szCs w:val="32"/>
        </w:rPr>
        <w:t>：反映商贸事务方面的支出。</w:t>
      </w:r>
    </w:p>
    <w:p>
      <w:pPr>
        <w:ind w:firstLine="643" w:firstLineChars="200"/>
        <w:rPr>
          <w:rFonts w:ascii="仿宋" w:hAnsi="仿宋" w:eastAsia="仿宋"/>
          <w:sz w:val="32"/>
          <w:szCs w:val="32"/>
        </w:rPr>
      </w:pPr>
      <w:r>
        <w:rPr>
          <w:rFonts w:hint="eastAsia" w:ascii="仿宋" w:hAnsi="仿宋" w:eastAsia="仿宋"/>
          <w:b/>
          <w:sz w:val="32"/>
          <w:szCs w:val="32"/>
        </w:rPr>
        <w:t>3、行政运行</w:t>
      </w:r>
      <w:r>
        <w:rPr>
          <w:rFonts w:hint="eastAsia" w:ascii="仿宋" w:hAnsi="仿宋" w:eastAsia="仿宋"/>
          <w:sz w:val="32"/>
          <w:szCs w:val="32"/>
        </w:rPr>
        <w:t>：反映行政单位（包括实行公务员管理的事业单位）的基本支出。</w:t>
      </w:r>
    </w:p>
    <w:p>
      <w:pPr>
        <w:ind w:firstLine="643" w:firstLineChars="200"/>
        <w:rPr>
          <w:rFonts w:ascii="仿宋" w:hAnsi="仿宋" w:eastAsia="仿宋"/>
          <w:sz w:val="32"/>
          <w:szCs w:val="32"/>
        </w:rPr>
      </w:pPr>
      <w:r>
        <w:rPr>
          <w:rFonts w:hint="eastAsia" w:ascii="仿宋" w:hAnsi="仿宋" w:eastAsia="仿宋"/>
          <w:b/>
          <w:sz w:val="32"/>
          <w:szCs w:val="32"/>
        </w:rPr>
        <w:t>4、抚恤</w:t>
      </w:r>
      <w:r>
        <w:rPr>
          <w:rFonts w:hint="eastAsia" w:ascii="仿宋" w:hAnsi="仿宋" w:eastAsia="仿宋"/>
          <w:sz w:val="32"/>
          <w:szCs w:val="32"/>
        </w:rPr>
        <w:t>：反映用于各类优抚对象和优抚事业单位的支出。</w:t>
      </w:r>
    </w:p>
    <w:p>
      <w:pPr>
        <w:ind w:firstLine="643" w:firstLineChars="200"/>
        <w:rPr>
          <w:rFonts w:ascii="仿宋" w:hAnsi="仿宋" w:eastAsia="仿宋"/>
          <w:sz w:val="32"/>
          <w:szCs w:val="32"/>
        </w:rPr>
      </w:pPr>
      <w:r>
        <w:rPr>
          <w:rFonts w:hint="eastAsia" w:ascii="仿宋" w:hAnsi="仿宋" w:eastAsia="仿宋"/>
          <w:b/>
          <w:sz w:val="32"/>
          <w:szCs w:val="32"/>
        </w:rPr>
        <w:t>5、临时救助</w:t>
      </w:r>
      <w:r>
        <w:rPr>
          <w:rFonts w:hint="eastAsia" w:ascii="仿宋" w:hAnsi="仿宋" w:eastAsia="仿宋"/>
          <w:sz w:val="32"/>
          <w:szCs w:val="32"/>
        </w:rPr>
        <w:t>：反映城乡生活困难居民的临时救助等支出。</w:t>
      </w:r>
    </w:p>
    <w:p>
      <w:pPr>
        <w:ind w:firstLine="643" w:firstLineChars="200"/>
        <w:rPr>
          <w:rFonts w:ascii="仿宋" w:hAnsi="仿宋" w:eastAsia="仿宋"/>
          <w:sz w:val="32"/>
          <w:szCs w:val="32"/>
        </w:rPr>
      </w:pPr>
      <w:r>
        <w:rPr>
          <w:rFonts w:hint="eastAsia" w:ascii="仿宋" w:hAnsi="仿宋" w:eastAsia="仿宋"/>
          <w:b/>
          <w:sz w:val="32"/>
          <w:szCs w:val="32"/>
        </w:rPr>
        <w:t>6、基本工资</w:t>
      </w:r>
      <w:r>
        <w:rPr>
          <w:rFonts w:hint="eastAsia" w:ascii="仿宋" w:hAnsi="仿宋" w:eastAsia="仿宋"/>
          <w:sz w:val="32"/>
          <w:szCs w:val="32"/>
        </w:rPr>
        <w:t>：反映按规定发放的基本工资，包括公务员的职务工资，级别工资。机关工人的岗位工资，技术等级工资。事业单位人员的岗位工资，薪级工资。</w:t>
      </w:r>
    </w:p>
    <w:p>
      <w:pPr>
        <w:ind w:firstLine="643" w:firstLineChars="200"/>
        <w:rPr>
          <w:rFonts w:ascii="仿宋" w:hAnsi="仿宋" w:eastAsia="仿宋"/>
          <w:sz w:val="32"/>
          <w:szCs w:val="32"/>
        </w:rPr>
      </w:pPr>
      <w:r>
        <w:rPr>
          <w:rFonts w:hint="eastAsia" w:ascii="仿宋" w:hAnsi="仿宋" w:eastAsia="仿宋"/>
          <w:b/>
          <w:sz w:val="32"/>
          <w:szCs w:val="32"/>
        </w:rPr>
        <w:t>7、津贴补贴</w:t>
      </w:r>
      <w:r>
        <w:rPr>
          <w:rFonts w:hint="eastAsia" w:ascii="仿宋" w:hAnsi="仿宋" w:eastAsia="仿宋"/>
          <w:sz w:val="32"/>
          <w:szCs w:val="32"/>
        </w:rPr>
        <w:t>：反映经国家批准建立的机关事业单位艰苦边远地区津贴，机关工作人员地区附加津贴，机关工作人员岗位津贴，事业单位工作人员特殊岗位津贴补贴。</w:t>
      </w:r>
    </w:p>
    <w:p>
      <w:pPr>
        <w:ind w:firstLine="643" w:firstLineChars="200"/>
        <w:rPr>
          <w:rFonts w:ascii="仿宋" w:hAnsi="仿宋" w:eastAsia="仿宋"/>
          <w:sz w:val="32"/>
          <w:szCs w:val="32"/>
        </w:rPr>
      </w:pPr>
      <w:r>
        <w:rPr>
          <w:rFonts w:hint="eastAsia" w:ascii="仿宋" w:hAnsi="仿宋" w:eastAsia="仿宋"/>
          <w:b/>
          <w:sz w:val="32"/>
          <w:szCs w:val="32"/>
        </w:rPr>
        <w:t xml:space="preserve"> 8、基本支出</w:t>
      </w:r>
      <w:r>
        <w:rPr>
          <w:rFonts w:hint="eastAsia" w:ascii="仿宋" w:hAnsi="仿宋" w:eastAsia="仿宋"/>
          <w:sz w:val="32"/>
          <w:szCs w:val="32"/>
        </w:rPr>
        <w:t>：指为保障机构正常运转，完成日常工作任务而发生的人员支出和公用支出。</w:t>
      </w:r>
    </w:p>
    <w:p>
      <w:pPr>
        <w:pStyle w:val="6"/>
        <w:ind w:firstLine="643"/>
        <w:rPr>
          <w:rFonts w:ascii="仿宋" w:hAnsi="仿宋" w:eastAsia="仿宋"/>
          <w:sz w:val="32"/>
          <w:szCs w:val="32"/>
        </w:rPr>
      </w:pPr>
      <w:r>
        <w:rPr>
          <w:rFonts w:hint="eastAsia" w:ascii="仿宋" w:hAnsi="仿宋" w:eastAsia="仿宋"/>
          <w:b/>
          <w:sz w:val="32"/>
          <w:szCs w:val="32"/>
        </w:rPr>
        <w:t>9、三公经费</w:t>
      </w:r>
      <w:r>
        <w:rPr>
          <w:rFonts w:hint="eastAsia" w:ascii="仿宋" w:hAnsi="仿宋" w:eastAsia="仿宋"/>
          <w:sz w:val="32"/>
          <w:szCs w:val="32"/>
        </w:rPr>
        <w:t>：纳入中央财政预决算管理的三公经费是指用</w:t>
      </w:r>
      <w:r>
        <w:rPr>
          <w:rFonts w:hint="eastAsia" w:ascii="仿宋" w:hAnsi="仿宋" w:eastAsia="仿宋"/>
          <w:sz w:val="32"/>
          <w:szCs w:val="32"/>
          <w:lang w:eastAsia="zh-CN"/>
        </w:rPr>
        <w:t>财政拨款</w:t>
      </w:r>
      <w:r>
        <w:rPr>
          <w:rFonts w:hint="eastAsia" w:ascii="仿宋" w:hAnsi="仿宋" w:eastAsia="仿宋"/>
          <w:sz w:val="32"/>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ind w:firstLine="643"/>
        <w:jc w:val="left"/>
        <w:rPr>
          <w:rFonts w:hint="eastAsia" w:ascii="仿宋" w:hAnsi="仿宋" w:eastAsia="仿宋"/>
          <w:sz w:val="32"/>
          <w:szCs w:val="32"/>
        </w:rPr>
      </w:pPr>
      <w:r>
        <w:rPr>
          <w:rFonts w:hint="eastAsia" w:ascii="仿宋" w:hAnsi="仿宋" w:eastAsia="仿宋"/>
          <w:b/>
          <w:sz w:val="32"/>
          <w:szCs w:val="32"/>
        </w:rPr>
        <w:t>10、机关运行经费</w:t>
      </w:r>
      <w:r>
        <w:rPr>
          <w:rFonts w:hint="eastAsia" w:ascii="仿宋" w:hAnsi="仿宋" w:eastAsia="仿宋"/>
          <w:sz w:val="32"/>
          <w:szCs w:val="32"/>
        </w:rPr>
        <w:t>：为保障行政单位 运行用于购买货物和服务的各项资金，包括办公及印刷费用，邮电费，差旅费，会议费，福利费，日常维修费，专用材料及一般设备购置费，办公用房水电费，办公用房取暖费。办公用房物业管理费，公务用车运行维护费以及其他费用。</w:t>
      </w:r>
    </w:p>
    <w:p>
      <w:pPr>
        <w:tabs>
          <w:tab w:val="left" w:pos="3030"/>
        </w:tabs>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15169"/>
    <w:multiLevelType w:val="singleLevel"/>
    <w:tmpl w:val="8C615169"/>
    <w:lvl w:ilvl="0" w:tentative="0">
      <w:start w:val="2"/>
      <w:numFmt w:val="decimal"/>
      <w:suff w:val="nothing"/>
      <w:lvlText w:val="%1、"/>
      <w:lvlJc w:val="left"/>
    </w:lvl>
  </w:abstractNum>
  <w:abstractNum w:abstractNumId="1">
    <w:nsid w:val="35299834"/>
    <w:multiLevelType w:val="singleLevel"/>
    <w:tmpl w:val="35299834"/>
    <w:lvl w:ilvl="0" w:tentative="0">
      <w:start w:val="3"/>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915"/>
    <w:rsid w:val="00004DA5"/>
    <w:rsid w:val="00010008"/>
    <w:rsid w:val="0007221F"/>
    <w:rsid w:val="00074F8F"/>
    <w:rsid w:val="00084578"/>
    <w:rsid w:val="0008491B"/>
    <w:rsid w:val="0009635A"/>
    <w:rsid w:val="00096E69"/>
    <w:rsid w:val="000F0A84"/>
    <w:rsid w:val="0010079C"/>
    <w:rsid w:val="001213CF"/>
    <w:rsid w:val="00122B2B"/>
    <w:rsid w:val="00143498"/>
    <w:rsid w:val="001B35DE"/>
    <w:rsid w:val="00200A91"/>
    <w:rsid w:val="00262184"/>
    <w:rsid w:val="002922CF"/>
    <w:rsid w:val="002B0877"/>
    <w:rsid w:val="002C6A94"/>
    <w:rsid w:val="002E2C55"/>
    <w:rsid w:val="002E39CC"/>
    <w:rsid w:val="002F112C"/>
    <w:rsid w:val="00333D27"/>
    <w:rsid w:val="00334209"/>
    <w:rsid w:val="00347F48"/>
    <w:rsid w:val="004060B0"/>
    <w:rsid w:val="00427B39"/>
    <w:rsid w:val="00437ECD"/>
    <w:rsid w:val="004553B1"/>
    <w:rsid w:val="00472915"/>
    <w:rsid w:val="004E180B"/>
    <w:rsid w:val="00522816"/>
    <w:rsid w:val="0052507D"/>
    <w:rsid w:val="00554465"/>
    <w:rsid w:val="00591B3F"/>
    <w:rsid w:val="005B2DC1"/>
    <w:rsid w:val="005E52BE"/>
    <w:rsid w:val="0063050A"/>
    <w:rsid w:val="00664F61"/>
    <w:rsid w:val="0067788D"/>
    <w:rsid w:val="00697648"/>
    <w:rsid w:val="007161BB"/>
    <w:rsid w:val="00716DBA"/>
    <w:rsid w:val="00731289"/>
    <w:rsid w:val="00774890"/>
    <w:rsid w:val="00786D9A"/>
    <w:rsid w:val="007A3DD5"/>
    <w:rsid w:val="00806A83"/>
    <w:rsid w:val="00831967"/>
    <w:rsid w:val="0086734E"/>
    <w:rsid w:val="00880975"/>
    <w:rsid w:val="008C2C01"/>
    <w:rsid w:val="00932CA7"/>
    <w:rsid w:val="009A527D"/>
    <w:rsid w:val="009B4AB0"/>
    <w:rsid w:val="009C31D2"/>
    <w:rsid w:val="009D1230"/>
    <w:rsid w:val="009D5CE3"/>
    <w:rsid w:val="00A11E1A"/>
    <w:rsid w:val="00A21CC3"/>
    <w:rsid w:val="00A3060B"/>
    <w:rsid w:val="00A76731"/>
    <w:rsid w:val="00A82BA6"/>
    <w:rsid w:val="00A9173C"/>
    <w:rsid w:val="00AB46DB"/>
    <w:rsid w:val="00AC68D7"/>
    <w:rsid w:val="00B15329"/>
    <w:rsid w:val="00B15CB1"/>
    <w:rsid w:val="00B3011B"/>
    <w:rsid w:val="00B65AC9"/>
    <w:rsid w:val="00B71786"/>
    <w:rsid w:val="00B72276"/>
    <w:rsid w:val="00B86B2D"/>
    <w:rsid w:val="00BB6A10"/>
    <w:rsid w:val="00BD2D43"/>
    <w:rsid w:val="00BE7DEA"/>
    <w:rsid w:val="00C3620C"/>
    <w:rsid w:val="00C71871"/>
    <w:rsid w:val="00C92CDD"/>
    <w:rsid w:val="00C97651"/>
    <w:rsid w:val="00CA589D"/>
    <w:rsid w:val="00D03C4C"/>
    <w:rsid w:val="00D044C0"/>
    <w:rsid w:val="00D23012"/>
    <w:rsid w:val="00D24FE0"/>
    <w:rsid w:val="00D96DDD"/>
    <w:rsid w:val="00DA3809"/>
    <w:rsid w:val="00DB2F91"/>
    <w:rsid w:val="00DE01D7"/>
    <w:rsid w:val="00DF7946"/>
    <w:rsid w:val="00E17B10"/>
    <w:rsid w:val="00E70A2F"/>
    <w:rsid w:val="00E71384"/>
    <w:rsid w:val="00E71990"/>
    <w:rsid w:val="00E90D1B"/>
    <w:rsid w:val="00EB10D4"/>
    <w:rsid w:val="00EB3396"/>
    <w:rsid w:val="00EC0863"/>
    <w:rsid w:val="00F54F4A"/>
    <w:rsid w:val="00F91D8A"/>
    <w:rsid w:val="00FA4F4A"/>
    <w:rsid w:val="00FB1471"/>
    <w:rsid w:val="00FC1240"/>
    <w:rsid w:val="00FD156C"/>
    <w:rsid w:val="02184FBA"/>
    <w:rsid w:val="0399092D"/>
    <w:rsid w:val="0CC15E1E"/>
    <w:rsid w:val="13C71A10"/>
    <w:rsid w:val="17F9321A"/>
    <w:rsid w:val="1ABB1A0C"/>
    <w:rsid w:val="1CC1028A"/>
    <w:rsid w:val="1EE13A27"/>
    <w:rsid w:val="2090500F"/>
    <w:rsid w:val="28FB10B2"/>
    <w:rsid w:val="33E651B8"/>
    <w:rsid w:val="34A3168E"/>
    <w:rsid w:val="35790B86"/>
    <w:rsid w:val="43D27523"/>
    <w:rsid w:val="45227BEE"/>
    <w:rsid w:val="4BA74DC4"/>
    <w:rsid w:val="4D7C26E3"/>
    <w:rsid w:val="5AE7459F"/>
    <w:rsid w:val="5B261467"/>
    <w:rsid w:val="5D763BFA"/>
    <w:rsid w:val="64060E0B"/>
    <w:rsid w:val="74A617DD"/>
    <w:rsid w:val="77FE4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widowControl/>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F6CC1-79EA-4706-8138-C20F06E350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439</Words>
  <Characters>2508</Characters>
  <Lines>20</Lines>
  <Paragraphs>5</Paragraphs>
  <TotalTime>1</TotalTime>
  <ScaleCrop>false</ScaleCrop>
  <LinksUpToDate>false</LinksUpToDate>
  <CharactersWithSpaces>2942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2017-12-25T08:00:00Z</dcterms:created>
  <dc:creator>微软用户</dc:creator>
  <cp:lastModifiedBy>从光宇</cp:lastModifiedBy>
  <dcterms:modified xsi:type="dcterms:W3CDTF">2021-06-20T10:24:32Z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15A9255F6638423E9A0D25D8ACA9AC12</vt:lpwstr>
  </property>
</Properties>
</file>