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bookmarkStart w:id="0" w:name="_GoBack"/>
      <w:r>
        <w:rPr>
          <w:rFonts w:hint="eastAsia" w:ascii="仿宋" w:hAnsi="仿宋" w:eastAsia="仿宋" w:cs="隶书"/>
          <w:b/>
          <w:sz w:val="52"/>
          <w:szCs w:val="52"/>
          <w:lang w:eastAsia="zh-CN"/>
        </w:rPr>
        <w:t>信阳市浉河区审计局</w:t>
      </w:r>
      <w:bookmarkEnd w:id="0"/>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lang w:val="en-US" w:eastAsia="zh-CN"/>
        </w:rPr>
        <w:t>20</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信阳市浉河区审计局</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　　</w:t>
      </w:r>
      <w:r>
        <w:rPr>
          <w:rFonts w:hint="eastAsia" w:ascii="仿宋" w:hAnsi="仿宋" w:eastAsia="仿宋" w:cs="黑体"/>
          <w:sz w:val="32"/>
          <w:szCs w:val="32"/>
          <w:lang w:eastAsia="zh-CN"/>
        </w:rPr>
        <w:t>信阳市浉河区审计局</w:t>
      </w:r>
      <w:r>
        <w:rPr>
          <w:rFonts w:hint="eastAsia" w:ascii="仿宋" w:hAnsi="仿宋" w:eastAsia="仿宋" w:cs="黑体"/>
          <w:sz w:val="32"/>
          <w:szCs w:val="32"/>
        </w:rPr>
        <w:t>20</w:t>
      </w:r>
      <w:r>
        <w:rPr>
          <w:rFonts w:hint="eastAsia" w:ascii="仿宋" w:hAnsi="仿宋" w:eastAsia="仿宋" w:cs="黑体"/>
          <w:sz w:val="32"/>
          <w:szCs w:val="32"/>
          <w:lang w:val="en-US" w:eastAsia="zh-CN"/>
        </w:rPr>
        <w:t>20</w:t>
      </w:r>
      <w:r>
        <w:rPr>
          <w:rFonts w:hint="eastAsia" w:ascii="仿宋" w:hAnsi="仿宋" w:eastAsia="仿宋" w:cs="黑体"/>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w:t>
      </w:r>
      <w:r>
        <w:rPr>
          <w:rFonts w:hint="eastAsia" w:ascii="仿宋" w:hAnsi="仿宋" w:eastAsia="仿宋" w:cs="黑体"/>
          <w:sz w:val="32"/>
          <w:szCs w:val="32"/>
          <w:lang w:eastAsia="zh-CN"/>
        </w:rPr>
        <w:t>信阳市浉河区审计局</w:t>
      </w:r>
      <w:r>
        <w:rPr>
          <w:rFonts w:hint="eastAsia" w:ascii="仿宋" w:hAnsi="仿宋" w:eastAsia="仿宋" w:cs="黑体"/>
          <w:sz w:val="32"/>
          <w:szCs w:val="32"/>
        </w:rPr>
        <w:t>20</w:t>
      </w:r>
      <w:r>
        <w:rPr>
          <w:rFonts w:hint="eastAsia" w:ascii="仿宋" w:hAnsi="仿宋" w:eastAsia="仿宋" w:cs="黑体"/>
          <w:sz w:val="32"/>
          <w:szCs w:val="32"/>
          <w:lang w:val="en-US" w:eastAsia="zh-CN"/>
        </w:rPr>
        <w:t>20</w:t>
      </w:r>
      <w:r>
        <w:rPr>
          <w:rFonts w:hint="eastAsia" w:ascii="仿宋" w:hAnsi="仿宋" w:eastAsia="仿宋" w:cs="黑体"/>
          <w:sz w:val="32"/>
          <w:szCs w:val="32"/>
        </w:rPr>
        <w:t>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信阳市浉河区审计局</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3"/>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widowControl/>
        <w:spacing w:line="600" w:lineRule="atLeast"/>
        <w:ind w:firstLine="640"/>
        <w:jc w:val="left"/>
        <w:textAlignment w:val="top"/>
        <w:rPr>
          <w:rFonts w:ascii="仿宋" w:hAnsi="仿宋" w:eastAsia="仿宋" w:cs="宋体"/>
          <w:sz w:val="32"/>
          <w:szCs w:val="32"/>
        </w:rPr>
      </w:pPr>
      <w:r>
        <w:rPr>
          <w:rFonts w:hint="eastAsia" w:ascii="仿宋" w:hAnsi="仿宋" w:eastAsia="仿宋"/>
          <w:sz w:val="32"/>
          <w:szCs w:val="32"/>
        </w:rPr>
        <w:t>根据《关于印发</w:t>
      </w:r>
      <w:r>
        <w:rPr>
          <w:rFonts w:hint="eastAsia" w:ascii="仿宋" w:hAnsi="仿宋" w:eastAsia="仿宋"/>
          <w:sz w:val="32"/>
          <w:szCs w:val="32"/>
          <w:lang w:eastAsia="zh-CN"/>
        </w:rPr>
        <w:t>信阳市浉河区审计局</w:t>
      </w:r>
      <w:r>
        <w:rPr>
          <w:rFonts w:hint="eastAsia" w:ascii="仿宋" w:hAnsi="仿宋" w:eastAsia="仿宋"/>
          <w:sz w:val="32"/>
          <w:szCs w:val="32"/>
        </w:rPr>
        <w:t>主要职责内设机构和人员编制规定的通知》（</w:t>
      </w:r>
      <w:r>
        <w:rPr>
          <w:rFonts w:hint="eastAsia" w:ascii="仿宋" w:hAnsi="仿宋" w:eastAsia="仿宋" w:cs="宋体"/>
          <w:sz w:val="32"/>
          <w:szCs w:val="32"/>
        </w:rPr>
        <w:t>浉编【2010】19号），区机构编制委员会批准</w:t>
      </w:r>
      <w:r>
        <w:rPr>
          <w:rFonts w:hint="eastAsia" w:ascii="仿宋" w:hAnsi="仿宋" w:eastAsia="仿宋" w:cs="宋体"/>
          <w:sz w:val="32"/>
          <w:szCs w:val="32"/>
          <w:lang w:eastAsia="zh-CN"/>
        </w:rPr>
        <w:t>信阳市浉河区审计局</w:t>
      </w:r>
      <w:r>
        <w:rPr>
          <w:rFonts w:hint="eastAsia" w:ascii="仿宋" w:hAnsi="仿宋" w:eastAsia="仿宋" w:cs="宋体"/>
          <w:sz w:val="32"/>
          <w:szCs w:val="32"/>
        </w:rPr>
        <w:t>内设</w:t>
      </w:r>
      <w:r>
        <w:rPr>
          <w:rFonts w:hint="eastAsia" w:ascii="仿宋" w:hAnsi="仿宋" w:eastAsia="仿宋" w:cs="宋体"/>
          <w:sz w:val="32"/>
          <w:szCs w:val="32"/>
          <w:lang w:val="en-US" w:eastAsia="zh-CN"/>
        </w:rPr>
        <w:t>9</w:t>
      </w:r>
      <w:r>
        <w:rPr>
          <w:rFonts w:hint="eastAsia" w:ascii="仿宋" w:hAnsi="仿宋" w:eastAsia="仿宋" w:cs="宋体"/>
          <w:sz w:val="32"/>
          <w:szCs w:val="32"/>
        </w:rPr>
        <w:t>个股室，即办公室（电子政务办公室）、法规股、财政金融审计股、行政事业审计股、固定资产投资审计股、工商企业审计股、社会保障审计股、经济责任审计办公室</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党群政法股</w:t>
      </w:r>
      <w:r>
        <w:rPr>
          <w:rFonts w:hint="eastAsia" w:ascii="仿宋" w:hAnsi="仿宋" w:eastAsia="仿宋" w:cs="宋体"/>
          <w:sz w:val="32"/>
          <w:szCs w:val="32"/>
        </w:rPr>
        <w:t>。</w:t>
      </w:r>
    </w:p>
    <w:p>
      <w:pPr>
        <w:widowControl/>
        <w:numPr>
          <w:ilvl w:val="0"/>
          <w:numId w:val="2"/>
        </w:numPr>
        <w:spacing w:line="600" w:lineRule="atLeast"/>
        <w:jc w:val="left"/>
        <w:textAlignment w:val="top"/>
        <w:rPr>
          <w:rFonts w:ascii="仿宋" w:hAnsi="仿宋" w:eastAsia="仿宋"/>
          <w:color w:val="333333"/>
          <w:sz w:val="32"/>
          <w:szCs w:val="32"/>
        </w:rPr>
      </w:pPr>
      <w:r>
        <w:rPr>
          <w:rFonts w:hint="eastAsia" w:ascii="仿宋" w:hAnsi="仿宋" w:eastAsia="仿宋"/>
          <w:b/>
          <w:color w:val="333333"/>
          <w:sz w:val="32"/>
          <w:szCs w:val="32"/>
        </w:rPr>
        <w:t>主要职责范围是</w:t>
      </w:r>
      <w:r>
        <w:rPr>
          <w:rFonts w:hint="eastAsia" w:ascii="仿宋" w:hAnsi="仿宋" w:eastAsia="仿宋"/>
          <w:color w:val="333333"/>
          <w:sz w:val="32"/>
          <w:szCs w:val="32"/>
        </w:rPr>
        <w:t>：</w:t>
      </w:r>
    </w:p>
    <w:p>
      <w:pPr>
        <w:widowControl/>
        <w:numPr>
          <w:ilvl w:val="0"/>
          <w:numId w:val="3"/>
        </w:numPr>
        <w:spacing w:line="600" w:lineRule="atLeast"/>
        <w:ind w:firstLine="640" w:firstLineChars="200"/>
        <w:jc w:val="left"/>
        <w:textAlignment w:val="top"/>
        <w:rPr>
          <w:rFonts w:ascii="仿宋" w:hAnsi="仿宋" w:eastAsia="仿宋"/>
          <w:color w:val="333333"/>
          <w:sz w:val="32"/>
          <w:szCs w:val="32"/>
        </w:rPr>
      </w:pPr>
      <w:r>
        <w:rPr>
          <w:rFonts w:hint="eastAsia" w:ascii="仿宋" w:hAnsi="仿宋" w:eastAsia="仿宋"/>
          <w:color w:val="333333"/>
          <w:sz w:val="32"/>
          <w:szCs w:val="32"/>
        </w:rPr>
        <w:t>、主管全区审计工作。负责对全区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负有督促被审计单位整改的责任。</w:t>
      </w:r>
    </w:p>
    <w:p>
      <w:pPr>
        <w:widowControl/>
        <w:numPr>
          <w:ilvl w:val="0"/>
          <w:numId w:val="3"/>
        </w:numPr>
        <w:spacing w:line="600" w:lineRule="atLeast"/>
        <w:ind w:firstLine="640" w:firstLineChars="200"/>
        <w:jc w:val="left"/>
        <w:textAlignment w:val="top"/>
        <w:rPr>
          <w:rFonts w:ascii="仿宋" w:hAnsi="仿宋" w:eastAsia="仿宋"/>
          <w:color w:val="333333"/>
          <w:sz w:val="32"/>
          <w:szCs w:val="32"/>
        </w:rPr>
      </w:pPr>
      <w:r>
        <w:rPr>
          <w:rFonts w:hint="eastAsia" w:ascii="仿宋" w:hAnsi="仿宋" w:eastAsia="仿宋"/>
          <w:color w:val="333333"/>
          <w:sz w:val="32"/>
          <w:szCs w:val="32"/>
        </w:rPr>
        <w:t>、贯彻执行国家和省、市审计工作的法律法规和方针政策，参与起草审计、财经方面的地方性法规、规章草案，制定审计规章制度并监督执行，制定并组织实施审计工作发展规划和专业领域审计工作规划，制定并组织实施年度审计计划。对直接审计、调查和核查的事项依法进行审计评价，作出审计决定或提出审计建议。</w:t>
      </w:r>
    </w:p>
    <w:p>
      <w:pPr>
        <w:widowControl/>
        <w:numPr>
          <w:ilvl w:val="0"/>
          <w:numId w:val="3"/>
        </w:numPr>
        <w:spacing w:line="600" w:lineRule="atLeast"/>
        <w:ind w:firstLine="640" w:firstLineChars="200"/>
        <w:jc w:val="left"/>
        <w:textAlignment w:val="top"/>
        <w:rPr>
          <w:rFonts w:ascii="仿宋" w:hAnsi="仿宋" w:eastAsia="仿宋" w:cs="宋体"/>
          <w:sz w:val="32"/>
          <w:szCs w:val="32"/>
        </w:rPr>
      </w:pPr>
      <w:r>
        <w:rPr>
          <w:rFonts w:hint="eastAsia" w:ascii="仿宋" w:hAnsi="仿宋" w:eastAsia="仿宋"/>
          <w:color w:val="333333"/>
          <w:sz w:val="32"/>
          <w:szCs w:val="32"/>
        </w:rPr>
        <w:t>、是向区政府提交年度区级预算执行和其他财政收支的审计结果报告。受区政府委托向区人大常委会提交区级预算执行和其他财政收支情况的审计工作报告、审计发现问题的纠正和处理结果报告。向区政府报告其他事项专项审计调查情况及结果。依法向社会公布审计结果。向区政府有关部门通报审计情况和审计结果。</w:t>
      </w:r>
    </w:p>
    <w:p>
      <w:pPr>
        <w:widowControl/>
        <w:numPr>
          <w:ilvl w:val="0"/>
          <w:numId w:val="3"/>
        </w:numPr>
        <w:spacing w:line="600" w:lineRule="atLeast"/>
        <w:ind w:firstLine="640" w:firstLineChars="200"/>
        <w:jc w:val="left"/>
        <w:textAlignment w:val="top"/>
        <w:rPr>
          <w:rFonts w:ascii="仿宋" w:hAnsi="仿宋" w:eastAsia="仿宋" w:cs="宋体"/>
          <w:sz w:val="32"/>
          <w:szCs w:val="32"/>
        </w:rPr>
      </w:pPr>
      <w:r>
        <w:rPr>
          <w:rFonts w:hint="eastAsia" w:ascii="仿宋" w:hAnsi="仿宋" w:eastAsia="仿宋"/>
          <w:color w:val="333333"/>
          <w:sz w:val="32"/>
          <w:szCs w:val="32"/>
        </w:rPr>
        <w:t>、是在法定职权范围内作出审计决定或向有关主管部门提出处罚的意见。</w:t>
      </w:r>
    </w:p>
    <w:p>
      <w:pPr>
        <w:numPr>
          <w:ilvl w:val="0"/>
          <w:numId w:val="2"/>
        </w:numPr>
        <w:rPr>
          <w:rFonts w:ascii="仿宋" w:hAnsi="仿宋" w:eastAsia="仿宋"/>
          <w:b/>
          <w:bCs/>
          <w:sz w:val="32"/>
          <w:szCs w:val="32"/>
        </w:rPr>
      </w:pPr>
      <w:r>
        <w:rPr>
          <w:rFonts w:hint="eastAsia" w:ascii="仿宋" w:hAnsi="仿宋" w:eastAsia="仿宋"/>
          <w:b/>
          <w:bCs/>
          <w:sz w:val="32"/>
          <w:szCs w:val="32"/>
        </w:rPr>
        <w:t>人员编制基本情况：</w:t>
      </w:r>
    </w:p>
    <w:p>
      <w:pPr>
        <w:ind w:firstLine="960" w:firstLineChars="300"/>
        <w:rPr>
          <w:rFonts w:ascii="仿宋" w:hAnsi="仿宋" w:eastAsia="仿宋" w:cs="宋体"/>
          <w:color w:val="000000"/>
          <w:kern w:val="0"/>
          <w:sz w:val="32"/>
          <w:szCs w:val="32"/>
        </w:rPr>
      </w:pPr>
      <w:r>
        <w:rPr>
          <w:rFonts w:hint="eastAsia" w:ascii="仿宋" w:hAnsi="仿宋" w:eastAsia="仿宋" w:cs="宋体"/>
          <w:sz w:val="32"/>
          <w:szCs w:val="32"/>
        </w:rPr>
        <w:t>截至20</w:t>
      </w:r>
      <w:r>
        <w:rPr>
          <w:rFonts w:hint="eastAsia" w:ascii="仿宋" w:hAnsi="仿宋" w:eastAsia="仿宋" w:cs="宋体"/>
          <w:sz w:val="32"/>
          <w:szCs w:val="32"/>
          <w:lang w:val="en-US" w:eastAsia="zh-CN"/>
        </w:rPr>
        <w:t>19</w:t>
      </w:r>
      <w:r>
        <w:rPr>
          <w:rFonts w:hint="eastAsia" w:ascii="仿宋" w:hAnsi="仿宋" w:eastAsia="仿宋" w:cs="宋体"/>
          <w:sz w:val="32"/>
          <w:szCs w:val="32"/>
        </w:rPr>
        <w:t>年12月末，共有编制人数47</w:t>
      </w:r>
      <w:r>
        <w:rPr>
          <w:rFonts w:hint="eastAsia" w:ascii="仿宋" w:hAnsi="仿宋" w:eastAsia="仿宋" w:cs="宋体"/>
          <w:color w:val="000000"/>
          <w:kern w:val="0"/>
          <w:sz w:val="32"/>
          <w:szCs w:val="32"/>
        </w:rPr>
        <w:t>人，其中：行政编制30人，事业编制16人，工勤人员1人。实有人数32人，其中：在职人员32人，退休人员15人.</w:t>
      </w:r>
    </w:p>
    <w:p>
      <w:pPr>
        <w:widowControl/>
        <w:spacing w:line="600" w:lineRule="atLeast"/>
        <w:ind w:firstLine="640"/>
        <w:jc w:val="left"/>
        <w:textAlignment w:val="top"/>
        <w:rPr>
          <w:rFonts w:ascii="仿宋" w:hAnsi="仿宋" w:eastAsia="仿宋" w:cs="楷体_GB2312"/>
          <w:b/>
          <w:sz w:val="32"/>
          <w:szCs w:val="32"/>
        </w:rPr>
      </w:pPr>
      <w:r>
        <w:rPr>
          <w:rFonts w:hint="eastAsia" w:ascii="仿宋" w:hAnsi="仿宋" w:eastAsia="仿宋" w:cs="楷体_GB2312"/>
          <w:b/>
          <w:sz w:val="32"/>
          <w:szCs w:val="32"/>
        </w:rPr>
        <w:t>四、预算年度主要工作任务</w:t>
      </w:r>
    </w:p>
    <w:p>
      <w:pPr>
        <w:ind w:firstLine="640" w:firstLineChars="200"/>
        <w:rPr>
          <w:rFonts w:ascii="仿宋" w:hAnsi="仿宋" w:eastAsia="仿宋" w:cs="宋体"/>
          <w:sz w:val="32"/>
          <w:szCs w:val="32"/>
        </w:rPr>
      </w:pPr>
      <w:r>
        <w:rPr>
          <w:rFonts w:hint="eastAsia" w:ascii="仿宋" w:hAnsi="仿宋" w:eastAsia="仿宋" w:cs="宋体"/>
          <w:sz w:val="32"/>
          <w:szCs w:val="32"/>
        </w:rPr>
        <w:t>按照上级审计机关的安排和要求，对重大专项资金进行审计监督，并按照上级安排承担异地交叉审计任务，围绕区委、区政府工作部署，对全区财政、财务收支情况进行审计监督。</w:t>
      </w:r>
    </w:p>
    <w:p>
      <w:pPr>
        <w:widowControl/>
        <w:spacing w:line="600" w:lineRule="atLeast"/>
        <w:ind w:firstLine="640"/>
        <w:jc w:val="left"/>
        <w:textAlignment w:val="top"/>
        <w:rPr>
          <w:rFonts w:ascii="仿宋" w:hAnsi="仿宋" w:eastAsia="仿宋" w:cs="楷体_GB2312"/>
          <w:b/>
          <w:sz w:val="32"/>
          <w:szCs w:val="32"/>
        </w:rPr>
      </w:pPr>
      <w:r>
        <w:rPr>
          <w:rFonts w:hint="eastAsia" w:ascii="仿宋" w:hAnsi="仿宋" w:eastAsia="仿宋" w:cs="楷体_GB2312"/>
          <w:b/>
          <w:sz w:val="32"/>
          <w:szCs w:val="32"/>
        </w:rPr>
        <w:t>五、部门预算单位构成</w:t>
      </w:r>
    </w:p>
    <w:p>
      <w:p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lang w:eastAsia="zh-CN"/>
        </w:rPr>
        <w:t>信阳市浉河区审计局</w:t>
      </w:r>
      <w:r>
        <w:rPr>
          <w:rFonts w:hint="eastAsia" w:ascii="仿宋" w:hAnsi="仿宋" w:eastAsia="仿宋" w:cs="宋体"/>
          <w:sz w:val="32"/>
          <w:szCs w:val="32"/>
        </w:rPr>
        <w:t>没有二级预算单位</w:t>
      </w:r>
      <w:r>
        <w:rPr>
          <w:rFonts w:hint="eastAsia" w:ascii="仿宋" w:hAnsi="仿宋" w:eastAsia="仿宋" w:cs="宋体"/>
          <w:sz w:val="32"/>
          <w:szCs w:val="32"/>
          <w:lang w:eastAsia="zh-CN"/>
        </w:rPr>
        <w:t>，</w:t>
      </w:r>
      <w:r>
        <w:rPr>
          <w:rFonts w:ascii="仿宋" w:hAnsi="仿宋" w:eastAsia="仿宋" w:cs="??_GB2312"/>
          <w:sz w:val="32"/>
          <w:szCs w:val="32"/>
        </w:rPr>
        <w:t>20</w:t>
      </w:r>
      <w:r>
        <w:rPr>
          <w:rFonts w:hint="eastAsia" w:ascii="仿宋" w:hAnsi="仿宋" w:eastAsia="仿宋" w:cs="??_GB2312"/>
          <w:sz w:val="32"/>
          <w:szCs w:val="32"/>
          <w:lang w:val="en-US" w:eastAsia="zh-CN"/>
        </w:rPr>
        <w:t>20</w:t>
      </w:r>
      <w:r>
        <w:rPr>
          <w:rFonts w:hint="eastAsia" w:ascii="仿宋" w:hAnsi="仿宋" w:eastAsia="仿宋" w:cs="宋体"/>
          <w:sz w:val="32"/>
          <w:szCs w:val="32"/>
        </w:rPr>
        <w:t>年度部门预算编制范围的单位是</w:t>
      </w:r>
      <w:r>
        <w:rPr>
          <w:rFonts w:hint="eastAsia" w:ascii="仿宋" w:hAnsi="仿宋" w:eastAsia="仿宋" w:cs="宋体"/>
          <w:sz w:val="32"/>
          <w:szCs w:val="32"/>
          <w:lang w:eastAsia="zh-CN"/>
        </w:rPr>
        <w:t>信阳市浉河区审计局本级</w:t>
      </w:r>
      <w:r>
        <w:rPr>
          <w:rFonts w:hint="eastAsia" w:ascii="仿宋" w:hAnsi="仿宋" w:eastAsia="仿宋" w:cs="宋体"/>
          <w:sz w:val="32"/>
          <w:szCs w:val="32"/>
        </w:rPr>
        <w:t>。</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both"/>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hint="eastAsia" w:ascii="仿宋" w:hAnsi="仿宋" w:eastAsia="仿宋" w:cs="隶书"/>
          <w:b/>
          <w:sz w:val="48"/>
          <w:szCs w:val="48"/>
        </w:rPr>
      </w:pPr>
      <w:r>
        <w:rPr>
          <w:rFonts w:hint="eastAsia" w:ascii="仿宋" w:hAnsi="仿宋" w:eastAsia="仿宋" w:cs="隶书"/>
          <w:b/>
          <w:sz w:val="48"/>
          <w:szCs w:val="48"/>
          <w:lang w:eastAsia="zh-CN"/>
        </w:rPr>
        <w:t>信阳市浉河区审计局</w:t>
      </w:r>
      <w:r>
        <w:rPr>
          <w:rFonts w:ascii="仿宋" w:hAnsi="仿宋" w:eastAsia="仿宋" w:cs="隶书"/>
          <w:b/>
          <w:sz w:val="48"/>
          <w:szCs w:val="48"/>
        </w:rPr>
        <w:t>20</w:t>
      </w:r>
      <w:r>
        <w:rPr>
          <w:rFonts w:hint="eastAsia" w:ascii="仿宋" w:hAnsi="仿宋" w:eastAsia="仿宋" w:cs="隶书"/>
          <w:b/>
          <w:sz w:val="48"/>
          <w:szCs w:val="48"/>
          <w:lang w:val="en-US" w:eastAsia="zh-CN"/>
        </w:rPr>
        <w:t>20</w:t>
      </w:r>
      <w:r>
        <w:rPr>
          <w:rFonts w:hint="eastAsia" w:ascii="仿宋" w:hAnsi="仿宋" w:eastAsia="仿宋" w:cs="隶书"/>
          <w:b/>
          <w:sz w:val="48"/>
          <w:szCs w:val="48"/>
        </w:rPr>
        <w:t>年度部门预算表</w:t>
      </w:r>
    </w:p>
    <w:p>
      <w:pPr>
        <w:jc w:val="center"/>
        <w:rPr>
          <w:rFonts w:hint="eastAsia" w:ascii="仿宋" w:hAnsi="仿宋" w:eastAsia="仿宋" w:cs="隶书"/>
          <w:b/>
          <w:sz w:val="48"/>
          <w:szCs w:val="48"/>
          <w:lang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lang w:eastAsia="zh-CN"/>
        </w:rPr>
        <w:t>（</w:t>
      </w:r>
      <w:r>
        <w:rPr>
          <w:rFonts w:hint="eastAsia" w:ascii="仿宋" w:hAnsi="仿宋" w:eastAsia="仿宋" w:cs="隶书"/>
          <w:b/>
          <w:sz w:val="48"/>
          <w:szCs w:val="48"/>
          <w:lang w:val="en-US" w:eastAsia="zh-CN"/>
        </w:rPr>
        <w:t>见附表1-8</w:t>
      </w:r>
      <w:r>
        <w:rPr>
          <w:rFonts w:hint="eastAsia" w:ascii="仿宋" w:hAnsi="仿宋" w:eastAsia="仿宋" w:cs="隶书"/>
          <w:b/>
          <w:sz w:val="48"/>
          <w:szCs w:val="48"/>
          <w:lang w:eastAsia="zh-CN"/>
        </w:rPr>
        <w:t>）</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信阳市浉河区审计局</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w:t>
      </w:r>
      <w:r>
        <w:rPr>
          <w:rFonts w:hint="eastAsia" w:ascii="仿宋" w:hAnsi="仿宋" w:eastAsia="仿宋" w:cs="隶书"/>
          <w:sz w:val="48"/>
          <w:szCs w:val="48"/>
          <w:lang w:val="en-US" w:eastAsia="zh-CN"/>
        </w:rPr>
        <w:t>20</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1" w:firstLineChars="100"/>
        <w:outlineLvl w:val="1"/>
        <w:rPr>
          <w:rFonts w:ascii="仿宋" w:hAnsi="仿宋" w:eastAsia="仿宋"/>
          <w:b/>
          <w:bCs/>
          <w:sz w:val="32"/>
          <w:szCs w:val="32"/>
        </w:rPr>
      </w:pPr>
      <w:r>
        <w:rPr>
          <w:rFonts w:hint="eastAsia" w:ascii="仿宋" w:hAnsi="仿宋" w:eastAsia="仿宋"/>
          <w:b/>
          <w:bCs/>
          <w:sz w:val="32"/>
          <w:szCs w:val="32"/>
        </w:rPr>
        <w:t>一、收入支出预算总体情况说明</w:t>
      </w:r>
    </w:p>
    <w:p>
      <w:pPr>
        <w:adjustRightInd w:val="0"/>
        <w:snapToGrid w:val="0"/>
        <w:spacing w:line="360" w:lineRule="auto"/>
        <w:ind w:firstLine="640" w:firstLineChars="200"/>
        <w:rPr>
          <w:rFonts w:hint="default" w:ascii="仿宋" w:hAnsi="仿宋" w:eastAsia="仿宋" w:cs="Courier New"/>
          <w:sz w:val="32"/>
          <w:szCs w:val="32"/>
          <w:lang w:val="en-US"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年度收入总计415.0万元</w:t>
      </w:r>
      <w:r>
        <w:rPr>
          <w:rFonts w:hint="eastAsia" w:ascii="仿宋" w:hAnsi="仿宋" w:eastAsia="仿宋" w:cs="宋体"/>
          <w:sz w:val="32"/>
          <w:szCs w:val="32"/>
          <w:lang w:eastAsia="zh-CN"/>
        </w:rPr>
        <w:t>、</w:t>
      </w:r>
      <w:r>
        <w:rPr>
          <w:rFonts w:hint="eastAsia" w:ascii="仿宋" w:hAnsi="仿宋" w:eastAsia="仿宋" w:cs="宋体"/>
          <w:sz w:val="32"/>
          <w:szCs w:val="32"/>
        </w:rPr>
        <w:t>支出总计415.0万元，</w:t>
      </w:r>
      <w:r>
        <w:rPr>
          <w:rFonts w:hint="eastAsia" w:ascii="仿宋" w:hAnsi="仿宋" w:eastAsia="仿宋"/>
          <w:color w:val="000000" w:themeColor="text1"/>
          <w:sz w:val="32"/>
          <w:szCs w:val="32"/>
        </w:rPr>
        <w:t>与20</w:t>
      </w:r>
      <w:r>
        <w:rPr>
          <w:rFonts w:hint="eastAsia" w:ascii="仿宋" w:hAnsi="仿宋" w:eastAsia="仿宋"/>
          <w:color w:val="000000" w:themeColor="text1"/>
          <w:sz w:val="32"/>
          <w:szCs w:val="32"/>
          <w:lang w:val="en-US" w:eastAsia="zh-CN"/>
        </w:rPr>
        <w:t>19</w:t>
      </w:r>
      <w:r>
        <w:rPr>
          <w:rFonts w:hint="eastAsia" w:ascii="仿宋" w:hAnsi="仿宋" w:eastAsia="仿宋"/>
          <w:color w:val="000000" w:themeColor="text1"/>
          <w:sz w:val="32"/>
          <w:szCs w:val="32"/>
        </w:rPr>
        <w:t>年相比，收入</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lang w:val="en-US" w:eastAsia="zh-CN"/>
        </w:rPr>
        <w:t>支出各</w:t>
      </w:r>
      <w:r>
        <w:rPr>
          <w:rFonts w:hint="eastAsia" w:ascii="仿宋" w:hAnsi="仿宋" w:eastAsia="仿宋"/>
          <w:color w:val="000000" w:themeColor="text1"/>
          <w:sz w:val="32"/>
          <w:szCs w:val="32"/>
        </w:rPr>
        <w:t>增加17.5万元，</w:t>
      </w:r>
      <w:r>
        <w:rPr>
          <w:rFonts w:hint="eastAsia" w:ascii="仿宋" w:hAnsi="仿宋" w:eastAsia="仿宋"/>
          <w:color w:val="000000" w:themeColor="text1"/>
          <w:sz w:val="32"/>
          <w:szCs w:val="32"/>
          <w:lang w:val="en-US" w:eastAsia="zh-CN"/>
        </w:rPr>
        <w:t>增长</w:t>
      </w:r>
      <w:r>
        <w:rPr>
          <w:rFonts w:hint="eastAsia" w:ascii="仿宋" w:hAnsi="仿宋" w:eastAsia="仿宋"/>
          <w:color w:val="000000" w:themeColor="text1"/>
          <w:sz w:val="32"/>
          <w:szCs w:val="32"/>
        </w:rPr>
        <w:t>4.40%</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lang w:val="en-US" w:eastAsia="zh-CN"/>
        </w:rPr>
        <w:t>主要是由于项目收入、支出增加。</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二、收入预算情况说明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年度收入合计415.0万元，其中：财政拨款收入415.0万元，占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三、支出预算情况说明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年度支出合计415.0万元，其中：基本支出355.0 万元，占85.54</w:t>
      </w:r>
      <w:r>
        <w:rPr>
          <w:rFonts w:hint="eastAsia" w:ascii="仿宋" w:hAnsi="仿宋" w:eastAsia="仿宋" w:cs="Courier New"/>
          <w:sz w:val="32"/>
          <w:szCs w:val="32"/>
        </w:rPr>
        <w:t>%</w:t>
      </w:r>
      <w:r>
        <w:rPr>
          <w:rFonts w:hint="eastAsia" w:ascii="仿宋" w:hAnsi="仿宋" w:eastAsia="仿宋" w:cs="宋体"/>
          <w:sz w:val="32"/>
          <w:szCs w:val="32"/>
        </w:rPr>
        <w:t>；项目支出60.0万元，占14.46</w:t>
      </w:r>
      <w:r>
        <w:rPr>
          <w:rFonts w:ascii="仿宋" w:hAnsi="仿宋" w:eastAsia="仿宋" w:cs="Courier New"/>
          <w:sz w:val="32"/>
          <w:szCs w:val="32"/>
        </w:rPr>
        <w:t>%</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四、财政拨款收入支出预算总体情况说明</w:t>
      </w:r>
    </w:p>
    <w:p>
      <w:pPr>
        <w:adjustRightInd w:val="0"/>
        <w:snapToGrid w:val="0"/>
        <w:spacing w:line="360" w:lineRule="auto"/>
        <w:ind w:firstLine="640" w:firstLineChars="200"/>
        <w:rPr>
          <w:rFonts w:hint="default" w:ascii="仿宋" w:hAnsi="仿宋" w:eastAsia="仿宋" w:cs="Courier New"/>
          <w:sz w:val="32"/>
          <w:szCs w:val="32"/>
          <w:lang w:val="en-US"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w:t>
      </w:r>
      <w:r>
        <w:rPr>
          <w:rFonts w:hint="eastAsia" w:ascii="仿宋" w:hAnsi="仿宋" w:eastAsia="仿宋" w:cs="宋体"/>
          <w:sz w:val="32"/>
          <w:szCs w:val="32"/>
          <w:lang w:val="en-US" w:eastAsia="zh-CN"/>
        </w:rPr>
        <w:t>财政拨款</w:t>
      </w:r>
      <w:r>
        <w:rPr>
          <w:rFonts w:hint="eastAsia" w:ascii="仿宋" w:hAnsi="仿宋" w:eastAsia="仿宋" w:cs="宋体"/>
          <w:sz w:val="32"/>
          <w:szCs w:val="32"/>
        </w:rPr>
        <w:t>收入总计415.0万元</w:t>
      </w:r>
      <w:r>
        <w:rPr>
          <w:rFonts w:hint="eastAsia" w:ascii="仿宋" w:hAnsi="仿宋" w:eastAsia="仿宋" w:cs="宋体"/>
          <w:sz w:val="32"/>
          <w:szCs w:val="32"/>
          <w:lang w:eastAsia="zh-CN"/>
        </w:rPr>
        <w:t>、</w:t>
      </w:r>
      <w:r>
        <w:rPr>
          <w:rFonts w:hint="eastAsia" w:ascii="仿宋" w:hAnsi="仿宋" w:eastAsia="仿宋" w:cs="宋体"/>
          <w:sz w:val="32"/>
          <w:szCs w:val="32"/>
        </w:rPr>
        <w:t>支出总计415.0万元，</w:t>
      </w:r>
      <w:r>
        <w:rPr>
          <w:rFonts w:hint="eastAsia" w:ascii="仿宋" w:hAnsi="仿宋" w:eastAsia="仿宋"/>
          <w:color w:val="000000" w:themeColor="text1"/>
          <w:sz w:val="32"/>
          <w:szCs w:val="32"/>
        </w:rPr>
        <w:t>与20</w:t>
      </w:r>
      <w:r>
        <w:rPr>
          <w:rFonts w:hint="eastAsia" w:ascii="仿宋" w:hAnsi="仿宋" w:eastAsia="仿宋"/>
          <w:color w:val="000000" w:themeColor="text1"/>
          <w:sz w:val="32"/>
          <w:szCs w:val="32"/>
          <w:lang w:val="en-US" w:eastAsia="zh-CN"/>
        </w:rPr>
        <w:t>19</w:t>
      </w:r>
      <w:r>
        <w:rPr>
          <w:rFonts w:hint="eastAsia" w:ascii="仿宋" w:hAnsi="仿宋" w:eastAsia="仿宋"/>
          <w:color w:val="000000" w:themeColor="text1"/>
          <w:sz w:val="32"/>
          <w:szCs w:val="32"/>
        </w:rPr>
        <w:t>年相比，收入</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lang w:val="en-US" w:eastAsia="zh-CN"/>
        </w:rPr>
        <w:t>支出各</w:t>
      </w:r>
      <w:r>
        <w:rPr>
          <w:rFonts w:hint="eastAsia" w:ascii="仿宋" w:hAnsi="仿宋" w:eastAsia="仿宋"/>
          <w:color w:val="000000" w:themeColor="text1"/>
          <w:sz w:val="32"/>
          <w:szCs w:val="32"/>
        </w:rPr>
        <w:t>增加17.5万元，</w:t>
      </w:r>
      <w:r>
        <w:rPr>
          <w:rFonts w:hint="eastAsia" w:ascii="仿宋" w:hAnsi="仿宋" w:eastAsia="仿宋"/>
          <w:color w:val="000000" w:themeColor="text1"/>
          <w:sz w:val="32"/>
          <w:szCs w:val="32"/>
          <w:lang w:val="en-US" w:eastAsia="zh-CN"/>
        </w:rPr>
        <w:t>增长</w:t>
      </w:r>
      <w:r>
        <w:rPr>
          <w:rFonts w:hint="eastAsia" w:ascii="仿宋" w:hAnsi="仿宋" w:eastAsia="仿宋"/>
          <w:color w:val="000000" w:themeColor="text1"/>
          <w:sz w:val="32"/>
          <w:szCs w:val="32"/>
        </w:rPr>
        <w:t>4.40%</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lang w:val="en-US" w:eastAsia="zh-CN"/>
        </w:rPr>
        <w:t>主要是由于项目收入、支出增加。</w:t>
      </w:r>
    </w:p>
    <w:p>
      <w:pPr>
        <w:numPr>
          <w:ilvl w:val="0"/>
          <w:numId w:val="0"/>
        </w:numPr>
        <w:adjustRightInd w:val="0"/>
        <w:snapToGrid w:val="0"/>
        <w:spacing w:line="360" w:lineRule="auto"/>
        <w:ind w:left="840" w:leftChars="0"/>
        <w:outlineLvl w:val="1"/>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五、</w:t>
      </w:r>
      <w:r>
        <w:rPr>
          <w:rFonts w:hint="default" w:ascii="仿宋" w:hAnsi="仿宋" w:eastAsia="仿宋"/>
          <w:b/>
          <w:bCs/>
          <w:sz w:val="32"/>
          <w:szCs w:val="32"/>
          <w:lang w:val="en-US" w:eastAsia="zh-CN"/>
        </w:rPr>
        <w:t>一般公共预算支出预算情况说明</w:t>
      </w:r>
    </w:p>
    <w:p>
      <w:pPr>
        <w:adjustRightInd w:val="0"/>
        <w:snapToGrid w:val="0"/>
        <w:spacing w:line="360" w:lineRule="auto"/>
        <w:ind w:firstLine="640" w:firstLineChars="200"/>
        <w:rPr>
          <w:rFonts w:hint="eastAsia" w:ascii="仿宋" w:hAnsi="仿宋" w:eastAsia="仿宋" w:cs="宋体"/>
          <w:sz w:val="32"/>
          <w:szCs w:val="32"/>
        </w:rPr>
      </w:pPr>
      <w:r>
        <w:rPr>
          <w:rFonts w:hint="default" w:ascii="仿宋" w:hAnsi="仿宋" w:eastAsia="仿宋" w:cs="Courier New"/>
          <w:sz w:val="32"/>
          <w:szCs w:val="32"/>
          <w:lang w:val="en-US" w:eastAsia="zh-CN"/>
        </w:rPr>
        <w:t>2020年一般公共预算支出</w:t>
      </w:r>
      <w:r>
        <w:rPr>
          <w:rFonts w:hint="eastAsia" w:ascii="仿宋" w:hAnsi="仿宋" w:eastAsia="仿宋" w:cs="宋体"/>
          <w:sz w:val="32"/>
          <w:szCs w:val="32"/>
        </w:rPr>
        <w:t>415.0</w:t>
      </w:r>
      <w:r>
        <w:rPr>
          <w:rFonts w:hint="default" w:ascii="仿宋" w:hAnsi="仿宋" w:eastAsia="仿宋" w:cs="Courier New"/>
          <w:sz w:val="32"/>
          <w:szCs w:val="32"/>
          <w:lang w:val="en-US" w:eastAsia="zh-CN"/>
        </w:rPr>
        <w:t>万元，与2019年相比，</w:t>
      </w:r>
      <w:r>
        <w:rPr>
          <w:rFonts w:hint="eastAsia" w:ascii="仿宋" w:hAnsi="仿宋" w:eastAsia="仿宋"/>
          <w:color w:val="000000" w:themeColor="text1"/>
          <w:sz w:val="32"/>
          <w:szCs w:val="32"/>
        </w:rPr>
        <w:t>增加17.5万元，</w:t>
      </w:r>
      <w:r>
        <w:rPr>
          <w:rFonts w:hint="eastAsia" w:ascii="仿宋" w:hAnsi="仿宋" w:eastAsia="仿宋"/>
          <w:color w:val="000000" w:themeColor="text1"/>
          <w:sz w:val="32"/>
          <w:szCs w:val="32"/>
          <w:lang w:val="en-US" w:eastAsia="zh-CN"/>
        </w:rPr>
        <w:t>增长</w:t>
      </w:r>
      <w:r>
        <w:rPr>
          <w:rFonts w:hint="eastAsia" w:ascii="仿宋" w:hAnsi="仿宋" w:eastAsia="仿宋"/>
          <w:color w:val="000000" w:themeColor="text1"/>
          <w:sz w:val="32"/>
          <w:szCs w:val="32"/>
        </w:rPr>
        <w:t>4.40%</w:t>
      </w:r>
      <w:r>
        <w:rPr>
          <w:rFonts w:hint="eastAsia" w:ascii="仿宋" w:hAnsi="仿宋" w:eastAsia="仿宋"/>
          <w:color w:val="000000" w:themeColor="text1"/>
          <w:sz w:val="32"/>
          <w:szCs w:val="32"/>
          <w:lang w:eastAsia="zh-CN"/>
        </w:rPr>
        <w:t>。</w:t>
      </w:r>
      <w:r>
        <w:rPr>
          <w:rFonts w:hint="eastAsia" w:ascii="仿宋" w:hAnsi="仿宋" w:eastAsia="仿宋" w:cs="宋体"/>
          <w:sz w:val="32"/>
          <w:szCs w:val="32"/>
        </w:rPr>
        <w:t>其中：基本支出355.0 万元，占85.54</w:t>
      </w:r>
      <w:r>
        <w:rPr>
          <w:rFonts w:hint="eastAsia" w:ascii="仿宋" w:hAnsi="仿宋" w:eastAsia="仿宋" w:cs="Courier New"/>
          <w:sz w:val="32"/>
          <w:szCs w:val="32"/>
        </w:rPr>
        <w:t>%</w:t>
      </w:r>
      <w:r>
        <w:rPr>
          <w:rFonts w:hint="eastAsia" w:ascii="仿宋" w:hAnsi="仿宋" w:eastAsia="仿宋" w:cs="宋体"/>
          <w:sz w:val="32"/>
          <w:szCs w:val="32"/>
        </w:rPr>
        <w:t>；项目支出60.0万元，占14.46</w:t>
      </w:r>
      <w:r>
        <w:rPr>
          <w:rFonts w:ascii="仿宋" w:hAnsi="仿宋" w:eastAsia="仿宋" w:cs="Courier New"/>
          <w:sz w:val="32"/>
          <w:szCs w:val="32"/>
        </w:rPr>
        <w:t>%</w:t>
      </w:r>
      <w:r>
        <w:rPr>
          <w:rFonts w:hint="eastAsia" w:ascii="仿宋" w:hAnsi="仿宋" w:eastAsia="仿宋" w:cs="宋体"/>
          <w:sz w:val="32"/>
          <w:szCs w:val="32"/>
        </w:rPr>
        <w:t>。</w:t>
      </w:r>
    </w:p>
    <w:p>
      <w:pPr>
        <w:numPr>
          <w:ilvl w:val="0"/>
          <w:numId w:val="0"/>
        </w:numPr>
        <w:adjustRightInd w:val="0"/>
        <w:snapToGrid w:val="0"/>
        <w:spacing w:line="360" w:lineRule="auto"/>
        <w:ind w:left="840" w:leftChars="0"/>
        <w:outlineLvl w:val="1"/>
        <w:rPr>
          <w:rFonts w:hint="default" w:ascii="仿宋" w:hAnsi="仿宋" w:eastAsia="仿宋"/>
          <w:b/>
          <w:bCs/>
          <w:sz w:val="32"/>
          <w:szCs w:val="32"/>
          <w:lang w:val="en-US" w:eastAsia="zh-CN"/>
        </w:rPr>
      </w:pPr>
      <w:r>
        <w:rPr>
          <w:rFonts w:hint="default" w:ascii="仿宋" w:hAnsi="仿宋" w:eastAsia="仿宋"/>
          <w:b/>
          <w:bCs/>
          <w:sz w:val="32"/>
          <w:szCs w:val="32"/>
          <w:lang w:val="en-US" w:eastAsia="zh-CN"/>
        </w:rPr>
        <w:t>六、一般公共预算基本支出预算情况说明</w:t>
      </w:r>
    </w:p>
    <w:p>
      <w:pPr>
        <w:adjustRightInd w:val="0"/>
        <w:snapToGrid w:val="0"/>
        <w:spacing w:line="360" w:lineRule="auto"/>
        <w:ind w:firstLine="640" w:firstLineChars="200"/>
        <w:rPr>
          <w:rFonts w:hint="eastAsia" w:ascii="仿宋" w:hAnsi="仿宋" w:eastAsia="仿宋" w:cs="宋体"/>
          <w:sz w:val="32"/>
          <w:szCs w:val="32"/>
        </w:rPr>
      </w:pPr>
      <w:r>
        <w:rPr>
          <w:rFonts w:hint="eastAsia" w:ascii="仿宋" w:hAnsi="仿宋" w:eastAsia="仿宋" w:cs="Courier New"/>
          <w:sz w:val="32"/>
          <w:szCs w:val="32"/>
        </w:rPr>
        <w:t>2020年一般公共预算基本支出355.0万元，</w:t>
      </w:r>
      <w:r>
        <w:rPr>
          <w:rFonts w:hint="eastAsia" w:ascii="仿宋" w:hAnsi="仿宋" w:eastAsia="仿宋" w:cs="宋体"/>
          <w:sz w:val="32"/>
          <w:szCs w:val="32"/>
        </w:rPr>
        <w:t>主要用于以下方面：</w:t>
      </w:r>
      <w:r>
        <w:rPr>
          <w:rFonts w:hint="eastAsia" w:ascii="仿宋" w:hAnsi="仿宋" w:eastAsia="仿宋" w:cs="宋体"/>
          <w:b/>
          <w:bCs w:val="0"/>
          <w:spacing w:val="-1"/>
          <w:kern w:val="0"/>
          <w:sz w:val="32"/>
          <w:szCs w:val="32"/>
        </w:rPr>
        <w:t>人员经费</w:t>
      </w:r>
      <w:r>
        <w:rPr>
          <w:rFonts w:hint="eastAsia" w:ascii="仿宋" w:hAnsi="仿宋" w:eastAsia="仿宋" w:cs="宋体"/>
          <w:bCs/>
          <w:spacing w:val="-1"/>
          <w:kern w:val="0"/>
          <w:sz w:val="32"/>
          <w:szCs w:val="32"/>
        </w:rPr>
        <w:t>333.5万元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主要包括：基本工资、津贴补贴、伙食补助费、绩效工资</w:t>
      </w:r>
      <w:r>
        <w:rPr>
          <w:rFonts w:hint="eastAsia" w:ascii="仿宋" w:hAnsi="仿宋" w:eastAsia="仿宋" w:cs="宋体"/>
          <w:sz w:val="32"/>
          <w:szCs w:val="32"/>
          <w:lang w:val="en-US" w:eastAsia="zh-CN"/>
        </w:rPr>
        <w:t>等</w:t>
      </w:r>
      <w:r>
        <w:rPr>
          <w:rFonts w:hint="eastAsia" w:ascii="仿宋" w:hAnsi="仿宋" w:eastAsia="仿宋" w:cs="宋体"/>
          <w:sz w:val="32"/>
          <w:szCs w:val="32"/>
        </w:rPr>
        <w:t>；</w:t>
      </w:r>
      <w:r>
        <w:rPr>
          <w:rFonts w:hint="eastAsia" w:ascii="仿宋" w:hAnsi="仿宋" w:eastAsia="仿宋" w:cs="宋体"/>
          <w:b/>
          <w:spacing w:val="-1"/>
          <w:kern w:val="0"/>
          <w:sz w:val="32"/>
          <w:szCs w:val="32"/>
        </w:rPr>
        <w:t>公用经费21.5</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印刷费、水电费、邮电费、差旅费等</w:t>
      </w:r>
      <w:r>
        <w:rPr>
          <w:rFonts w:hint="eastAsia" w:ascii="仿宋" w:hAnsi="仿宋" w:eastAsia="仿宋" w:cs="宋体"/>
          <w:sz w:val="32"/>
          <w:szCs w:val="32"/>
        </w:rPr>
        <w:t>。</w:t>
      </w:r>
    </w:p>
    <w:p>
      <w:pPr>
        <w:numPr>
          <w:ilvl w:val="0"/>
          <w:numId w:val="0"/>
        </w:numPr>
        <w:adjustRightInd w:val="0"/>
        <w:snapToGrid w:val="0"/>
        <w:spacing w:line="360" w:lineRule="auto"/>
        <w:ind w:left="840" w:leftChars="0"/>
        <w:outlineLvl w:val="1"/>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七、关于“三公”经费支出预算情况说明</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lang w:val="en-US" w:eastAsia="zh-CN"/>
        </w:rPr>
        <w:t>1</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lang w:val="en-US" w:eastAsia="zh-CN"/>
        </w:rPr>
        <w:t>1</w:t>
      </w:r>
      <w:r>
        <w:rPr>
          <w:rFonts w:hint="eastAsia" w:ascii="仿宋" w:hAnsi="仿宋" w:eastAsia="仿宋" w:cs="宋体"/>
          <w:sz w:val="32"/>
          <w:szCs w:val="32"/>
        </w:rPr>
        <w:t>万元。</w:t>
      </w:r>
      <w:r>
        <w:rPr>
          <w:rFonts w:hint="eastAsia" w:ascii="仿宋" w:hAnsi="仿宋" w:eastAsia="仿宋" w:cs="Courier New"/>
          <w:b/>
          <w:bCs/>
          <w:sz w:val="32"/>
          <w:szCs w:val="32"/>
        </w:rPr>
        <w:t>按逐年递减比去年减少</w:t>
      </w:r>
      <w:r>
        <w:rPr>
          <w:rFonts w:hint="eastAsia" w:ascii="仿宋" w:hAnsi="仿宋" w:eastAsia="仿宋" w:cs="Courier New"/>
          <w:b/>
          <w:bCs/>
          <w:sz w:val="32"/>
          <w:szCs w:val="32"/>
          <w:lang w:val="en-US" w:eastAsia="zh-CN"/>
        </w:rPr>
        <w:t>5</w:t>
      </w:r>
      <w:r>
        <w:rPr>
          <w:rFonts w:hint="eastAsia" w:ascii="仿宋" w:hAnsi="仿宋" w:eastAsia="仿宋" w:cs="Courier New"/>
          <w:b/>
          <w:bCs/>
          <w:sz w:val="32"/>
          <w:szCs w:val="32"/>
        </w:rPr>
        <w:t>0%</w:t>
      </w:r>
      <w:r>
        <w:rPr>
          <w:rFonts w:hint="eastAsia" w:ascii="仿宋" w:hAnsi="仿宋" w:eastAsia="仿宋" w:cs="Courier New"/>
          <w:sz w:val="32"/>
          <w:szCs w:val="32"/>
        </w:rPr>
        <w:t>。</w:t>
      </w:r>
      <w:r>
        <w:rPr>
          <w:rFonts w:hint="eastAsia" w:ascii="仿宋" w:hAnsi="仿宋" w:eastAsia="仿宋" w:cs="宋体"/>
          <w:sz w:val="32"/>
          <w:szCs w:val="32"/>
        </w:rPr>
        <w:t>减少的主要原因是，现在公务接待的标准是同城不吃饭，禁止使用高档烟酒，禁止出入高档酒店进行招待，大大减少了公务接待费用。</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占0%</w:t>
      </w:r>
      <w:r>
        <w:rPr>
          <w:rFonts w:hint="eastAsia" w:ascii="仿宋" w:hAnsi="仿宋" w:eastAsia="仿宋" w:cs="宋体"/>
          <w:sz w:val="32"/>
          <w:szCs w:val="32"/>
        </w:rPr>
        <w:t>，公务接待费支出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lang w:val="en-US" w:eastAsia="zh-CN"/>
        </w:rPr>
        <w:t>1</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占100%；</w:t>
      </w:r>
      <w:r>
        <w:rPr>
          <w:rFonts w:hint="eastAsia" w:ascii="仿宋" w:hAnsi="仿宋" w:eastAsia="仿宋" w:cs="宋体"/>
          <w:sz w:val="32"/>
          <w:szCs w:val="32"/>
        </w:rPr>
        <w:t>具体情况如下：</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sz w:val="32"/>
          <w:szCs w:val="32"/>
        </w:rPr>
        <w:t>公务用车购置及运行费</w:t>
      </w:r>
      <w:r>
        <w:rPr>
          <w:rFonts w:hint="eastAsia" w:ascii="仿宋" w:hAnsi="仿宋" w:eastAsia="仿宋" w:cs="宋体"/>
          <w:sz w:val="32"/>
          <w:szCs w:val="32"/>
        </w:rPr>
        <w:t>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 w:hAnsi="仿宋" w:eastAsia="仿宋" w:cs="宋体"/>
          <w:sz w:val="32"/>
          <w:szCs w:val="32"/>
        </w:rPr>
      </w:pPr>
      <w:r>
        <w:rPr>
          <w:rFonts w:hint="eastAsia" w:ascii="仿宋" w:hAnsi="仿宋" w:eastAsia="仿宋" w:cs="宋体"/>
          <w:b/>
          <w:sz w:val="32"/>
          <w:szCs w:val="32"/>
        </w:rPr>
        <w:t>公务用车购置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sz w:val="32"/>
          <w:szCs w:val="32"/>
        </w:rPr>
        <w:t>公务用车</w:t>
      </w:r>
      <w:r>
        <w:rPr>
          <w:rFonts w:hint="eastAsia" w:ascii="仿宋" w:hAnsi="仿宋" w:eastAsia="仿宋" w:cs="宋体"/>
          <w:b/>
          <w:bCs/>
          <w:sz w:val="32"/>
          <w:szCs w:val="32"/>
        </w:rPr>
        <w:t>运行</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Courier New"/>
          <w:sz w:val="32"/>
          <w:szCs w:val="32"/>
        </w:rPr>
        <w:t>现有公务用车0辆</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lang w:val="en-US" w:eastAsia="zh-CN"/>
        </w:rPr>
        <w:t>3.</w:t>
      </w: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lang w:val="en-US" w:eastAsia="zh-CN"/>
        </w:rPr>
        <w:t>1</w:t>
      </w:r>
      <w:r>
        <w:rPr>
          <w:rFonts w:hint="eastAsia" w:ascii="仿宋" w:hAnsi="仿宋" w:eastAsia="仿宋" w:cs="宋体"/>
          <w:sz w:val="32"/>
          <w:szCs w:val="32"/>
        </w:rPr>
        <w:t>万元。其中：主要用于</w:t>
      </w:r>
      <w:r>
        <w:rPr>
          <w:rFonts w:hint="eastAsia" w:ascii="仿宋" w:hAnsi="仿宋" w:eastAsia="仿宋" w:cs="宋体"/>
          <w:sz w:val="32"/>
          <w:szCs w:val="32"/>
          <w:lang w:eastAsia="zh-CN"/>
        </w:rPr>
        <w:t>信阳市浉河区审计局</w:t>
      </w:r>
      <w:r>
        <w:rPr>
          <w:rFonts w:hint="eastAsia" w:ascii="仿宋" w:hAnsi="仿宋" w:eastAsia="仿宋" w:cs="宋体"/>
          <w:sz w:val="32"/>
          <w:szCs w:val="32"/>
        </w:rPr>
        <w:t>日常的公务接待。</w:t>
      </w:r>
      <w:r>
        <w:rPr>
          <w:rFonts w:hint="eastAsia" w:ascii="仿宋" w:hAnsi="仿宋" w:eastAsia="仿宋" w:cs="Courier New"/>
          <w:b/>
          <w:bCs/>
          <w:sz w:val="32"/>
          <w:szCs w:val="32"/>
        </w:rPr>
        <w:t>按逐年递减比去年减少</w:t>
      </w:r>
      <w:r>
        <w:rPr>
          <w:rFonts w:hint="eastAsia" w:ascii="仿宋" w:hAnsi="仿宋" w:eastAsia="仿宋" w:cs="Courier New"/>
          <w:b/>
          <w:bCs/>
          <w:sz w:val="32"/>
          <w:szCs w:val="32"/>
          <w:lang w:val="en-US" w:eastAsia="zh-CN"/>
        </w:rPr>
        <w:t>5</w:t>
      </w:r>
      <w:r>
        <w:rPr>
          <w:rFonts w:hint="eastAsia" w:ascii="仿宋" w:hAnsi="仿宋" w:eastAsia="仿宋" w:cs="Courier New"/>
          <w:b/>
          <w:bCs/>
          <w:sz w:val="32"/>
          <w:szCs w:val="32"/>
        </w:rPr>
        <w:t>0%</w:t>
      </w:r>
      <w:r>
        <w:rPr>
          <w:rFonts w:hint="eastAsia" w:ascii="仿宋" w:hAnsi="仿宋" w:eastAsia="仿宋" w:cs="Courier New"/>
          <w:sz w:val="32"/>
          <w:szCs w:val="32"/>
        </w:rPr>
        <w:t>。</w:t>
      </w:r>
      <w:r>
        <w:rPr>
          <w:rFonts w:hint="eastAsia" w:ascii="仿宋" w:hAnsi="仿宋" w:eastAsia="仿宋" w:cs="宋体"/>
          <w:sz w:val="32"/>
          <w:szCs w:val="32"/>
        </w:rPr>
        <w:t>减少的主要原因是，现在公务接待的标准是同城不吃饭，禁止使用高档烟酒，禁止出入高档酒店进行招待，大大减少了公务接待费用。</w:t>
      </w:r>
    </w:p>
    <w:p>
      <w:pPr>
        <w:numPr>
          <w:ilvl w:val="0"/>
          <w:numId w:val="0"/>
        </w:numPr>
        <w:adjustRightInd w:val="0"/>
        <w:snapToGrid w:val="0"/>
        <w:spacing w:line="360" w:lineRule="auto"/>
        <w:ind w:left="840" w:leftChars="0"/>
        <w:outlineLvl w:val="1"/>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八、关于政府性基金预算财政拨款支出预算情况说明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w:t>
      </w:r>
    </w:p>
    <w:p>
      <w:pPr>
        <w:numPr>
          <w:ilvl w:val="0"/>
          <w:numId w:val="0"/>
        </w:numPr>
        <w:adjustRightInd w:val="0"/>
        <w:snapToGrid w:val="0"/>
        <w:spacing w:line="360" w:lineRule="auto"/>
        <w:ind w:left="840" w:leftChars="0"/>
        <w:outlineLvl w:val="1"/>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九、机关运行经费支出情况。</w:t>
      </w:r>
    </w:p>
    <w:p>
      <w:pPr>
        <w:kinsoku w:val="0"/>
        <w:overflowPunct w:val="0"/>
        <w:autoSpaceDE w:val="0"/>
        <w:autoSpaceDN w:val="0"/>
        <w:adjustRightInd w:val="0"/>
        <w:snapToGrid w:val="0"/>
        <w:spacing w:line="360" w:lineRule="auto"/>
        <w:ind w:firstLine="640" w:firstLineChars="200"/>
        <w:rPr>
          <w:rFonts w:hint="default" w:ascii="仿宋" w:hAnsi="仿宋" w:eastAsia="仿宋" w:cs="宋体"/>
          <w:sz w:val="32"/>
          <w:szCs w:val="32"/>
          <w:lang w:val="en-US"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rPr>
        <w:t>184.8</w:t>
      </w:r>
      <w:r>
        <w:rPr>
          <w:rFonts w:hint="eastAsia" w:ascii="仿宋" w:hAnsi="仿宋" w:eastAsia="仿宋" w:cs="宋体"/>
          <w:sz w:val="32"/>
          <w:szCs w:val="32"/>
        </w:rPr>
        <w:t>万元。</w:t>
      </w:r>
      <w:r>
        <w:rPr>
          <w:rFonts w:hint="eastAsia" w:ascii="仿宋" w:hAnsi="仿宋" w:eastAsia="仿宋" w:cs="宋体"/>
          <w:sz w:val="32"/>
          <w:szCs w:val="32"/>
          <w:lang w:val="en-US" w:eastAsia="zh-CN"/>
        </w:rPr>
        <w:t>与2019年度持平。</w:t>
      </w:r>
    </w:p>
    <w:p>
      <w:pPr>
        <w:numPr>
          <w:ilvl w:val="0"/>
          <w:numId w:val="0"/>
        </w:numPr>
        <w:adjustRightInd w:val="0"/>
        <w:snapToGrid w:val="0"/>
        <w:spacing w:line="360" w:lineRule="auto"/>
        <w:ind w:left="840" w:leftChars="0"/>
        <w:outlineLvl w:val="1"/>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十、政府采购支出情况。</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2020年度政府采购支出预算总额</w:t>
      </w:r>
      <w:r>
        <w:rPr>
          <w:rFonts w:hint="eastAsia" w:ascii="仿宋" w:hAnsi="仿宋" w:eastAsia="仿宋" w:cs="宋体"/>
          <w:sz w:val="32"/>
          <w:szCs w:val="32"/>
          <w:lang w:val="en-US" w:eastAsia="zh-CN"/>
        </w:rPr>
        <w:t>0</w:t>
      </w:r>
      <w:r>
        <w:rPr>
          <w:rFonts w:hint="eastAsia" w:ascii="仿宋" w:hAnsi="仿宋" w:eastAsia="仿宋" w:cs="宋体"/>
          <w:sz w:val="32"/>
          <w:szCs w:val="32"/>
        </w:rPr>
        <w:t>万元，其中：政府采购货物支出</w:t>
      </w:r>
      <w:r>
        <w:rPr>
          <w:rFonts w:hint="eastAsia" w:ascii="仿宋" w:hAnsi="仿宋" w:eastAsia="仿宋" w:cs="宋体"/>
          <w:sz w:val="32"/>
          <w:szCs w:val="32"/>
          <w:lang w:val="en-US" w:eastAsia="zh-CN"/>
        </w:rPr>
        <w:t>0</w:t>
      </w:r>
      <w:r>
        <w:rPr>
          <w:rFonts w:hint="eastAsia" w:ascii="仿宋" w:hAnsi="仿宋" w:eastAsia="仿宋" w:cs="宋体"/>
          <w:sz w:val="32"/>
          <w:szCs w:val="32"/>
        </w:rPr>
        <w:t>万元、政府采购工程预算0万元、政府采购服务预算0万元</w:t>
      </w:r>
      <w:r>
        <w:rPr>
          <w:rFonts w:hint="eastAsia" w:ascii="仿宋" w:hAnsi="仿宋" w:eastAsia="仿宋" w:cs="宋体"/>
          <w:sz w:val="32"/>
          <w:szCs w:val="32"/>
          <w:lang w:eastAsia="zh-CN"/>
        </w:rPr>
        <w:t>。</w:t>
      </w:r>
    </w:p>
    <w:p>
      <w:pPr>
        <w:numPr>
          <w:ilvl w:val="0"/>
          <w:numId w:val="0"/>
        </w:numPr>
        <w:adjustRightInd w:val="0"/>
        <w:snapToGrid w:val="0"/>
        <w:spacing w:line="360" w:lineRule="auto"/>
        <w:ind w:left="840" w:leftChars="0"/>
        <w:outlineLvl w:val="1"/>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十一、国有资产占用情况。</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20</w:t>
      </w:r>
      <w:r>
        <w:rPr>
          <w:rFonts w:hint="eastAsia" w:ascii="仿宋" w:hAnsi="仿宋" w:eastAsia="仿宋" w:cs="宋体"/>
          <w:sz w:val="32"/>
          <w:szCs w:val="32"/>
          <w:lang w:val="en-US" w:eastAsia="zh-CN"/>
        </w:rPr>
        <w:t>19</w:t>
      </w:r>
      <w:r>
        <w:rPr>
          <w:rFonts w:hint="eastAsia" w:ascii="仿宋" w:hAnsi="仿宋" w:eastAsia="仿宋" w:cs="宋体"/>
          <w:sz w:val="32"/>
          <w:szCs w:val="32"/>
        </w:rPr>
        <w:t>年末，</w:t>
      </w:r>
      <w:r>
        <w:rPr>
          <w:rFonts w:hint="eastAsia" w:ascii="仿宋" w:hAnsi="仿宋" w:eastAsia="仿宋" w:cs="宋体"/>
          <w:sz w:val="32"/>
          <w:szCs w:val="32"/>
          <w:lang w:eastAsia="zh-CN"/>
        </w:rPr>
        <w:t>信阳市浉河区审计局</w:t>
      </w:r>
      <w:r>
        <w:rPr>
          <w:rFonts w:hint="eastAsia" w:ascii="仿宋" w:hAnsi="仿宋" w:eastAsia="仿宋" w:cs="宋体"/>
          <w:sz w:val="32"/>
          <w:szCs w:val="32"/>
        </w:rPr>
        <w:t>共有车辆</w:t>
      </w:r>
      <w:r>
        <w:rPr>
          <w:rFonts w:hint="eastAsia" w:ascii="仿宋" w:hAnsi="仿宋" w:eastAsia="仿宋" w:cs="宋体"/>
          <w:sz w:val="32"/>
          <w:szCs w:val="32"/>
          <w:lang w:val="en-US" w:eastAsia="zh-CN"/>
        </w:rPr>
        <w:t>0</w:t>
      </w:r>
      <w:r>
        <w:rPr>
          <w:rFonts w:hint="eastAsia" w:ascii="仿宋" w:hAnsi="仿宋" w:eastAsia="仿宋" w:cs="宋体"/>
          <w:sz w:val="32"/>
          <w:szCs w:val="32"/>
        </w:rPr>
        <w:t>辆，其中：一般公务用车</w:t>
      </w:r>
      <w:r>
        <w:rPr>
          <w:rFonts w:hint="eastAsia" w:ascii="仿宋" w:hAnsi="仿宋" w:eastAsia="仿宋" w:cs="宋体"/>
          <w:sz w:val="32"/>
          <w:szCs w:val="32"/>
          <w:lang w:val="en-US" w:eastAsia="zh-CN"/>
        </w:rPr>
        <w:t>0</w:t>
      </w:r>
      <w:r>
        <w:rPr>
          <w:rFonts w:hint="eastAsia" w:ascii="仿宋" w:hAnsi="仿宋" w:eastAsia="仿宋" w:cs="宋体"/>
          <w:sz w:val="32"/>
          <w:szCs w:val="32"/>
        </w:rPr>
        <w:t>辆、一般执法执勤用车0辆、特种专业技术用车0辆，其他用车0辆。单价50万元以上通用设备0台（套），单位价值100万元以上专用设备0台（套）。</w:t>
      </w:r>
    </w:p>
    <w:p>
      <w:pPr>
        <w:numPr>
          <w:ilvl w:val="0"/>
          <w:numId w:val="0"/>
        </w:numPr>
        <w:adjustRightInd w:val="0"/>
        <w:snapToGrid w:val="0"/>
        <w:spacing w:line="360" w:lineRule="auto"/>
        <w:ind w:left="840" w:leftChars="0"/>
        <w:outlineLvl w:val="1"/>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十二、关于预算绩效管理工作开展情况说明</w:t>
      </w:r>
    </w:p>
    <w:p>
      <w:pPr>
        <w:kinsoku w:val="0"/>
        <w:overflowPunct w:val="0"/>
        <w:autoSpaceDE w:val="0"/>
        <w:autoSpaceDN w:val="0"/>
        <w:adjustRightInd w:val="0"/>
        <w:snapToGrid w:val="0"/>
        <w:spacing w:line="360" w:lineRule="auto"/>
        <w:ind w:firstLine="640" w:firstLineChars="200"/>
        <w:rPr>
          <w:rFonts w:ascii="仿宋" w:hAnsi="仿宋" w:eastAsia="仿宋" w:cs="黑体"/>
          <w:sz w:val="32"/>
          <w:szCs w:val="32"/>
        </w:rPr>
      </w:pPr>
      <w:r>
        <w:rPr>
          <w:rFonts w:hint="eastAsia" w:ascii="仿宋" w:hAnsi="仿宋" w:eastAsia="仿宋" w:cs="宋体"/>
          <w:sz w:val="32"/>
          <w:szCs w:val="32"/>
          <w:lang w:eastAsia="zh-CN"/>
        </w:rPr>
        <w:t>信阳市浉河区审计局</w:t>
      </w:r>
      <w:r>
        <w:rPr>
          <w:rFonts w:hint="eastAsia" w:ascii="仿宋" w:hAnsi="仿宋" w:eastAsia="仿宋" w:cs="宋体"/>
          <w:sz w:val="32"/>
          <w:szCs w:val="32"/>
        </w:rPr>
        <w:t>20</w:t>
      </w:r>
      <w:r>
        <w:rPr>
          <w:rFonts w:hint="eastAsia" w:ascii="仿宋" w:hAnsi="仿宋" w:eastAsia="仿宋" w:cs="宋体"/>
          <w:sz w:val="32"/>
          <w:szCs w:val="32"/>
          <w:lang w:val="en-US" w:eastAsia="zh-CN"/>
        </w:rPr>
        <w:t>20</w:t>
      </w:r>
      <w:r>
        <w:rPr>
          <w:rFonts w:hint="eastAsia" w:ascii="仿宋" w:hAnsi="仿宋" w:eastAsia="仿宋" w:cs="宋体"/>
          <w:sz w:val="32"/>
          <w:szCs w:val="32"/>
        </w:rPr>
        <w:t>年度没有开展项目预算绩效评价。</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一、一般公共预算拨款收入：指区财政当年拨付的资金。 </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二、事业收入：指单位开展专业业务活动及辅助活动所取得的收入</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三、上年结转：指以前年度尚未完成、结转到本年仍按原规定用途继续使用的资金。 </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四、基本支出：指</w:t>
      </w:r>
      <w:r>
        <w:rPr>
          <w:rFonts w:hint="eastAsia" w:ascii="仿宋" w:hAnsi="仿宋" w:eastAsia="仿宋" w:cs="仿宋"/>
          <w:sz w:val="32"/>
          <w:szCs w:val="32"/>
          <w:lang w:eastAsia="zh-CN"/>
        </w:rPr>
        <w:t>信阳市浉河区审计局</w:t>
      </w:r>
      <w:r>
        <w:rPr>
          <w:rFonts w:hint="eastAsia" w:ascii="仿宋" w:hAnsi="仿宋" w:eastAsia="仿宋" w:cs="仿宋"/>
          <w:sz w:val="32"/>
          <w:szCs w:val="32"/>
        </w:rPr>
        <w:t>为保障机构正常运转、完成日常工作任务所必需的人员经费和日常公用经费。</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五、项目支出：指</w:t>
      </w:r>
      <w:r>
        <w:rPr>
          <w:rFonts w:hint="eastAsia" w:ascii="仿宋" w:hAnsi="仿宋" w:eastAsia="仿宋" w:cs="仿宋"/>
          <w:sz w:val="32"/>
          <w:szCs w:val="32"/>
          <w:lang w:eastAsia="zh-CN"/>
        </w:rPr>
        <w:t>信阳市浉河区审计局</w:t>
      </w:r>
      <w:r>
        <w:rPr>
          <w:rFonts w:hint="eastAsia" w:ascii="仿宋" w:hAnsi="仿宋" w:eastAsia="仿宋" w:cs="仿宋"/>
          <w:sz w:val="32"/>
          <w:szCs w:val="32"/>
        </w:rPr>
        <w:t>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六、结转下年：指以前年度预算安排、因客观条件发生变化 无法按原计划实施，需延迟到以后年度按原规定用途继续使用的 资金。</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七、一般公共服务支出： 指</w:t>
      </w:r>
      <w:r>
        <w:rPr>
          <w:rFonts w:hint="eastAsia" w:ascii="仿宋" w:hAnsi="仿宋" w:eastAsia="仿宋" w:cs="仿宋"/>
          <w:sz w:val="32"/>
          <w:szCs w:val="32"/>
          <w:lang w:eastAsia="zh-CN"/>
        </w:rPr>
        <w:t>信阳市浉河区审计局</w:t>
      </w:r>
      <w:r>
        <w:rPr>
          <w:rFonts w:hint="eastAsia" w:ascii="仿宋" w:hAnsi="仿宋" w:eastAsia="仿宋" w:cs="仿宋"/>
          <w:sz w:val="32"/>
          <w:szCs w:val="32"/>
        </w:rPr>
        <w:t xml:space="preserve">行政单位用于保障机构正常运转、完成日常工作任务安排的支出，开展经常性专项业务活动、用于计算机及网络运行维护、设备更新 购置、办公用房及设备维护修缮等方面的支出。  </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信阳市浉河区审计局</w:t>
      </w:r>
      <w:r>
        <w:rPr>
          <w:rFonts w:hint="eastAsia" w:ascii="仿宋" w:hAnsi="仿宋" w:eastAsia="仿宋" w:cs="仿宋"/>
          <w:sz w:val="32"/>
          <w:szCs w:val="32"/>
        </w:rPr>
        <w:t>按照审计纪律“八不准”的规定，开展审计、 专项审计调查、聘请社会审计组织人员及技术专家等方面的支出 （含按规定支出的城市间交通费、市内交通费、住宿费和伙食费补助）。</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信阳市浉河区审计局</w:t>
      </w:r>
      <w:r>
        <w:rPr>
          <w:rFonts w:hint="eastAsia" w:ascii="仿宋" w:hAnsi="仿宋" w:eastAsia="仿宋" w:cs="仿宋"/>
          <w:sz w:val="32"/>
          <w:szCs w:val="32"/>
        </w:rPr>
        <w:t xml:space="preserve">用于审计课题研究、审计宣传、审计结果公告、审计法 制建设、审计业务质量控制等方面的支出。 </w:t>
      </w:r>
    </w:p>
    <w:p>
      <w:pPr>
        <w:kinsoku w:val="0"/>
        <w:overflowPunct w:val="0"/>
        <w:autoSpaceDE w:val="0"/>
        <w:autoSpaceDN w:val="0"/>
        <w:adjustRightInd w:val="0"/>
        <w:snapToGrid w:val="0"/>
        <w:spacing w:line="360" w:lineRule="auto"/>
        <w:ind w:firstLine="640" w:firstLineChars="200"/>
        <w:rPr>
          <w:rFonts w:ascii="仿宋" w:hAnsi="仿宋" w:eastAsia="仿宋" w:cs="仿宋"/>
          <w:b/>
          <w:bCs/>
          <w:sz w:val="32"/>
          <w:szCs w:val="32"/>
        </w:rPr>
      </w:pPr>
      <w:r>
        <w:rPr>
          <w:rFonts w:hint="eastAsia" w:ascii="仿宋" w:hAnsi="仿宋" w:eastAsia="仿宋" w:cs="仿宋"/>
          <w:sz w:val="32"/>
          <w:szCs w:val="32"/>
        </w:rPr>
        <w:t xml:space="preserve"> 八、</w:t>
      </w:r>
      <w:r>
        <w:rPr>
          <w:rFonts w:hint="eastAsia" w:ascii="仿宋" w:hAnsi="仿宋" w:eastAsia="仿宋" w:cs="仿宋"/>
          <w:b/>
          <w:bCs/>
          <w:sz w:val="32"/>
          <w:szCs w:val="32"/>
        </w:rPr>
        <w:t>“三公”经费：</w:t>
      </w:r>
      <w:r>
        <w:rPr>
          <w:rFonts w:hint="eastAsia" w:ascii="仿宋" w:hAnsi="仿宋" w:eastAsia="仿宋" w:cs="仿宋"/>
          <w:sz w:val="32"/>
          <w:szCs w:val="32"/>
        </w:rPr>
        <w:t>纳入中央财政预决算管理的“三公”经费，是指用财政拨款安排的因公出国（境）费、公务用车购置及运行费和公务接待费。其中，因公出国（境）费反映单位公务出国（境）的国际旅费 、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九、机关运行经费：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- 13 -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F9B1B46"/>
    <w:multiLevelType w:val="singleLevel"/>
    <w:tmpl w:val="5F9B1B46"/>
    <w:lvl w:ilvl="0" w:tentative="0">
      <w:start w:val="1"/>
      <w:numFmt w:val="chineseCounting"/>
      <w:suff w:val="nothing"/>
      <w:lvlText w:val="（%1）"/>
      <w:lvlJc w:val="left"/>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92801"/>
    <w:rsid w:val="000B1B09"/>
    <w:rsid w:val="000B1B9B"/>
    <w:rsid w:val="000E35F0"/>
    <w:rsid w:val="00132E43"/>
    <w:rsid w:val="00170110"/>
    <w:rsid w:val="0017112E"/>
    <w:rsid w:val="00172A27"/>
    <w:rsid w:val="001D3FB5"/>
    <w:rsid w:val="00217A0C"/>
    <w:rsid w:val="002A0AE7"/>
    <w:rsid w:val="002A721A"/>
    <w:rsid w:val="002D0B27"/>
    <w:rsid w:val="00334951"/>
    <w:rsid w:val="00336FCB"/>
    <w:rsid w:val="00376170"/>
    <w:rsid w:val="00402C74"/>
    <w:rsid w:val="004213CC"/>
    <w:rsid w:val="004C11C3"/>
    <w:rsid w:val="004D36BB"/>
    <w:rsid w:val="004F3C7C"/>
    <w:rsid w:val="0050293C"/>
    <w:rsid w:val="00503F16"/>
    <w:rsid w:val="005E126E"/>
    <w:rsid w:val="00630D31"/>
    <w:rsid w:val="006F22F7"/>
    <w:rsid w:val="007115FD"/>
    <w:rsid w:val="00731FE8"/>
    <w:rsid w:val="00743248"/>
    <w:rsid w:val="00782135"/>
    <w:rsid w:val="00787823"/>
    <w:rsid w:val="007956F5"/>
    <w:rsid w:val="007B4DDD"/>
    <w:rsid w:val="007B72EA"/>
    <w:rsid w:val="007F7F87"/>
    <w:rsid w:val="009B6CAD"/>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05B5A"/>
    <w:rsid w:val="00D9092F"/>
    <w:rsid w:val="00DB1C77"/>
    <w:rsid w:val="00DD5457"/>
    <w:rsid w:val="00DE224A"/>
    <w:rsid w:val="00E21B07"/>
    <w:rsid w:val="00E32E02"/>
    <w:rsid w:val="00E8190D"/>
    <w:rsid w:val="00E92067"/>
    <w:rsid w:val="00EA5B58"/>
    <w:rsid w:val="00ED38A5"/>
    <w:rsid w:val="00ED44BB"/>
    <w:rsid w:val="00EE6AA4"/>
    <w:rsid w:val="00F92F65"/>
    <w:rsid w:val="00FB0B96"/>
    <w:rsid w:val="01F21A60"/>
    <w:rsid w:val="026651AD"/>
    <w:rsid w:val="027033B1"/>
    <w:rsid w:val="0286013C"/>
    <w:rsid w:val="03240ECA"/>
    <w:rsid w:val="04453648"/>
    <w:rsid w:val="07F31BEE"/>
    <w:rsid w:val="084D7413"/>
    <w:rsid w:val="08A93228"/>
    <w:rsid w:val="08FB3159"/>
    <w:rsid w:val="09BB2134"/>
    <w:rsid w:val="0C366EEC"/>
    <w:rsid w:val="0E4E756F"/>
    <w:rsid w:val="0EB26B5F"/>
    <w:rsid w:val="0FAB2FE6"/>
    <w:rsid w:val="0FEF0DE6"/>
    <w:rsid w:val="101A5D9D"/>
    <w:rsid w:val="113E646F"/>
    <w:rsid w:val="117A0571"/>
    <w:rsid w:val="147E551D"/>
    <w:rsid w:val="14D2458E"/>
    <w:rsid w:val="150B6848"/>
    <w:rsid w:val="15492582"/>
    <w:rsid w:val="16650656"/>
    <w:rsid w:val="17965762"/>
    <w:rsid w:val="17BE6092"/>
    <w:rsid w:val="17F73D7A"/>
    <w:rsid w:val="1A0B0ACE"/>
    <w:rsid w:val="1A624019"/>
    <w:rsid w:val="1B3E66A9"/>
    <w:rsid w:val="1C1F61CB"/>
    <w:rsid w:val="1C3B117F"/>
    <w:rsid w:val="1C970E94"/>
    <w:rsid w:val="1E2566FD"/>
    <w:rsid w:val="1E7D3B34"/>
    <w:rsid w:val="20F5460F"/>
    <w:rsid w:val="212E5315"/>
    <w:rsid w:val="21790EF4"/>
    <w:rsid w:val="23156A52"/>
    <w:rsid w:val="241453B6"/>
    <w:rsid w:val="254B33D1"/>
    <w:rsid w:val="256D2254"/>
    <w:rsid w:val="27507D70"/>
    <w:rsid w:val="27C9289C"/>
    <w:rsid w:val="29621C7E"/>
    <w:rsid w:val="2983760E"/>
    <w:rsid w:val="29B13F52"/>
    <w:rsid w:val="29ED2241"/>
    <w:rsid w:val="2A164C2A"/>
    <w:rsid w:val="2ACE51FA"/>
    <w:rsid w:val="2AD04FAF"/>
    <w:rsid w:val="2B5F7284"/>
    <w:rsid w:val="2BA4769A"/>
    <w:rsid w:val="2C654BE7"/>
    <w:rsid w:val="2C8F6BCF"/>
    <w:rsid w:val="2CBA6598"/>
    <w:rsid w:val="2CC075DB"/>
    <w:rsid w:val="2CD06EF4"/>
    <w:rsid w:val="2D9D4DA5"/>
    <w:rsid w:val="2DBF18D1"/>
    <w:rsid w:val="2F0F45D4"/>
    <w:rsid w:val="2F47056C"/>
    <w:rsid w:val="2FB773B6"/>
    <w:rsid w:val="2FF816D0"/>
    <w:rsid w:val="307652F7"/>
    <w:rsid w:val="31B30DB0"/>
    <w:rsid w:val="31D355D4"/>
    <w:rsid w:val="325F6EF2"/>
    <w:rsid w:val="32EF005E"/>
    <w:rsid w:val="32EF40CE"/>
    <w:rsid w:val="33A76F4E"/>
    <w:rsid w:val="34416F30"/>
    <w:rsid w:val="364D690A"/>
    <w:rsid w:val="36FA2471"/>
    <w:rsid w:val="372974AC"/>
    <w:rsid w:val="37EE37BB"/>
    <w:rsid w:val="38262F47"/>
    <w:rsid w:val="39637962"/>
    <w:rsid w:val="39765334"/>
    <w:rsid w:val="39967F15"/>
    <w:rsid w:val="3AD214AF"/>
    <w:rsid w:val="3AD26E04"/>
    <w:rsid w:val="3AE52B95"/>
    <w:rsid w:val="3AE7177F"/>
    <w:rsid w:val="3C5769C0"/>
    <w:rsid w:val="3DA73D08"/>
    <w:rsid w:val="3EA437AD"/>
    <w:rsid w:val="3EEE22CD"/>
    <w:rsid w:val="3F081D17"/>
    <w:rsid w:val="3FCD07F4"/>
    <w:rsid w:val="41CF71DE"/>
    <w:rsid w:val="42271DDB"/>
    <w:rsid w:val="42563EC6"/>
    <w:rsid w:val="43E82B9D"/>
    <w:rsid w:val="44787BDC"/>
    <w:rsid w:val="457B1C96"/>
    <w:rsid w:val="45FD3DEB"/>
    <w:rsid w:val="468900BD"/>
    <w:rsid w:val="46F559ED"/>
    <w:rsid w:val="477D716C"/>
    <w:rsid w:val="47D168EB"/>
    <w:rsid w:val="487F0032"/>
    <w:rsid w:val="48B52937"/>
    <w:rsid w:val="48C00F7D"/>
    <w:rsid w:val="48C27452"/>
    <w:rsid w:val="48EE3EF3"/>
    <w:rsid w:val="4B2D55EB"/>
    <w:rsid w:val="4C1E2F28"/>
    <w:rsid w:val="4DA61D80"/>
    <w:rsid w:val="4DE20C7C"/>
    <w:rsid w:val="4F6A6586"/>
    <w:rsid w:val="50C2787A"/>
    <w:rsid w:val="5115239B"/>
    <w:rsid w:val="541D6A82"/>
    <w:rsid w:val="544677EE"/>
    <w:rsid w:val="55EA1009"/>
    <w:rsid w:val="5651051D"/>
    <w:rsid w:val="56EB602D"/>
    <w:rsid w:val="57E961A8"/>
    <w:rsid w:val="581E77CF"/>
    <w:rsid w:val="58B06254"/>
    <w:rsid w:val="597263A8"/>
    <w:rsid w:val="5AF25131"/>
    <w:rsid w:val="5BCA31AA"/>
    <w:rsid w:val="5C0F3375"/>
    <w:rsid w:val="5C2B20DA"/>
    <w:rsid w:val="5CB01CA4"/>
    <w:rsid w:val="5CC67AB3"/>
    <w:rsid w:val="5D5C1FAD"/>
    <w:rsid w:val="5D724601"/>
    <w:rsid w:val="5DD56AC2"/>
    <w:rsid w:val="5DE308B8"/>
    <w:rsid w:val="5E1F3F7A"/>
    <w:rsid w:val="5E321352"/>
    <w:rsid w:val="5E886EBD"/>
    <w:rsid w:val="5EB57926"/>
    <w:rsid w:val="5ECF3FA4"/>
    <w:rsid w:val="5F130DE5"/>
    <w:rsid w:val="5F964892"/>
    <w:rsid w:val="5FB578F9"/>
    <w:rsid w:val="600176AC"/>
    <w:rsid w:val="608E7ED7"/>
    <w:rsid w:val="60B8378D"/>
    <w:rsid w:val="60F07F2F"/>
    <w:rsid w:val="60F22670"/>
    <w:rsid w:val="6167683C"/>
    <w:rsid w:val="617A16DC"/>
    <w:rsid w:val="61C94A3F"/>
    <w:rsid w:val="61D95E77"/>
    <w:rsid w:val="627A693C"/>
    <w:rsid w:val="627F5F9E"/>
    <w:rsid w:val="62D27395"/>
    <w:rsid w:val="6330738F"/>
    <w:rsid w:val="63FC5C35"/>
    <w:rsid w:val="652D7CD8"/>
    <w:rsid w:val="664A46E0"/>
    <w:rsid w:val="6796775E"/>
    <w:rsid w:val="67D84ED8"/>
    <w:rsid w:val="68500770"/>
    <w:rsid w:val="685D2A77"/>
    <w:rsid w:val="686B0051"/>
    <w:rsid w:val="687C156E"/>
    <w:rsid w:val="68E95CA0"/>
    <w:rsid w:val="68F315DE"/>
    <w:rsid w:val="69F84494"/>
    <w:rsid w:val="6ABB6698"/>
    <w:rsid w:val="6AC30185"/>
    <w:rsid w:val="6AE94EF8"/>
    <w:rsid w:val="6DC12C15"/>
    <w:rsid w:val="6E965A90"/>
    <w:rsid w:val="6F2D14A1"/>
    <w:rsid w:val="6FDF24CC"/>
    <w:rsid w:val="6FF6206A"/>
    <w:rsid w:val="705F045F"/>
    <w:rsid w:val="71490407"/>
    <w:rsid w:val="7156288B"/>
    <w:rsid w:val="72B61072"/>
    <w:rsid w:val="73F12465"/>
    <w:rsid w:val="75531EF6"/>
    <w:rsid w:val="755A7A11"/>
    <w:rsid w:val="75D0003D"/>
    <w:rsid w:val="769B461A"/>
    <w:rsid w:val="783E1213"/>
    <w:rsid w:val="79060C93"/>
    <w:rsid w:val="7A070B19"/>
    <w:rsid w:val="7C2C4361"/>
    <w:rsid w:val="7E9B49C5"/>
    <w:rsid w:val="7FB028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8AE528-87F7-4A0E-98DD-E1D35464AE0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1354</Words>
  <Characters>7724</Characters>
  <Lines>64</Lines>
  <Paragraphs>18</Paragraphs>
  <TotalTime>1</TotalTime>
  <ScaleCrop>false</ScaleCrop>
  <LinksUpToDate>false</LinksUpToDate>
  <CharactersWithSpaces>9060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2017-07-25T02:47:00Z</cp:lastPrinted>
  <dcterms:modified xsi:type="dcterms:W3CDTF">2021-06-20T10:26:39Z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3C1CB66E84BB4DF5AB5B064C3E13F920</vt:lpwstr>
  </property>
</Properties>
</file>