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方正小标宋简体"/>
          <w:sz w:val="52"/>
          <w:szCs w:val="52"/>
        </w:rPr>
      </w:pPr>
    </w:p>
    <w:p>
      <w:pPr>
        <w:jc w:val="both"/>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中共河南省信阳市浉河区委组织部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b/>
          <w:sz w:val="52"/>
          <w:szCs w:val="52"/>
          <w:lang w:val="en-US" w:eastAsia="zh-CN"/>
        </w:rPr>
        <w:t>2020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中共河南省信阳市浉河区委组织部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0"/>
        </w:numPr>
        <w:jc w:val="left"/>
        <w:rPr>
          <w:rFonts w:hint="eastAsia" w:ascii="仿宋" w:hAnsi="仿宋" w:eastAsia="仿宋" w:cs="黑体"/>
          <w:sz w:val="32"/>
          <w:szCs w:val="32"/>
        </w:rPr>
      </w:pPr>
      <w:r>
        <w:rPr>
          <w:rFonts w:hint="eastAsia" w:ascii="仿宋" w:hAnsi="仿宋" w:eastAsia="仿宋" w:cs="黑体"/>
          <w:sz w:val="32"/>
          <w:szCs w:val="32"/>
          <w:lang w:val="en-US" w:eastAsia="zh-CN"/>
        </w:rPr>
        <w:t>第二部分</w:t>
      </w:r>
      <w:r>
        <w:rPr>
          <w:rFonts w:hint="eastAsia" w:ascii="仿宋" w:hAnsi="仿宋" w:eastAsia="仿宋" w:cs="黑体"/>
          <w:sz w:val="32"/>
          <w:szCs w:val="32"/>
        </w:rPr>
        <w:t>　</w:t>
      </w:r>
      <w:r>
        <w:rPr>
          <w:rFonts w:hint="eastAsia" w:ascii="仿宋" w:hAnsi="仿宋" w:eastAsia="仿宋" w:cs="黑体"/>
          <w:sz w:val="32"/>
          <w:szCs w:val="32"/>
          <w:lang w:eastAsia="zh-CN"/>
        </w:rPr>
        <w:t>中共河南省信阳市浉河区委组织部</w:t>
      </w:r>
      <w:r>
        <w:rPr>
          <w:rFonts w:ascii="仿宋" w:hAnsi="仿宋" w:eastAsia="仿宋" w:cs="黑体"/>
          <w:sz w:val="32"/>
          <w:szCs w:val="32"/>
        </w:rPr>
        <w:t>20</w:t>
      </w:r>
      <w:r>
        <w:rPr>
          <w:rFonts w:hint="eastAsia" w:ascii="仿宋" w:hAnsi="仿宋" w:eastAsia="仿宋" w:cs="黑体"/>
          <w:sz w:val="32"/>
          <w:szCs w:val="32"/>
          <w:lang w:val="en-US" w:eastAsia="zh-CN"/>
        </w:rPr>
        <w:t>20</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中共河南省信阳市浉河区委组织部</w:t>
      </w:r>
      <w:r>
        <w:rPr>
          <w:rFonts w:ascii="仿宋" w:hAnsi="仿宋" w:eastAsia="仿宋" w:cs="黑体"/>
          <w:b w:val="0"/>
          <w:bCs w:val="0"/>
          <w:sz w:val="32"/>
          <w:szCs w:val="32"/>
        </w:rPr>
        <w:t>20</w:t>
      </w:r>
      <w:r>
        <w:rPr>
          <w:rFonts w:hint="eastAsia" w:ascii="仿宋" w:hAnsi="仿宋" w:eastAsia="仿宋" w:cs="黑体"/>
          <w:b w:val="0"/>
          <w:bCs w:val="0"/>
          <w:sz w:val="32"/>
          <w:szCs w:val="32"/>
          <w:lang w:val="en-US" w:eastAsia="zh-CN"/>
        </w:rPr>
        <w:t>20</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中共河南省信阳市浉河区委组织部</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根据中共信阳市委办公室、信阳市人民政府《关于印发&lt;浉河区机构改革方案&gt;的通知》（信办文〔2019〕4号），制定本规定。中共河南省信阳市浉河区委组织部是区委主管组织工作、干部工作、人才工作的职能部门，为正科级。</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一、主要职责</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（一）贯彻执行中央关于干部队伍建设的路线、方针、政策，组织落实培养选拔任用干部工作。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二）提出乡镇、办事处、区直各单位以及其他列入区委管理的领导班子和领导干部调整配备的意见和建议；负责区委管理干部的考察和办理任免、工资、待遇、退(离)休等有关具体工作；指导领导班子的思想作风建设；根据授权，承办区委协助市委管理干部的任免、工资、待遇、退(离)休的有关具体工作；负责区直机关正股级干部、乡镇办村（社区居委会）党组织书记的备案审批和宏观管理工作；承办部分干部的调配、交流、出国（境）及团职以上军转干部安置事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三）研究和指导全区党组织特别是党的基层组织建设，探索各类新的经济组织中党组织的设置和活动方式；协调、规划和指导全区党员教育工作，主管党员的管理和发展工作；指导和组织新时期党的建设的理论研究。</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（四）从宏观上研究和指导全区党的组织制度和干部人事制度改革，制定或参与制定全区组织人事工作的有关政策和制度。</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（五）负责全区组织工作和干部工作的检查落实；加强对全区选拔任用干部工作和领导干部的监督，及时向区委反映重要情况，提出建议。</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（六）主管全区干部教育工作，制定全区干部教育规划和实施意见；组织区委管理的干部和中青年干部及组织人事干部的培训；指导、协调乡镇办、区直单位的干部教育工作。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七）负责全区人才和知识分子工作的指导和协调，调查研究人才和知识分子工作状况，组织或参与制定人才和知识分子工作政策，检查贯彻执行人才和知识分子政策情况；负责省管优秀专家、市级拔尖人才的推荐、选拔和管理工作；协同区人力资源和社会保障部门做好享受国务院特殊津贴人员的推荐、选拔和管理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（八）负责全区所有列入公务员法实施范围和参照公务员法管理的单位实施公务员法工作的综合指导、监督和管理。</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（九）负责全区退休干部工作的宏观管理。</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（十）承办区委交办的其他事项。</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根据上述职责，中共河南省信阳市浉河区委组织部设8个内设机构。</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（一）办公室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协助部领导处理部机关日常事务，综合协调部机关各股室日常工作；负责部机关主要会议和重大活动的组织安排；承担机关机要、秘书、信访、文印、文书档案工作，负责文件编发、督办检查、计划生育、文明创建、平安建设、信访稳定、巡视巡察、文电处理、机关保密和安全保卫、后勤保障等工作；承担部机关重要工作和领导决议事项的督促检查；负责机关财务管理、行政事务工作；负责机关退休人员的管理和服务工作;做好部机关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（二）组织一室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研究和指导全区党员队伍建设；指导全区农村基层干部培训及后备干部队伍建设工作；负责乡镇办、村（社区、居委会）党组织书记的备案审批和管理工作；主管全区党员的管理和发展及教育培训工作；负责全区外建党组织党员的教育管理工作，做好外出务工党员的服务与管理，为外出务工党员返乡创业、招商引资等创造条件，提供服务；负责全区党内状况的统计和党籍、党费管理工作；负责区管干部登记备案人员因私出国（境）手续报批的审查、管理工作；承办优秀共产党员、优秀党务工作者表彰等有关工作；做好党员队伍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（三）组织二室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研究和指导全区党组织建设；规划和指导党的基层组织建设工作；研究和指导全区基层党组织和各类新的经济组织中党组织的设置、管理和活动方式；承办区直部门和有关单位设立和撤销党委、党组（党总支、党支部）的审批工作，研究和提出全区党的组织制度、党内生活制度建设的意见；承办区党代会的有关事项；参与区人大、区政协换届的有关工作；指导全区各级党组织代表大会（党员大会）和群团组织换届选举工作；研究和指导基层党组织党员领导干部民主生活会；承办先进基层党组织表彰有关工作；做好党组织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（四）干部一室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负责全区公务员队伍建设的研究规划和宏观指导，组织实施公务员管理相关法律法规；负责</w:t>
      </w:r>
      <w:bookmarkStart w:id="0" w:name="_Hlk10791187"/>
      <w:r>
        <w:rPr>
          <w:rFonts w:hint="eastAsia" w:ascii="仿宋_GB2312" w:hAnsi="宋体" w:eastAsia="仿宋_GB2312"/>
          <w:sz w:val="32"/>
          <w:szCs w:val="32"/>
          <w:lang w:eastAsia="zh-CN"/>
        </w:rPr>
        <w:t>全区所有列入公务员法实施范围和参照公务员法管理的单位公务员</w:t>
      </w:r>
      <w:bookmarkEnd w:id="0"/>
      <w:r>
        <w:rPr>
          <w:rFonts w:hint="eastAsia" w:ascii="仿宋_GB2312" w:hAnsi="宋体" w:eastAsia="仿宋_GB2312"/>
          <w:sz w:val="32"/>
          <w:szCs w:val="32"/>
          <w:lang w:eastAsia="zh-CN"/>
        </w:rPr>
        <w:t>日常登记和管理工作；贯彻实施公务员职务与职级并行、聘任制公务员管理、公务员交流、回避、辞职辞退、退休等方面法律和政策法规；负责全区公务员管理信息系统的管理维护工作及公务员年报工作；负责申报全区公务员招录计划、报名人员考试、面试资格审查及考察政审工作；负责公务员试用期管理、能力建设和公务员行为规范、职业道德建设工作；负责组织实施全区公务员奖励、惩戒、申诉、控告等制度，承担以区公务员局名义开展的行政复议和行政应诉有关工作；做好全区科级以下公务员考核工作的组织实施和考核等次认定备案工作；负责参照公务员法管理单位申请上报有关工作；负责审核办理区委管理干部的工资待遇、退休的审批；负责办理区委协助市委管理的干部工资待遇、退休的报批工作；负责区管干部的档案管理工作；承办全区所有列入公务员法实施范围和参照公务员法管理的单位公务员的调动等工作；做好公务员队伍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（五）干部二室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考察各乡镇、街道办事处，区直各委局、区管企业领导班子和区管干部，并对以上领导班子的换届、调整配备和区管干部的职务任免、交流、待遇等问题提出建议，办理区管干部的职务任免；负责实施区管干部的年度考核工作，并对干部考核等次提出初步建议；综合研究、协调全区干部队伍宏观管理，负责区直单位人事（政工）股股长的考察审批；负责落实培养、选拔中青年干部的工作规划和制度，负责考察了解和培养锻炼中青年干部，并提出培养和使用意见；负责女干部、非中共党员干部、少数民族干部的培养选拔工作；负责办理区委协助市委管理的干部职务任免工作；负责向市委备案干部职务任免的备案工作；承办部分干部的调配、交流及安置事宜；负责和协调军队团职转业干部的安置工作，指导和协调全区做好营以下转业干部的安置工作；会同有关部门共同负责全区干部统计和干部信息工作；负责办理干部因公出国（境）政审和备案手续；配合其它科室做好综合协调工作；完成领导交办的其他工作任务；做好干部考核调配、青干培养方面信息宣传工作;配合其它科室做好综合协调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（六）干部教育监督室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研究和提出贯彻执行中央有关干部教育工作方针政策的意见和措施，制订并组织实施全区干部教育培训规划；对全区干部教育培训工作进行协调、指导、检查；组织区委管理的干部和一定层次中青年部的培训；指导全区干部培训基地、师资队伍建设和教材编写工作；组织和指导全区干部教育理论研究；承担中共信阳市浉河区委干部教育工作领导小组办公室的日常工作；负责全中共河南省信阳市浉河区委组织部门干部监督工作的综合协调和宏观指导，研究和提出贯彻执行上级有关干部监督工作方针、政策的意见措施和制度规定；对全区党政领导干部和干部选拔任用工作进行监督；受理对选拔任用干部不正之风的举报，督办或直接办理严重违反干部选拔任用工作规定和组织人事纪律的案件；负责对组织人事纪律的执行情况进行监督检查；承担本部与有关执纪执法部门的联系；承担全区市委管理干部的个人事项报告工作；负责审理区委管理的干部和部分老同志的党籍、党龄、参加工作时间及其他历史遗留问题；做好干部教育监督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（七）人才室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贯彻落实党的人才和知识分子工作方针、政策；对全区人才和知识分子工作进行协调、指导、检查；组织研究制定或参与制定全区人才和知识分子工作的重要政策、规定；负责组织选拔、管理市级拔尖人才和区级拔尖人才并组织开展活动；负责全区省管优秀专家的推荐、选拔和管理工作；协同区人力资源和社会保障部门做好享受国务院特殊津贴人员的推荐、选拔和管理工作；协同区人力资源和社会保障部门做好区直单位招才引智工作；协同区工信局做好科技特派员的选拔、管理工作；承担区委人才工作委员会办公室的日常工作；做好人才队伍建设方面信息宣传工作。</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（八）研究室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负责调查全区领导班子和干部队伍建设、基层党组织和党员队伍建设、人才队伍建设情况，研究相关政策，起草有关规定、意见；负责组工信息工作，指导全区组工干部开展调查研究；承担部重要会议和部领导交办的有关文稿的起草工作。</w:t>
      </w:r>
    </w:p>
    <w:p>
      <w:pPr>
        <w:ind w:firstLine="627" w:firstLineChars="196"/>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挂牌单位有</w:t>
      </w:r>
      <w:r>
        <w:rPr>
          <w:rFonts w:hint="eastAsia" w:ascii="仿宋_GB2312" w:hAnsi="宋体" w:eastAsia="仿宋_GB2312"/>
          <w:sz w:val="32"/>
          <w:szCs w:val="32"/>
          <w:lang w:val="en-US" w:eastAsia="zh-CN"/>
        </w:rPr>
        <w:t>:</w:t>
      </w:r>
    </w:p>
    <w:p>
      <w:pPr>
        <w:ind w:firstLine="630" w:firstLineChars="196"/>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中共信阳市浉河区委直属机关工作委员会</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中共河南省信阳市浉河区委组织部挂中共信阳市浉河区委直属机关工作委员会牌子。</w:t>
      </w:r>
    </w:p>
    <w:p>
      <w:pPr>
        <w:ind w:firstLine="630" w:firstLineChars="196"/>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中共信阳市浉河区委人才工作委员会办公室</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中共信阳市浉河区委人才工作委员会办公室设在中共河南省信阳市浉河区委组织部，挂中共信阳市浉河区委人才工作委员会办公室牌子。</w:t>
      </w:r>
    </w:p>
    <w:p>
      <w:pPr>
        <w:ind w:firstLine="630" w:firstLineChars="196"/>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信阳市浉河区公务员局</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将信阳市浉河区人力资源和社会保障局的公务员管理职责划入中共河南省信阳市浉河区委组织部，中共河南省信阳市浉河区委组织部挂信阳市浉河区公务员局牌子。</w:t>
      </w:r>
    </w:p>
    <w:p>
      <w:pPr>
        <w:rPr>
          <w:rFonts w:ascii="仿宋" w:hAnsi="仿宋" w:eastAsia="仿宋"/>
          <w:sz w:val="32"/>
          <w:szCs w:val="32"/>
        </w:rPr>
      </w:pPr>
      <w:r>
        <w:rPr>
          <w:rFonts w:hint="eastAsia" w:ascii="仿宋" w:hAnsi="仿宋" w:eastAsia="仿宋"/>
          <w:sz w:val="32"/>
          <w:szCs w:val="32"/>
        </w:rPr>
        <w:t>（二）人员编制基本情况：</w:t>
      </w:r>
    </w:p>
    <w:p>
      <w:pPr>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lang w:eastAsia="zh-CN"/>
        </w:rPr>
        <w:t>核定中共河南省信阳市浉河区委组织部机关行政编制17名（含单列编制1名、工勤编制1名）。设部长1名，由区委领导同志兼任；暂核定副部长4名（不含兼职），其中1名分管日常工作，为正科级，1名兼任区委直属机关工作委员会书记，1名兼任区委人才工作委员会办公室主任；部务委员（副科级）4名；干部教育监督室主任（副科级）1名。</w:t>
      </w:r>
    </w:p>
    <w:p>
      <w:pPr>
        <w:spacing w:line="360" w:lineRule="auto"/>
        <w:ind w:firstLine="643" w:firstLineChars="20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黑体"/>
          <w:sz w:val="32"/>
          <w:szCs w:val="32"/>
          <w:lang w:eastAsia="zh-CN"/>
        </w:rPr>
        <w:t>中共河南省信阳市浉河区委组织部</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年度部门预算编制范围的单位包括：</w:t>
      </w:r>
    </w:p>
    <w:p>
      <w:pPr>
        <w:numPr>
          <w:ilvl w:val="0"/>
          <w:numId w:val="0"/>
        </w:numPr>
        <w:spacing w:line="360" w:lineRule="auto"/>
        <w:ind w:firstLine="640" w:firstLineChars="200"/>
        <w:jc w:val="left"/>
        <w:rPr>
          <w:rFonts w:hint="eastAsia" w:ascii="仿宋" w:hAnsi="仿宋" w:eastAsia="仿宋" w:cs="黑体"/>
          <w:sz w:val="32"/>
          <w:szCs w:val="32"/>
          <w:lang w:eastAsia="zh-CN"/>
        </w:rPr>
      </w:pPr>
      <w:r>
        <w:rPr>
          <w:rFonts w:hint="eastAsia" w:ascii="仿宋" w:hAnsi="仿宋" w:eastAsia="仿宋" w:cs="黑体"/>
          <w:sz w:val="32"/>
          <w:szCs w:val="32"/>
          <w:lang w:val="en-US" w:eastAsia="zh-CN"/>
        </w:rPr>
        <w:t>1、中共河南省信阳市浉河区委组织部</w:t>
      </w:r>
      <w:r>
        <w:rPr>
          <w:rFonts w:hint="eastAsia" w:ascii="仿宋" w:hAnsi="仿宋" w:eastAsia="仿宋" w:cs="黑体"/>
          <w:sz w:val="32"/>
          <w:szCs w:val="32"/>
          <w:lang w:eastAsia="zh-CN"/>
        </w:rPr>
        <w:t>机关</w:t>
      </w:r>
    </w:p>
    <w:p>
      <w:pPr>
        <w:numPr>
          <w:ilvl w:val="0"/>
          <w:numId w:val="0"/>
        </w:numPr>
        <w:spacing w:line="360" w:lineRule="auto"/>
        <w:ind w:firstLine="640" w:firstLineChars="200"/>
        <w:jc w:val="left"/>
        <w:rPr>
          <w:rFonts w:hint="eastAsia" w:ascii="仿宋" w:hAnsi="仿宋" w:eastAsia="仿宋" w:cs="黑体"/>
          <w:sz w:val="32"/>
          <w:szCs w:val="32"/>
          <w:lang w:eastAsia="zh-CN"/>
        </w:rPr>
      </w:pPr>
      <w:r>
        <w:rPr>
          <w:rFonts w:hint="eastAsia" w:ascii="仿宋" w:hAnsi="仿宋" w:eastAsia="仿宋" w:cs="黑体"/>
          <w:sz w:val="32"/>
          <w:szCs w:val="32"/>
          <w:lang w:val="en-US" w:eastAsia="zh-CN"/>
        </w:rPr>
        <w:t>2、</w:t>
      </w:r>
      <w:r>
        <w:rPr>
          <w:rFonts w:hint="eastAsia" w:ascii="仿宋" w:hAnsi="仿宋" w:eastAsia="仿宋" w:cs="黑体"/>
          <w:sz w:val="32"/>
          <w:szCs w:val="32"/>
          <w:lang w:eastAsia="zh-CN"/>
        </w:rPr>
        <w:t>浉河区党员电化教育信息中心</w:t>
      </w:r>
    </w:p>
    <w:p>
      <w:pPr>
        <w:numPr>
          <w:ilvl w:val="0"/>
          <w:numId w:val="0"/>
        </w:numPr>
        <w:spacing w:line="360" w:lineRule="auto"/>
        <w:ind w:firstLine="640" w:firstLineChars="200"/>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3、中共信阳市浉河区委选派机关优秀干部到村任第一书记工作领导小组办公室</w:t>
      </w:r>
    </w:p>
    <w:p>
      <w:pPr>
        <w:numPr>
          <w:ilvl w:val="0"/>
          <w:numId w:val="0"/>
        </w:numPr>
        <w:spacing w:line="360" w:lineRule="auto"/>
        <w:ind w:firstLine="640" w:firstLineChars="200"/>
        <w:jc w:val="left"/>
        <w:rPr>
          <w:rFonts w:hint="eastAsia" w:ascii="仿宋" w:hAnsi="仿宋" w:eastAsia="仿宋" w:cs="黑体"/>
          <w:sz w:val="32"/>
          <w:szCs w:val="32"/>
          <w:lang w:eastAsia="zh-CN"/>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中共河南省信阳市浉河区委组织部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6"/>
          <w:szCs w:val="36"/>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w:t>
      </w:r>
      <w:r>
        <w:rPr>
          <w:rFonts w:hint="eastAsia" w:ascii="仿宋" w:hAnsi="仿宋" w:eastAsia="仿宋" w:cs="Courier New"/>
          <w:sz w:val="32"/>
          <w:szCs w:val="32"/>
          <w:lang w:val="en-US" w:eastAsia="zh-CN"/>
        </w:rPr>
        <w:t>计3355.6万元，支出总计3355.6万元，与2019年相比，收入增加3003万元，支出增加3003万元</w:t>
      </w:r>
      <w:r>
        <w:rPr>
          <w:rFonts w:hint="eastAsia" w:ascii="仿宋" w:hAnsi="仿宋" w:eastAsia="仿宋" w:cs="宋体"/>
          <w:sz w:val="32"/>
          <w:szCs w:val="32"/>
        </w:rPr>
        <w:t>。</w:t>
      </w:r>
      <w:r>
        <w:rPr>
          <w:rFonts w:hint="eastAsia" w:ascii="仿宋" w:hAnsi="仿宋" w:eastAsia="仿宋" w:cs="Courier New"/>
          <w:sz w:val="32"/>
          <w:szCs w:val="32"/>
        </w:rPr>
        <w:t>因</w:t>
      </w:r>
      <w:r>
        <w:rPr>
          <w:rFonts w:hint="eastAsia" w:ascii="仿宋" w:hAnsi="仿宋" w:eastAsia="仿宋" w:cs="Courier New"/>
          <w:sz w:val="32"/>
          <w:szCs w:val="32"/>
          <w:lang w:eastAsia="zh-CN"/>
        </w:rPr>
        <w:t>机构改革，机关运行费中人员经费增加，“五险一金”缴费基数上调。机关运行费增加了全区第一书记扶贫经费和所以乡镇发展壮大集体经济经费</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二、关于收入预算情况说明</w:t>
      </w:r>
    </w:p>
    <w:p>
      <w:pPr>
        <w:adjustRightInd w:val="0"/>
        <w:snapToGrid w:val="0"/>
        <w:spacing w:line="360" w:lineRule="auto"/>
        <w:ind w:firstLine="640" w:firstLineChars="200"/>
        <w:rPr>
          <w:rFonts w:hint="eastAsia" w:ascii="仿宋" w:hAnsi="仿宋" w:eastAsia="仿宋"/>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年度收入合计</w:t>
      </w:r>
      <w:r>
        <w:rPr>
          <w:rFonts w:hint="eastAsia" w:ascii="仿宋" w:hAnsi="仿宋" w:eastAsia="仿宋" w:cs="宋体"/>
          <w:sz w:val="32"/>
          <w:szCs w:val="32"/>
          <w:lang w:val="en-US" w:eastAsia="zh-CN"/>
        </w:rPr>
        <w:t>3355.6</w:t>
      </w:r>
      <w:r>
        <w:rPr>
          <w:rFonts w:hint="eastAsia" w:ascii="仿宋" w:hAnsi="仿宋" w:eastAsia="仿宋" w:cs="宋体"/>
          <w:sz w:val="32"/>
          <w:szCs w:val="32"/>
        </w:rPr>
        <w:t>万元，其中：</w:t>
      </w:r>
      <w:r>
        <w:rPr>
          <w:rFonts w:hint="eastAsia" w:ascii="仿宋" w:hAnsi="仿宋" w:eastAsia="仿宋" w:cs="宋体"/>
          <w:sz w:val="32"/>
          <w:szCs w:val="32"/>
          <w:lang w:val="en-US" w:eastAsia="zh-CN"/>
        </w:rPr>
        <w:t>本年</w:t>
      </w:r>
      <w:r>
        <w:rPr>
          <w:rFonts w:hint="eastAsia" w:ascii="仿宋" w:hAnsi="仿宋" w:eastAsia="仿宋" w:cs="宋体"/>
          <w:sz w:val="32"/>
          <w:szCs w:val="32"/>
        </w:rPr>
        <w:t>财政拨款收入</w:t>
      </w:r>
      <w:r>
        <w:rPr>
          <w:rFonts w:hint="eastAsia" w:ascii="仿宋" w:hAnsi="仿宋" w:eastAsia="仿宋" w:cs="Courier New"/>
          <w:sz w:val="32"/>
          <w:szCs w:val="32"/>
          <w:lang w:val="en-US" w:eastAsia="zh-CN"/>
        </w:rPr>
        <w:t>3183.7</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w:t>
      </w:r>
      <w:r>
        <w:rPr>
          <w:rFonts w:hint="eastAsia" w:ascii="仿宋" w:hAnsi="仿宋" w:eastAsia="仿宋" w:cs="宋体"/>
          <w:sz w:val="32"/>
          <w:szCs w:val="32"/>
          <w:lang w:val="en-US" w:eastAsia="zh-CN"/>
        </w:rPr>
        <w:t>上年结转</w:t>
      </w:r>
      <w:r>
        <w:rPr>
          <w:rFonts w:hint="eastAsia" w:ascii="仿宋" w:hAnsi="仿宋" w:eastAsia="仿宋" w:cs="宋体"/>
          <w:sz w:val="32"/>
          <w:szCs w:val="32"/>
        </w:rPr>
        <w:t>收入</w:t>
      </w:r>
      <w:r>
        <w:rPr>
          <w:rFonts w:hint="eastAsia" w:ascii="仿宋" w:hAnsi="仿宋" w:eastAsia="仿宋" w:cs="宋体"/>
          <w:sz w:val="32"/>
          <w:szCs w:val="32"/>
          <w:lang w:val="en-US" w:eastAsia="zh-CN"/>
        </w:rPr>
        <w:t>171.9</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年度支出</w:t>
      </w:r>
      <w:r>
        <w:rPr>
          <w:rFonts w:hint="eastAsia" w:ascii="仿宋" w:hAnsi="仿宋" w:eastAsia="仿宋" w:cs="Courier New"/>
          <w:sz w:val="32"/>
          <w:szCs w:val="32"/>
          <w:lang w:val="en-US" w:eastAsia="zh-CN"/>
        </w:rPr>
        <w:t>合计3183.7万元，其中：基本支出360.3 万元，</w:t>
      </w:r>
      <w:r>
        <w:rPr>
          <w:rFonts w:hint="eastAsia" w:ascii="仿宋" w:hAnsi="仿宋" w:eastAsia="仿宋" w:cs="宋体"/>
          <w:sz w:val="32"/>
          <w:szCs w:val="32"/>
        </w:rPr>
        <w:t>占</w:t>
      </w:r>
      <w:r>
        <w:rPr>
          <w:rFonts w:hint="eastAsia" w:ascii="仿宋" w:hAnsi="仿宋" w:eastAsia="仿宋" w:cs="宋体"/>
          <w:sz w:val="32"/>
          <w:szCs w:val="32"/>
          <w:lang w:val="en-US" w:eastAsia="zh-CN"/>
        </w:rPr>
        <w:t>11.32</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2823.4</w:t>
      </w:r>
      <w:r>
        <w:rPr>
          <w:rFonts w:hint="eastAsia" w:ascii="仿宋" w:hAnsi="仿宋" w:eastAsia="仿宋" w:cs="宋体"/>
          <w:sz w:val="32"/>
          <w:szCs w:val="32"/>
        </w:rPr>
        <w:t>万元，占</w:t>
      </w:r>
      <w:r>
        <w:rPr>
          <w:rFonts w:hint="eastAsia" w:ascii="仿宋" w:hAnsi="仿宋" w:eastAsia="仿宋" w:cs="宋体"/>
          <w:sz w:val="32"/>
          <w:szCs w:val="32"/>
          <w:lang w:val="en-US" w:eastAsia="zh-CN"/>
        </w:rPr>
        <w:t>88.68</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年财政拨款收支总</w:t>
      </w:r>
      <w:r>
        <w:rPr>
          <w:rFonts w:hint="eastAsia" w:ascii="仿宋" w:hAnsi="仿宋" w:eastAsia="仿宋"/>
          <w:sz w:val="32"/>
          <w:szCs w:val="32"/>
        </w:rPr>
        <w:t>预算</w:t>
      </w:r>
      <w:r>
        <w:rPr>
          <w:rFonts w:hint="eastAsia" w:ascii="仿宋" w:hAnsi="仿宋" w:eastAsia="仿宋" w:cs="Courier New"/>
          <w:sz w:val="32"/>
          <w:szCs w:val="32"/>
          <w:lang w:val="en-US" w:eastAsia="zh-CN"/>
        </w:rPr>
        <w:t>3183.7</w:t>
      </w:r>
      <w:r>
        <w:rPr>
          <w:rFonts w:hint="eastAsia" w:ascii="仿宋" w:hAnsi="仿宋" w:eastAsia="仿宋"/>
          <w:sz w:val="32"/>
          <w:szCs w:val="32"/>
        </w:rPr>
        <w:t>万元。与201</w:t>
      </w:r>
      <w:r>
        <w:rPr>
          <w:rFonts w:hint="eastAsia" w:ascii="仿宋" w:hAnsi="仿宋" w:eastAsia="仿宋"/>
          <w:sz w:val="32"/>
          <w:szCs w:val="32"/>
          <w:lang w:val="en-US" w:eastAsia="zh-CN"/>
        </w:rPr>
        <w:t>9</w:t>
      </w:r>
      <w:r>
        <w:rPr>
          <w:rFonts w:hint="eastAsia" w:ascii="仿宋" w:hAnsi="仿宋" w:eastAsia="仿宋"/>
          <w:sz w:val="32"/>
          <w:szCs w:val="32"/>
        </w:rPr>
        <w:t>年相比，财政拨款收、支总计</w:t>
      </w:r>
      <w:r>
        <w:rPr>
          <w:rFonts w:hint="eastAsia" w:ascii="仿宋" w:hAnsi="仿宋" w:eastAsia="仿宋"/>
          <w:sz w:val="32"/>
          <w:szCs w:val="32"/>
          <w:lang w:eastAsia="zh-CN"/>
        </w:rPr>
        <w:t>增加</w:t>
      </w:r>
      <w:r>
        <w:rPr>
          <w:rFonts w:hint="eastAsia" w:ascii="仿宋" w:hAnsi="仿宋" w:eastAsia="仿宋"/>
          <w:sz w:val="32"/>
          <w:szCs w:val="32"/>
          <w:lang w:val="en-US" w:eastAsia="zh-CN"/>
        </w:rPr>
        <w:t>2831.1</w:t>
      </w:r>
      <w:r>
        <w:rPr>
          <w:rFonts w:hint="eastAsia" w:ascii="仿宋" w:hAnsi="仿宋" w:eastAsia="仿宋"/>
          <w:sz w:val="32"/>
          <w:szCs w:val="32"/>
        </w:rPr>
        <w:t>万元。因为</w:t>
      </w:r>
      <w:r>
        <w:rPr>
          <w:rFonts w:hint="eastAsia" w:ascii="仿宋" w:hAnsi="仿宋" w:eastAsia="仿宋"/>
          <w:sz w:val="32"/>
          <w:szCs w:val="32"/>
          <w:lang w:eastAsia="zh-CN"/>
        </w:rPr>
        <w:t>机构改革，机</w:t>
      </w:r>
      <w:r>
        <w:rPr>
          <w:rFonts w:hint="eastAsia" w:ascii="仿宋" w:hAnsi="仿宋" w:eastAsia="仿宋" w:cs="Courier New"/>
          <w:sz w:val="32"/>
          <w:szCs w:val="32"/>
          <w:lang w:eastAsia="zh-CN"/>
        </w:rPr>
        <w:t>关运行费中人员经费增加，“五险一金”缴费基数上调。机关运行费增加了第一书记扶贫经费和发展壮大集体经济经费</w:t>
      </w:r>
      <w:r>
        <w:rPr>
          <w:rFonts w:hint="eastAsia" w:ascii="仿宋" w:hAnsi="仿宋" w:eastAsia="仿宋" w:cs="宋体"/>
          <w:sz w:val="32"/>
          <w:szCs w:val="32"/>
        </w:rPr>
        <w:t>。</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一般公共预算支出预算情况说明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宋体"/>
          <w:bCs/>
          <w:color w:val="000000"/>
          <w:kern w:val="0"/>
          <w:sz w:val="32"/>
          <w:szCs w:val="32"/>
          <w:lang w:eastAsia="zh-CN"/>
        </w:rPr>
        <w:t>一般公共预算支出</w:t>
      </w:r>
      <w:r>
        <w:rPr>
          <w:rFonts w:hint="eastAsia" w:ascii="仿宋" w:hAnsi="仿宋" w:eastAsia="仿宋" w:cs="Courier New"/>
          <w:sz w:val="32"/>
          <w:szCs w:val="32"/>
          <w:lang w:val="en-US" w:eastAsia="zh-CN"/>
        </w:rPr>
        <w:t>3183.7</w:t>
      </w:r>
      <w:r>
        <w:rPr>
          <w:rFonts w:hint="eastAsia" w:ascii="仿宋" w:hAnsi="仿宋" w:eastAsia="仿宋" w:cs="Courier New"/>
          <w:sz w:val="32"/>
          <w:szCs w:val="32"/>
          <w:lang w:eastAsia="zh-CN"/>
        </w:rPr>
        <w:t>万元，</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lang w:val="en-US" w:eastAsia="zh-CN"/>
        </w:rPr>
        <w:t>9</w:t>
      </w:r>
      <w:r>
        <w:rPr>
          <w:rFonts w:hint="eastAsia" w:ascii="仿宋" w:hAnsi="仿宋" w:eastAsia="仿宋" w:cs="宋体"/>
          <w:bCs/>
          <w:sz w:val="32"/>
          <w:szCs w:val="32"/>
        </w:rPr>
        <w:t>年相比，</w:t>
      </w:r>
      <w:r>
        <w:rPr>
          <w:rFonts w:hint="eastAsia" w:ascii="仿宋" w:hAnsi="仿宋" w:eastAsia="仿宋" w:cs="宋体"/>
          <w:bCs/>
          <w:sz w:val="32"/>
          <w:szCs w:val="32"/>
          <w:lang w:eastAsia="zh-CN"/>
        </w:rPr>
        <w:t>增加</w:t>
      </w:r>
      <w:r>
        <w:rPr>
          <w:rFonts w:hint="eastAsia" w:ascii="仿宋" w:hAnsi="仿宋" w:eastAsia="仿宋" w:cs="宋体"/>
          <w:bCs/>
          <w:sz w:val="32"/>
          <w:szCs w:val="32"/>
          <w:lang w:val="en-US" w:eastAsia="zh-CN"/>
        </w:rPr>
        <w:t>2831.1</w:t>
      </w:r>
      <w:r>
        <w:rPr>
          <w:rFonts w:hint="eastAsia" w:ascii="仿宋" w:hAnsi="仿宋" w:eastAsia="仿宋" w:cs="宋体"/>
          <w:sz w:val="32"/>
          <w:szCs w:val="32"/>
        </w:rPr>
        <w:t>万元。</w:t>
      </w:r>
      <w:r>
        <w:rPr>
          <w:rFonts w:hint="eastAsia" w:ascii="仿宋" w:hAnsi="仿宋" w:eastAsia="仿宋" w:cs="Courier New"/>
          <w:sz w:val="32"/>
          <w:szCs w:val="32"/>
        </w:rPr>
        <w:t>因</w:t>
      </w:r>
      <w:r>
        <w:rPr>
          <w:rFonts w:hint="eastAsia" w:ascii="仿宋" w:hAnsi="仿宋" w:eastAsia="仿宋" w:cs="Courier New"/>
          <w:sz w:val="32"/>
          <w:szCs w:val="32"/>
          <w:lang w:eastAsia="zh-CN"/>
        </w:rPr>
        <w:t>机构改革，机关运行费中人员经费增加，“五险一金”缴费基数上调。机关运行费增加了全区第一书记扶贫经费和所以乡镇发展壮大集体经济经费</w:t>
      </w:r>
      <w:r>
        <w:rPr>
          <w:rFonts w:hint="eastAsia" w:ascii="仿宋" w:hAnsi="仿宋" w:eastAsia="仿宋" w:cs="宋体"/>
          <w:sz w:val="32"/>
          <w:szCs w:val="32"/>
        </w:rPr>
        <w:t>。</w:t>
      </w:r>
      <w:r>
        <w:rPr>
          <w:rFonts w:hint="eastAsia" w:ascii="仿宋" w:hAnsi="仿宋" w:eastAsia="仿宋" w:cs="Courier New"/>
          <w:sz w:val="32"/>
          <w:szCs w:val="32"/>
          <w:lang w:val="en-US" w:eastAsia="zh-CN"/>
        </w:rPr>
        <w:t>其中：基本支出360.3 万元，</w:t>
      </w:r>
      <w:r>
        <w:rPr>
          <w:rFonts w:hint="eastAsia" w:ascii="仿宋" w:hAnsi="仿宋" w:eastAsia="仿宋" w:cs="宋体"/>
          <w:sz w:val="32"/>
          <w:szCs w:val="32"/>
        </w:rPr>
        <w:t>占</w:t>
      </w:r>
      <w:r>
        <w:rPr>
          <w:rFonts w:hint="eastAsia" w:ascii="仿宋" w:hAnsi="仿宋" w:eastAsia="仿宋" w:cs="宋体"/>
          <w:sz w:val="32"/>
          <w:szCs w:val="32"/>
          <w:lang w:val="en-US" w:eastAsia="zh-CN"/>
        </w:rPr>
        <w:t>11.32</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2823.4</w:t>
      </w:r>
      <w:r>
        <w:rPr>
          <w:rFonts w:hint="eastAsia" w:ascii="仿宋" w:hAnsi="仿宋" w:eastAsia="仿宋" w:cs="宋体"/>
          <w:sz w:val="32"/>
          <w:szCs w:val="32"/>
        </w:rPr>
        <w:t>万元，占</w:t>
      </w:r>
      <w:r>
        <w:rPr>
          <w:rFonts w:hint="eastAsia" w:ascii="仿宋" w:hAnsi="仿宋" w:eastAsia="仿宋" w:cs="宋体"/>
          <w:sz w:val="32"/>
          <w:szCs w:val="32"/>
          <w:lang w:val="en-US" w:eastAsia="zh-CN"/>
        </w:rPr>
        <w:t>88.68</w:t>
      </w:r>
      <w:r>
        <w:rPr>
          <w:rFonts w:ascii="仿宋" w:hAnsi="仿宋" w:eastAsia="仿宋" w:cs="Courier New"/>
          <w:sz w:val="32"/>
          <w:szCs w:val="32"/>
        </w:rPr>
        <w:t>%</w:t>
      </w:r>
      <w:r>
        <w:rPr>
          <w:rFonts w:hint="eastAsia" w:ascii="仿宋" w:hAnsi="仿宋" w:eastAsia="仿宋" w:cs="Courier New"/>
          <w:sz w:val="32"/>
          <w:szCs w:val="32"/>
          <w:lang w:eastAsia="zh-CN"/>
        </w:rPr>
        <w:t>。</w:t>
      </w:r>
    </w:p>
    <w:p>
      <w:pPr>
        <w:numPr>
          <w:ilvl w:val="0"/>
          <w:numId w:val="3"/>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adjustRightInd w:val="0"/>
        <w:snapToGrid w:val="0"/>
        <w:spacing w:line="360" w:lineRule="auto"/>
        <w:ind w:firstLine="640" w:firstLineChars="200"/>
        <w:rPr>
          <w:rFonts w:hint="eastAsia" w:ascii="仿宋" w:hAnsi="仿宋" w:eastAsia="仿宋" w:cs="宋体"/>
          <w:bCs/>
          <w:color w:val="000000"/>
          <w:kern w:val="0"/>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宋体"/>
          <w:sz w:val="32"/>
          <w:szCs w:val="32"/>
          <w:lang w:val="en-US" w:eastAsia="zh-CN"/>
        </w:rPr>
        <w:t>一般公共预算基本支出</w:t>
      </w:r>
      <w:r>
        <w:rPr>
          <w:rFonts w:hint="eastAsia" w:ascii="仿宋" w:hAnsi="仿宋" w:eastAsia="仿宋" w:cs="Courier New"/>
          <w:sz w:val="32"/>
          <w:szCs w:val="32"/>
          <w:lang w:val="en-US" w:eastAsia="zh-CN"/>
        </w:rPr>
        <w:t>360.3万</w:t>
      </w:r>
      <w:r>
        <w:rPr>
          <w:rFonts w:hint="eastAsia" w:ascii="仿宋" w:hAnsi="仿宋" w:eastAsia="仿宋" w:cs="宋体"/>
          <w:sz w:val="32"/>
          <w:szCs w:val="32"/>
        </w:rPr>
        <w:t>元，主要用于以下方</w:t>
      </w:r>
      <w:r>
        <w:rPr>
          <w:rFonts w:hint="eastAsia" w:ascii="仿宋" w:hAnsi="仿宋" w:eastAsia="仿宋" w:cs="宋体"/>
          <w:bCs/>
          <w:color w:val="000000"/>
          <w:kern w:val="0"/>
          <w:sz w:val="32"/>
          <w:szCs w:val="32"/>
          <w:lang w:eastAsia="zh-CN"/>
        </w:rPr>
        <w:t>面：人员经费</w:t>
      </w:r>
      <w:r>
        <w:rPr>
          <w:rFonts w:hint="eastAsia" w:ascii="仿宋" w:hAnsi="仿宋" w:eastAsia="仿宋" w:cs="宋体"/>
          <w:bCs/>
          <w:color w:val="000000"/>
          <w:kern w:val="0"/>
          <w:sz w:val="32"/>
          <w:szCs w:val="32"/>
          <w:lang w:val="en-US" w:eastAsia="zh-CN"/>
        </w:rPr>
        <w:t>335.6</w:t>
      </w:r>
      <w:r>
        <w:rPr>
          <w:rFonts w:hint="eastAsia" w:ascii="仿宋" w:hAnsi="仿宋" w:eastAsia="仿宋" w:cs="宋体"/>
          <w:bCs/>
          <w:color w:val="000000"/>
          <w:kern w:val="0"/>
          <w:sz w:val="32"/>
          <w:szCs w:val="32"/>
          <w:lang w:eastAsia="zh-CN"/>
        </w:rPr>
        <w:t>万元，主要包括：基本工资、津贴补贴、奖金、社会保障缴费、伙食补助费、绩效工资、其他工资福利支出。商品和服务支出</w:t>
      </w:r>
      <w:r>
        <w:rPr>
          <w:rFonts w:hint="eastAsia" w:ascii="仿宋" w:hAnsi="仿宋" w:eastAsia="仿宋" w:cs="宋体"/>
          <w:bCs/>
          <w:color w:val="000000"/>
          <w:kern w:val="0"/>
          <w:sz w:val="32"/>
          <w:szCs w:val="32"/>
          <w:lang w:val="en-US" w:eastAsia="zh-CN"/>
        </w:rPr>
        <w:t>24</w:t>
      </w:r>
      <w:r>
        <w:rPr>
          <w:rFonts w:hint="eastAsia" w:ascii="仿宋" w:hAnsi="仿宋" w:eastAsia="仿宋" w:cs="宋体"/>
          <w:sz w:val="32"/>
          <w:szCs w:val="32"/>
          <w:lang w:val="en-US" w:eastAsia="zh-CN"/>
        </w:rPr>
        <w:t>.7</w:t>
      </w:r>
      <w:r>
        <w:rPr>
          <w:rFonts w:hint="eastAsia" w:ascii="仿宋" w:hAnsi="仿宋" w:eastAsia="仿宋" w:cs="宋体"/>
          <w:bCs/>
          <w:color w:val="000000"/>
          <w:kern w:val="0"/>
          <w:sz w:val="32"/>
          <w:szCs w:val="32"/>
          <w:lang w:eastAsia="zh-CN"/>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964" w:firstLineChars="300"/>
        <w:outlineLvl w:val="1"/>
        <w:rPr>
          <w:rFonts w:ascii="仿宋" w:hAnsi="仿宋" w:eastAsia="仿宋"/>
          <w:b/>
          <w:bCs/>
          <w:sz w:val="32"/>
          <w:szCs w:val="32"/>
        </w:rPr>
      </w:pPr>
      <w:r>
        <w:rPr>
          <w:rFonts w:hint="eastAsia" w:ascii="仿宋" w:hAnsi="仿宋" w:eastAsia="仿宋"/>
          <w:b/>
          <w:bCs/>
          <w:sz w:val="32"/>
          <w:szCs w:val="32"/>
        </w:rPr>
        <w:t>七、关于“三公”经费支出预算情况说明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宋体"/>
          <w:sz w:val="32"/>
          <w:szCs w:val="32"/>
          <w:lang w:val="en-US" w:eastAsia="zh-CN"/>
        </w:rPr>
        <w:t>10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r>
        <w:rPr>
          <w:rFonts w:hint="eastAsia" w:ascii="仿宋" w:hAnsi="仿宋" w:eastAsia="仿宋" w:cs="Courier New"/>
          <w:b/>
          <w:bCs/>
          <w:sz w:val="32"/>
          <w:szCs w:val="32"/>
        </w:rPr>
        <w:t>比去年</w:t>
      </w:r>
      <w:r>
        <w:rPr>
          <w:rFonts w:hint="eastAsia" w:ascii="仿宋" w:hAnsi="仿宋" w:eastAsia="仿宋" w:cs="Courier New"/>
          <w:b/>
          <w:bCs/>
          <w:sz w:val="32"/>
          <w:szCs w:val="32"/>
          <w:lang w:eastAsia="zh-CN"/>
        </w:rPr>
        <w:t>增加</w:t>
      </w:r>
      <w:r>
        <w:rPr>
          <w:rFonts w:hint="eastAsia" w:ascii="仿宋" w:hAnsi="仿宋" w:eastAsia="仿宋" w:cs="宋体"/>
          <w:sz w:val="32"/>
          <w:szCs w:val="32"/>
          <w:lang w:val="en-US" w:eastAsia="zh-CN"/>
        </w:rPr>
        <w:t>9.9</w:t>
      </w:r>
      <w:r>
        <w:rPr>
          <w:rFonts w:ascii="仿宋" w:hAnsi="仿宋" w:eastAsia="仿宋" w:cs="Courier New"/>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主要原因是：</w:t>
      </w:r>
      <w:r>
        <w:rPr>
          <w:rFonts w:hint="eastAsia" w:ascii="仿宋" w:hAnsi="仿宋" w:eastAsia="仿宋" w:cs="宋体"/>
          <w:sz w:val="32"/>
          <w:szCs w:val="32"/>
          <w:lang w:eastAsia="zh-CN"/>
        </w:rPr>
        <w:t>上级</w:t>
      </w:r>
      <w:r>
        <w:rPr>
          <w:rFonts w:hint="eastAsia" w:ascii="仿宋" w:hAnsi="仿宋" w:eastAsia="仿宋" w:cs="Courier New"/>
          <w:sz w:val="32"/>
          <w:szCs w:val="32"/>
          <w:lang w:eastAsia="zh-CN"/>
        </w:rPr>
        <w:t>干部考核及其它地市党建观摩交流活动涉及该项支出。</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r>
        <w:rPr>
          <w:rFonts w:hint="eastAsia" w:ascii="仿宋" w:hAnsi="仿宋" w:eastAsia="仿宋" w:cs="宋体"/>
          <w:sz w:val="32"/>
          <w:szCs w:val="32"/>
          <w:lang w:val="en-US" w:eastAsia="zh-CN"/>
        </w:rPr>
        <w:t>占100%，</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w:t>
      </w:r>
      <w:r>
        <w:rPr>
          <w:rFonts w:hint="eastAsia" w:ascii="仿宋" w:hAnsi="仿宋" w:eastAsia="仿宋"/>
          <w:sz w:val="32"/>
          <w:szCs w:val="32"/>
        </w:rPr>
        <w:t>出</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cs="宋体"/>
          <w:sz w:val="32"/>
          <w:szCs w:val="32"/>
        </w:rPr>
        <w:t>其中：主要用于</w:t>
      </w:r>
      <w:r>
        <w:rPr>
          <w:rFonts w:hint="eastAsia" w:ascii="仿宋" w:hAnsi="仿宋" w:eastAsia="仿宋" w:cs="宋体"/>
          <w:sz w:val="32"/>
          <w:szCs w:val="32"/>
          <w:lang w:eastAsia="zh-CN"/>
        </w:rPr>
        <w:t>中共河南省信阳市浉河区委组织部</w:t>
      </w:r>
      <w:r>
        <w:rPr>
          <w:rFonts w:hint="eastAsia" w:ascii="仿宋" w:hAnsi="仿宋" w:eastAsia="仿宋" w:cs="宋体"/>
          <w:sz w:val="32"/>
          <w:szCs w:val="32"/>
        </w:rPr>
        <w:t>日常的公务接待。</w:t>
      </w:r>
      <w:r>
        <w:rPr>
          <w:rFonts w:hint="eastAsia" w:ascii="仿宋" w:hAnsi="仿宋" w:eastAsia="仿宋" w:cs="Courier New"/>
          <w:b/>
          <w:bCs/>
          <w:sz w:val="32"/>
          <w:szCs w:val="32"/>
        </w:rPr>
        <w:t>比去年</w:t>
      </w:r>
      <w:r>
        <w:rPr>
          <w:rFonts w:hint="eastAsia" w:ascii="仿宋" w:hAnsi="仿宋" w:eastAsia="仿宋" w:cs="Courier New"/>
          <w:b/>
          <w:bCs/>
          <w:sz w:val="32"/>
          <w:szCs w:val="32"/>
          <w:lang w:eastAsia="zh-CN"/>
        </w:rPr>
        <w:t>增加</w:t>
      </w:r>
      <w:r>
        <w:rPr>
          <w:rFonts w:hint="eastAsia" w:ascii="仿宋" w:hAnsi="仿宋" w:eastAsia="仿宋" w:cs="宋体"/>
          <w:sz w:val="32"/>
          <w:szCs w:val="32"/>
          <w:lang w:val="en-US" w:eastAsia="zh-CN"/>
        </w:rPr>
        <w:t>9.9</w:t>
      </w:r>
      <w:r>
        <w:rPr>
          <w:rFonts w:ascii="仿宋" w:hAnsi="仿宋" w:eastAsia="仿宋" w:cs="Courier New"/>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主要原因是：</w:t>
      </w:r>
      <w:r>
        <w:rPr>
          <w:rFonts w:hint="eastAsia" w:ascii="仿宋" w:hAnsi="仿宋" w:eastAsia="仿宋" w:cs="宋体"/>
          <w:sz w:val="32"/>
          <w:szCs w:val="32"/>
          <w:lang w:eastAsia="zh-CN"/>
        </w:rPr>
        <w:t>上级</w:t>
      </w:r>
      <w:r>
        <w:rPr>
          <w:rFonts w:hint="eastAsia" w:ascii="仿宋" w:hAnsi="仿宋" w:eastAsia="仿宋" w:cs="Courier New"/>
          <w:sz w:val="32"/>
          <w:szCs w:val="32"/>
          <w:lang w:eastAsia="zh-CN"/>
        </w:rPr>
        <w:t>干部考核及其它地市党建观摩交流活动涉及该项支出。</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九</w:t>
      </w:r>
      <w:r>
        <w:rPr>
          <w:rFonts w:hint="eastAsia" w:ascii="仿宋" w:hAnsi="仿宋" w:eastAsia="仿宋"/>
          <w:b/>
          <w:bCs/>
          <w:sz w:val="32"/>
          <w:szCs w:val="32"/>
        </w:rPr>
        <w:t>、其他重要事项的情况说明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w:t>
      </w:r>
      <w:r>
        <w:rPr>
          <w:rFonts w:hint="eastAsia" w:ascii="仿宋" w:hAnsi="仿宋" w:eastAsia="仿宋" w:cs="宋体"/>
          <w:sz w:val="32"/>
          <w:szCs w:val="32"/>
        </w:rPr>
        <w:t>算支出</w:t>
      </w:r>
      <w:r>
        <w:rPr>
          <w:rFonts w:hint="eastAsia" w:ascii="仿宋" w:hAnsi="仿宋" w:eastAsia="仿宋" w:cs="宋体"/>
          <w:sz w:val="32"/>
          <w:szCs w:val="32"/>
          <w:lang w:val="en-US" w:eastAsia="zh-CN"/>
        </w:rPr>
        <w:t>930.1</w:t>
      </w:r>
      <w:r>
        <w:rPr>
          <w:rFonts w:hint="eastAsia" w:ascii="仿宋" w:hAnsi="仿宋" w:eastAsia="仿宋" w:cs="宋体"/>
          <w:sz w:val="32"/>
          <w:szCs w:val="32"/>
        </w:rPr>
        <w:t>万元，比201</w:t>
      </w:r>
      <w:r>
        <w:rPr>
          <w:rFonts w:hint="eastAsia" w:ascii="仿宋" w:hAnsi="仿宋" w:eastAsia="仿宋" w:cs="宋体"/>
          <w:sz w:val="32"/>
          <w:szCs w:val="32"/>
          <w:lang w:val="en-US" w:eastAsia="zh-CN"/>
        </w:rPr>
        <w:t>9</w:t>
      </w:r>
      <w:r>
        <w:rPr>
          <w:rFonts w:hint="eastAsia" w:ascii="仿宋" w:hAnsi="仿宋" w:eastAsia="仿宋" w:cs="宋体"/>
          <w:sz w:val="32"/>
          <w:szCs w:val="32"/>
        </w:rPr>
        <w:t>年</w:t>
      </w:r>
      <w:r>
        <w:rPr>
          <w:rFonts w:hint="eastAsia" w:ascii="仿宋" w:hAnsi="仿宋" w:eastAsia="仿宋" w:cs="宋体"/>
          <w:sz w:val="32"/>
          <w:szCs w:val="32"/>
          <w:lang w:eastAsia="zh-CN"/>
        </w:rPr>
        <w:t>增加</w:t>
      </w:r>
      <w:r>
        <w:rPr>
          <w:rFonts w:hint="eastAsia" w:ascii="仿宋" w:hAnsi="仿宋" w:eastAsia="仿宋" w:cs="宋体"/>
          <w:sz w:val="32"/>
          <w:szCs w:val="32"/>
          <w:lang w:val="en-US" w:eastAsia="zh-CN"/>
        </w:rPr>
        <w:t>768.1</w:t>
      </w:r>
      <w:r>
        <w:rPr>
          <w:rFonts w:hint="eastAsia" w:ascii="仿宋" w:hAnsi="仿宋" w:eastAsia="仿宋" w:cs="宋体"/>
          <w:sz w:val="32"/>
          <w:szCs w:val="32"/>
        </w:rPr>
        <w:t>万元。</w:t>
      </w:r>
      <w:r>
        <w:rPr>
          <w:rFonts w:hint="eastAsia" w:ascii="仿宋" w:hAnsi="仿宋" w:eastAsia="仿宋"/>
          <w:sz w:val="32"/>
          <w:szCs w:val="32"/>
        </w:rPr>
        <w:t>因</w:t>
      </w:r>
      <w:r>
        <w:rPr>
          <w:rFonts w:hint="eastAsia" w:ascii="仿宋" w:hAnsi="仿宋" w:eastAsia="仿宋"/>
          <w:sz w:val="32"/>
          <w:szCs w:val="32"/>
          <w:lang w:eastAsia="zh-CN"/>
        </w:rPr>
        <w:t>机构改革，机</w:t>
      </w:r>
      <w:r>
        <w:rPr>
          <w:rFonts w:hint="eastAsia" w:ascii="仿宋" w:hAnsi="仿宋" w:eastAsia="仿宋" w:cs="Courier New"/>
          <w:sz w:val="32"/>
          <w:szCs w:val="32"/>
          <w:lang w:eastAsia="zh-CN"/>
        </w:rPr>
        <w:t>关运行费中人员经费增加，“五险一金”缴费基数上调。机关运行费增加了第一书记扶贫经费和发展壮大集体经济经费</w:t>
      </w:r>
      <w:r>
        <w:rPr>
          <w:rFonts w:hint="eastAsia" w:ascii="仿宋" w:hAnsi="仿宋" w:eastAsia="仿宋" w:cs="宋体"/>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其中：政府采购货物预算0万元、政府采购工程预算0万元、政府采购服务预算0万元</w:t>
      </w:r>
      <w:r>
        <w:rPr>
          <w:rFonts w:hint="eastAsia" w:ascii="仿宋" w:hAnsi="仿宋" w:eastAsia="仿宋"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中共河南省信阳市浉河区委组织部没有保留公务用车，其中：一般公务用车0辆、一般执法执勤用车0辆、特种用途车0辆。单价50万元以上的通用设备0台（套），单位价值100万以上的专业设备0台（套）。　　</w:t>
      </w:r>
    </w:p>
    <w:p>
      <w:pPr>
        <w:numPr>
          <w:ilvl w:val="0"/>
          <w:numId w:val="6"/>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Courier New"/>
          <w:sz w:val="32"/>
          <w:szCs w:val="32"/>
          <w:lang w:eastAsia="zh-CN"/>
        </w:rPr>
      </w:pPr>
      <w:r>
        <w:rPr>
          <w:rFonts w:hint="eastAsia" w:ascii="仿宋" w:hAnsi="仿宋" w:eastAsia="仿宋" w:cs="Courier New"/>
          <w:sz w:val="32"/>
          <w:szCs w:val="32"/>
          <w:lang w:eastAsia="zh-CN"/>
        </w:rPr>
        <w:t>重点项目的预算绩效目标情况。</w:t>
      </w:r>
    </w:p>
    <w:p>
      <w:pPr>
        <w:widowControl w:val="0"/>
        <w:numPr>
          <w:ilvl w:val="0"/>
          <w:numId w:val="0"/>
        </w:numPr>
        <w:kinsoku w:val="0"/>
        <w:overflowPunct w:val="0"/>
        <w:autoSpaceDE w:val="0"/>
        <w:autoSpaceDN w:val="0"/>
        <w:adjustRightInd w:val="0"/>
        <w:snapToGrid w:val="0"/>
        <w:spacing w:line="360" w:lineRule="auto"/>
        <w:ind w:firstLine="640" w:firstLineChars="200"/>
        <w:jc w:val="both"/>
        <w:rPr>
          <w:rFonts w:hint="default" w:ascii="仿宋" w:hAnsi="仿宋" w:eastAsia="仿宋" w:cs="Courier New"/>
          <w:sz w:val="32"/>
          <w:szCs w:val="32"/>
          <w:lang w:val="en-US"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val="en-US" w:eastAsia="zh-CN"/>
        </w:rPr>
        <w:t>2020年中共河南省信阳市浉河区委组织部没有重点项目。</w:t>
      </w: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是指事业单位开展专业业务活动及辅助活动所取得的收入。如：刊物发行收入，</w:t>
      </w:r>
      <w:bookmarkStart w:id="1" w:name="_GoBack"/>
      <w:bookmarkEnd w:id="1"/>
      <w:r>
        <w:rPr>
          <w:rFonts w:hint="eastAsia" w:ascii="仿宋" w:hAnsi="仿宋" w:eastAsia="仿宋" w:cs="宋体"/>
          <w:sz w:val="32"/>
          <w:szCs w:val="32"/>
        </w:rPr>
        <w:t>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lang w:eastAsia="zh-CN"/>
        </w:rPr>
        <w:t>一般公共性服务支出</w:t>
      </w:r>
      <w:r>
        <w:rPr>
          <w:rFonts w:hint="eastAsia" w:ascii="仿宋" w:hAnsi="仿宋" w:eastAsia="仿宋" w:cs="宋体"/>
          <w:b/>
          <w:color w:val="000000"/>
          <w:kern w:val="0"/>
          <w:sz w:val="32"/>
          <w:szCs w:val="32"/>
        </w:rPr>
        <w:t>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lang w:eastAsia="zh-CN"/>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lang w:eastAsia="zh-CN"/>
        </w:rPr>
        <w:t>一般公共性服务支出</w:t>
      </w:r>
      <w:r>
        <w:rPr>
          <w:rFonts w:hint="eastAsia" w:ascii="仿宋" w:hAnsi="仿宋" w:eastAsia="仿宋" w:cs="宋体"/>
          <w:b/>
          <w:color w:val="000000"/>
          <w:kern w:val="0"/>
          <w:sz w:val="32"/>
          <w:szCs w:val="32"/>
        </w:rPr>
        <w:t>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lang w:eastAsia="zh-CN"/>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Courier New"/>
          <w:sz w:val="32"/>
          <w:szCs w:val="32"/>
        </w:rPr>
        <w:t>反应</w:t>
      </w:r>
      <w:r>
        <w:rPr>
          <w:rFonts w:hint="eastAsia" w:ascii="仿宋" w:hAnsi="仿宋" w:eastAsia="仿宋" w:cs="Courier New"/>
          <w:sz w:val="32"/>
          <w:szCs w:val="32"/>
          <w:lang w:eastAsia="zh-CN"/>
        </w:rPr>
        <w:t>行政（包括实行公务员管理的事业单位）</w:t>
      </w:r>
      <w:r>
        <w:rPr>
          <w:rFonts w:hint="eastAsia" w:ascii="仿宋" w:hAnsi="仿宋" w:eastAsia="仿宋" w:cs="Courier New"/>
          <w:sz w:val="32"/>
          <w:szCs w:val="32"/>
        </w:rPr>
        <w:t>的</w:t>
      </w:r>
      <w:r>
        <w:rPr>
          <w:rFonts w:hint="eastAsia" w:ascii="仿宋" w:hAnsi="仿宋" w:eastAsia="仿宋" w:cs="Courier New"/>
          <w:sz w:val="32"/>
          <w:szCs w:val="32"/>
          <w:lang w:eastAsia="zh-CN"/>
        </w:rPr>
        <w:t>基本</w:t>
      </w:r>
      <w:r>
        <w:rPr>
          <w:rFonts w:hint="eastAsia" w:ascii="仿宋" w:hAnsi="仿宋" w:eastAsia="仿宋" w:cs="Courier New"/>
          <w:sz w:val="32"/>
          <w:szCs w:val="32"/>
        </w:rPr>
        <w:t>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FF1B0"/>
    <w:multiLevelType w:val="singleLevel"/>
    <w:tmpl w:val="2B2FF1B0"/>
    <w:lvl w:ilvl="0" w:tentative="0">
      <w:start w:val="6"/>
      <w:numFmt w:val="chineseCounting"/>
      <w:suff w:val="nothing"/>
      <w:lvlText w:val="%1、"/>
      <w:lvlJc w:val="left"/>
      <w:rPr>
        <w:rFonts w:hint="eastAsia"/>
      </w:rPr>
    </w:lvl>
  </w:abstractNum>
  <w:abstractNum w:abstractNumId="1">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92801"/>
    <w:rsid w:val="000B1B09"/>
    <w:rsid w:val="000B1B9B"/>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9B79F6"/>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85DA6"/>
    <w:rsid w:val="00D9092F"/>
    <w:rsid w:val="00DB1C77"/>
    <w:rsid w:val="00DD5457"/>
    <w:rsid w:val="00E21B07"/>
    <w:rsid w:val="00E32E02"/>
    <w:rsid w:val="00E8190D"/>
    <w:rsid w:val="00E92067"/>
    <w:rsid w:val="00ED38A5"/>
    <w:rsid w:val="00ED44BB"/>
    <w:rsid w:val="00EE6AA4"/>
    <w:rsid w:val="00F92F65"/>
    <w:rsid w:val="00FB0B96"/>
    <w:rsid w:val="01A82EE8"/>
    <w:rsid w:val="01AC6A5B"/>
    <w:rsid w:val="01B24817"/>
    <w:rsid w:val="01F21A60"/>
    <w:rsid w:val="0207148A"/>
    <w:rsid w:val="026651AD"/>
    <w:rsid w:val="027033B1"/>
    <w:rsid w:val="02C167F3"/>
    <w:rsid w:val="02D04E2B"/>
    <w:rsid w:val="02E306DF"/>
    <w:rsid w:val="02F768B8"/>
    <w:rsid w:val="03240ECA"/>
    <w:rsid w:val="04155C23"/>
    <w:rsid w:val="04453648"/>
    <w:rsid w:val="047C37D2"/>
    <w:rsid w:val="054A57C4"/>
    <w:rsid w:val="055D4666"/>
    <w:rsid w:val="05843F4A"/>
    <w:rsid w:val="05A87501"/>
    <w:rsid w:val="063A0299"/>
    <w:rsid w:val="06C43875"/>
    <w:rsid w:val="06CC68F8"/>
    <w:rsid w:val="06DB4179"/>
    <w:rsid w:val="07084AF9"/>
    <w:rsid w:val="073A0FD4"/>
    <w:rsid w:val="075B7E36"/>
    <w:rsid w:val="07F31BEE"/>
    <w:rsid w:val="084D7413"/>
    <w:rsid w:val="08A93228"/>
    <w:rsid w:val="08EF024D"/>
    <w:rsid w:val="08FB3159"/>
    <w:rsid w:val="0946309A"/>
    <w:rsid w:val="096657AD"/>
    <w:rsid w:val="09A127A8"/>
    <w:rsid w:val="09AB256C"/>
    <w:rsid w:val="09BB2134"/>
    <w:rsid w:val="09BD470B"/>
    <w:rsid w:val="09E6463C"/>
    <w:rsid w:val="0AE60D9F"/>
    <w:rsid w:val="0BC02B5A"/>
    <w:rsid w:val="0C366EEC"/>
    <w:rsid w:val="0C4F500F"/>
    <w:rsid w:val="0C987A81"/>
    <w:rsid w:val="0CF1074B"/>
    <w:rsid w:val="0E0B4CB5"/>
    <w:rsid w:val="0EBC5572"/>
    <w:rsid w:val="0ED24763"/>
    <w:rsid w:val="0F02581D"/>
    <w:rsid w:val="0F0371CF"/>
    <w:rsid w:val="0F7F46AA"/>
    <w:rsid w:val="0FAB2FE6"/>
    <w:rsid w:val="0FEF0DE6"/>
    <w:rsid w:val="101A74C4"/>
    <w:rsid w:val="10C43949"/>
    <w:rsid w:val="111D0E11"/>
    <w:rsid w:val="113E646F"/>
    <w:rsid w:val="117A0571"/>
    <w:rsid w:val="11DB5287"/>
    <w:rsid w:val="11F42DC2"/>
    <w:rsid w:val="11F8367F"/>
    <w:rsid w:val="1215631E"/>
    <w:rsid w:val="129B149C"/>
    <w:rsid w:val="1306687E"/>
    <w:rsid w:val="133A0638"/>
    <w:rsid w:val="13C91F5A"/>
    <w:rsid w:val="13CE73C1"/>
    <w:rsid w:val="13F00A26"/>
    <w:rsid w:val="147E551D"/>
    <w:rsid w:val="14D2458E"/>
    <w:rsid w:val="14DE1F96"/>
    <w:rsid w:val="150B6848"/>
    <w:rsid w:val="15492582"/>
    <w:rsid w:val="154D2A40"/>
    <w:rsid w:val="16DA3CBF"/>
    <w:rsid w:val="17965762"/>
    <w:rsid w:val="17BE6092"/>
    <w:rsid w:val="17E220AA"/>
    <w:rsid w:val="17F73D7A"/>
    <w:rsid w:val="181A0C8E"/>
    <w:rsid w:val="1882314D"/>
    <w:rsid w:val="18A20697"/>
    <w:rsid w:val="18EC015E"/>
    <w:rsid w:val="19687D3D"/>
    <w:rsid w:val="196D4092"/>
    <w:rsid w:val="19D364BB"/>
    <w:rsid w:val="1A2F0EB9"/>
    <w:rsid w:val="1A624019"/>
    <w:rsid w:val="1BCB36A0"/>
    <w:rsid w:val="1C1F61CB"/>
    <w:rsid w:val="1C3B117F"/>
    <w:rsid w:val="1C4C607B"/>
    <w:rsid w:val="1C6E04F0"/>
    <w:rsid w:val="1C817E74"/>
    <w:rsid w:val="1C850848"/>
    <w:rsid w:val="1C970E94"/>
    <w:rsid w:val="1CE74925"/>
    <w:rsid w:val="1E2566FD"/>
    <w:rsid w:val="1E563B92"/>
    <w:rsid w:val="1E6A2FFB"/>
    <w:rsid w:val="1E7D3B34"/>
    <w:rsid w:val="20A445DA"/>
    <w:rsid w:val="20F5460F"/>
    <w:rsid w:val="21281A62"/>
    <w:rsid w:val="212E5315"/>
    <w:rsid w:val="21616317"/>
    <w:rsid w:val="21B04C1D"/>
    <w:rsid w:val="226B4A2D"/>
    <w:rsid w:val="23C73979"/>
    <w:rsid w:val="242257C7"/>
    <w:rsid w:val="24896239"/>
    <w:rsid w:val="25461ED3"/>
    <w:rsid w:val="254B33D1"/>
    <w:rsid w:val="256D2254"/>
    <w:rsid w:val="25F06549"/>
    <w:rsid w:val="26694407"/>
    <w:rsid w:val="26995073"/>
    <w:rsid w:val="26D8347A"/>
    <w:rsid w:val="26F80370"/>
    <w:rsid w:val="270C60F4"/>
    <w:rsid w:val="27507D70"/>
    <w:rsid w:val="277445CA"/>
    <w:rsid w:val="27AF083F"/>
    <w:rsid w:val="28004E83"/>
    <w:rsid w:val="280A7291"/>
    <w:rsid w:val="28585E4C"/>
    <w:rsid w:val="28A824CA"/>
    <w:rsid w:val="29056116"/>
    <w:rsid w:val="29515BB1"/>
    <w:rsid w:val="29621C7E"/>
    <w:rsid w:val="2983760E"/>
    <w:rsid w:val="29B13F52"/>
    <w:rsid w:val="29ED2241"/>
    <w:rsid w:val="2A4A2EC2"/>
    <w:rsid w:val="2A674D06"/>
    <w:rsid w:val="2A9B3A65"/>
    <w:rsid w:val="2AA32669"/>
    <w:rsid w:val="2AA33A32"/>
    <w:rsid w:val="2ACE51FA"/>
    <w:rsid w:val="2B814490"/>
    <w:rsid w:val="2BA4769A"/>
    <w:rsid w:val="2BA57BE3"/>
    <w:rsid w:val="2C654BE7"/>
    <w:rsid w:val="2C8854D3"/>
    <w:rsid w:val="2C8F6BCF"/>
    <w:rsid w:val="2CC075DB"/>
    <w:rsid w:val="2CD06EF4"/>
    <w:rsid w:val="2D3C3805"/>
    <w:rsid w:val="2D9D4DA5"/>
    <w:rsid w:val="2DBF18D1"/>
    <w:rsid w:val="2E8161CC"/>
    <w:rsid w:val="2EAD4F5E"/>
    <w:rsid w:val="2EB95A0A"/>
    <w:rsid w:val="2EFE6562"/>
    <w:rsid w:val="2F47056C"/>
    <w:rsid w:val="307652F7"/>
    <w:rsid w:val="30AE2F00"/>
    <w:rsid w:val="30EF7A83"/>
    <w:rsid w:val="31E850CF"/>
    <w:rsid w:val="31ED5E85"/>
    <w:rsid w:val="32277D21"/>
    <w:rsid w:val="324B4CC5"/>
    <w:rsid w:val="325F6EF2"/>
    <w:rsid w:val="32A0108A"/>
    <w:rsid w:val="32E349AB"/>
    <w:rsid w:val="32E726AD"/>
    <w:rsid w:val="32EF005E"/>
    <w:rsid w:val="32EF40CE"/>
    <w:rsid w:val="33153C80"/>
    <w:rsid w:val="33816155"/>
    <w:rsid w:val="33A76F4E"/>
    <w:rsid w:val="33AF5458"/>
    <w:rsid w:val="34416F30"/>
    <w:rsid w:val="35D11B1B"/>
    <w:rsid w:val="35D9139C"/>
    <w:rsid w:val="35E34578"/>
    <w:rsid w:val="36123B0E"/>
    <w:rsid w:val="364D690A"/>
    <w:rsid w:val="36936FCB"/>
    <w:rsid w:val="36FA2471"/>
    <w:rsid w:val="372974AC"/>
    <w:rsid w:val="379762D3"/>
    <w:rsid w:val="381E6723"/>
    <w:rsid w:val="38262F47"/>
    <w:rsid w:val="38696E67"/>
    <w:rsid w:val="3890353D"/>
    <w:rsid w:val="39091925"/>
    <w:rsid w:val="39514081"/>
    <w:rsid w:val="39637962"/>
    <w:rsid w:val="39765334"/>
    <w:rsid w:val="39967F15"/>
    <w:rsid w:val="39F75A68"/>
    <w:rsid w:val="3A6750E5"/>
    <w:rsid w:val="3AE7177F"/>
    <w:rsid w:val="3AFA0C4E"/>
    <w:rsid w:val="3B497723"/>
    <w:rsid w:val="3BB1199D"/>
    <w:rsid w:val="3BB64A63"/>
    <w:rsid w:val="3BE06F82"/>
    <w:rsid w:val="3C31331D"/>
    <w:rsid w:val="3C5769C0"/>
    <w:rsid w:val="3DA840A0"/>
    <w:rsid w:val="3DB3545D"/>
    <w:rsid w:val="3DC16FC4"/>
    <w:rsid w:val="3DD14C27"/>
    <w:rsid w:val="3DD662B0"/>
    <w:rsid w:val="3DFB2C25"/>
    <w:rsid w:val="3DFF758D"/>
    <w:rsid w:val="3E312FAC"/>
    <w:rsid w:val="3EA437AD"/>
    <w:rsid w:val="3EB14988"/>
    <w:rsid w:val="3EBB1FEB"/>
    <w:rsid w:val="3EEE22CD"/>
    <w:rsid w:val="3F081D17"/>
    <w:rsid w:val="3F6A09CA"/>
    <w:rsid w:val="3F902B7F"/>
    <w:rsid w:val="3F9A34F5"/>
    <w:rsid w:val="3FCD07F4"/>
    <w:rsid w:val="40514399"/>
    <w:rsid w:val="40AD055D"/>
    <w:rsid w:val="412F5729"/>
    <w:rsid w:val="41324172"/>
    <w:rsid w:val="41506A9F"/>
    <w:rsid w:val="41CF71DE"/>
    <w:rsid w:val="42271DDB"/>
    <w:rsid w:val="42563EC6"/>
    <w:rsid w:val="42CA4EDE"/>
    <w:rsid w:val="430159D3"/>
    <w:rsid w:val="431C0248"/>
    <w:rsid w:val="4334172B"/>
    <w:rsid w:val="433E2848"/>
    <w:rsid w:val="436D07AA"/>
    <w:rsid w:val="43A163ED"/>
    <w:rsid w:val="43A81812"/>
    <w:rsid w:val="43CA17E2"/>
    <w:rsid w:val="43E82B9D"/>
    <w:rsid w:val="453C0D08"/>
    <w:rsid w:val="457B1C96"/>
    <w:rsid w:val="45831A27"/>
    <w:rsid w:val="45A605CD"/>
    <w:rsid w:val="46016A4D"/>
    <w:rsid w:val="464B0DFF"/>
    <w:rsid w:val="46856929"/>
    <w:rsid w:val="468900BD"/>
    <w:rsid w:val="46E15963"/>
    <w:rsid w:val="46F559ED"/>
    <w:rsid w:val="46FC1550"/>
    <w:rsid w:val="47584D2E"/>
    <w:rsid w:val="477D716C"/>
    <w:rsid w:val="47AE6BF8"/>
    <w:rsid w:val="48B52937"/>
    <w:rsid w:val="48C00F7D"/>
    <w:rsid w:val="48C8762C"/>
    <w:rsid w:val="48EE3EF3"/>
    <w:rsid w:val="493A4B2D"/>
    <w:rsid w:val="49770FD8"/>
    <w:rsid w:val="4A844CDF"/>
    <w:rsid w:val="4AEE13D8"/>
    <w:rsid w:val="4B2D55EB"/>
    <w:rsid w:val="4B2E644D"/>
    <w:rsid w:val="4B8C16B4"/>
    <w:rsid w:val="4BCC57D3"/>
    <w:rsid w:val="4BF3587E"/>
    <w:rsid w:val="4C1E2F28"/>
    <w:rsid w:val="4CE5477E"/>
    <w:rsid w:val="4CE6580B"/>
    <w:rsid w:val="4D1643C1"/>
    <w:rsid w:val="4D7B3EDA"/>
    <w:rsid w:val="4D7D0A5B"/>
    <w:rsid w:val="4DE20C7C"/>
    <w:rsid w:val="4FFC4CED"/>
    <w:rsid w:val="507C08AF"/>
    <w:rsid w:val="50C2787A"/>
    <w:rsid w:val="50E430AB"/>
    <w:rsid w:val="510D1855"/>
    <w:rsid w:val="5115239B"/>
    <w:rsid w:val="51DC1B08"/>
    <w:rsid w:val="528123A8"/>
    <w:rsid w:val="528701FA"/>
    <w:rsid w:val="530B431A"/>
    <w:rsid w:val="5353727D"/>
    <w:rsid w:val="53F36ADD"/>
    <w:rsid w:val="53F55AE0"/>
    <w:rsid w:val="54146116"/>
    <w:rsid w:val="541D6A82"/>
    <w:rsid w:val="543B3449"/>
    <w:rsid w:val="544677EE"/>
    <w:rsid w:val="54991306"/>
    <w:rsid w:val="54D756B1"/>
    <w:rsid w:val="54DD5EE8"/>
    <w:rsid w:val="54FC157B"/>
    <w:rsid w:val="55694447"/>
    <w:rsid w:val="55AF274E"/>
    <w:rsid w:val="55B64885"/>
    <w:rsid w:val="55EA1009"/>
    <w:rsid w:val="5651051D"/>
    <w:rsid w:val="565703EB"/>
    <w:rsid w:val="565A1CB6"/>
    <w:rsid w:val="56E6235E"/>
    <w:rsid w:val="56F26FD1"/>
    <w:rsid w:val="57430007"/>
    <w:rsid w:val="57E961A8"/>
    <w:rsid w:val="58113F7C"/>
    <w:rsid w:val="581E77CF"/>
    <w:rsid w:val="5890344F"/>
    <w:rsid w:val="58B06254"/>
    <w:rsid w:val="59697720"/>
    <w:rsid w:val="59B1456A"/>
    <w:rsid w:val="59C27029"/>
    <w:rsid w:val="5A13697A"/>
    <w:rsid w:val="5ACC6246"/>
    <w:rsid w:val="5AF25131"/>
    <w:rsid w:val="5B0A2EC7"/>
    <w:rsid w:val="5BB94A17"/>
    <w:rsid w:val="5BCA31AA"/>
    <w:rsid w:val="5BD27688"/>
    <w:rsid w:val="5C0F3375"/>
    <w:rsid w:val="5C70309F"/>
    <w:rsid w:val="5CDD22D3"/>
    <w:rsid w:val="5D061E17"/>
    <w:rsid w:val="5D841EFA"/>
    <w:rsid w:val="5DD56AC2"/>
    <w:rsid w:val="5E886EBD"/>
    <w:rsid w:val="5EB57926"/>
    <w:rsid w:val="5ECF3FA4"/>
    <w:rsid w:val="5F130DE5"/>
    <w:rsid w:val="5F6D3EA5"/>
    <w:rsid w:val="5F862394"/>
    <w:rsid w:val="5F964892"/>
    <w:rsid w:val="5FB578F9"/>
    <w:rsid w:val="600176AC"/>
    <w:rsid w:val="60B8378D"/>
    <w:rsid w:val="60F22670"/>
    <w:rsid w:val="611E5ED7"/>
    <w:rsid w:val="61254FC7"/>
    <w:rsid w:val="612850F8"/>
    <w:rsid w:val="617A16DC"/>
    <w:rsid w:val="61931873"/>
    <w:rsid w:val="61AD69BD"/>
    <w:rsid w:val="61C64108"/>
    <w:rsid w:val="61CE4E7F"/>
    <w:rsid w:val="627A693C"/>
    <w:rsid w:val="62D27395"/>
    <w:rsid w:val="62F041B4"/>
    <w:rsid w:val="62FD781F"/>
    <w:rsid w:val="63FC5C35"/>
    <w:rsid w:val="64173BC5"/>
    <w:rsid w:val="643F2912"/>
    <w:rsid w:val="659D4409"/>
    <w:rsid w:val="663E79F4"/>
    <w:rsid w:val="664A46E0"/>
    <w:rsid w:val="676670DF"/>
    <w:rsid w:val="677C7694"/>
    <w:rsid w:val="6796775E"/>
    <w:rsid w:val="679873DB"/>
    <w:rsid w:val="67D84ED8"/>
    <w:rsid w:val="681A0985"/>
    <w:rsid w:val="682058FA"/>
    <w:rsid w:val="68500770"/>
    <w:rsid w:val="686B0051"/>
    <w:rsid w:val="687C156E"/>
    <w:rsid w:val="68E95CA0"/>
    <w:rsid w:val="68F315DE"/>
    <w:rsid w:val="68FA108C"/>
    <w:rsid w:val="69711A7C"/>
    <w:rsid w:val="69F84494"/>
    <w:rsid w:val="6ABB6698"/>
    <w:rsid w:val="6AC30185"/>
    <w:rsid w:val="6ACE7CB8"/>
    <w:rsid w:val="6BC8039A"/>
    <w:rsid w:val="6BEE1867"/>
    <w:rsid w:val="6C045ED8"/>
    <w:rsid w:val="6D7968C3"/>
    <w:rsid w:val="6D876060"/>
    <w:rsid w:val="6D8B40AB"/>
    <w:rsid w:val="6D945303"/>
    <w:rsid w:val="6DC12C15"/>
    <w:rsid w:val="6DD75480"/>
    <w:rsid w:val="6E2A482E"/>
    <w:rsid w:val="6E3E0816"/>
    <w:rsid w:val="6E6B7E39"/>
    <w:rsid w:val="6F1C7460"/>
    <w:rsid w:val="6F2D14A1"/>
    <w:rsid w:val="6FDF24CC"/>
    <w:rsid w:val="6FF279B2"/>
    <w:rsid w:val="705F045F"/>
    <w:rsid w:val="711E1DDB"/>
    <w:rsid w:val="713557F1"/>
    <w:rsid w:val="71490407"/>
    <w:rsid w:val="7156288B"/>
    <w:rsid w:val="71B5207B"/>
    <w:rsid w:val="71BC596A"/>
    <w:rsid w:val="71E75C0A"/>
    <w:rsid w:val="729935EC"/>
    <w:rsid w:val="72B61072"/>
    <w:rsid w:val="72E46A15"/>
    <w:rsid w:val="72E80C9C"/>
    <w:rsid w:val="73525019"/>
    <w:rsid w:val="73610AFD"/>
    <w:rsid w:val="73EA313B"/>
    <w:rsid w:val="73F12465"/>
    <w:rsid w:val="74BE7158"/>
    <w:rsid w:val="75531EF6"/>
    <w:rsid w:val="755A7A11"/>
    <w:rsid w:val="75AF00C2"/>
    <w:rsid w:val="75D0003D"/>
    <w:rsid w:val="75D457B5"/>
    <w:rsid w:val="773B220E"/>
    <w:rsid w:val="777C31F9"/>
    <w:rsid w:val="783E1213"/>
    <w:rsid w:val="78FD3357"/>
    <w:rsid w:val="79060C93"/>
    <w:rsid w:val="79155FB7"/>
    <w:rsid w:val="7A070B19"/>
    <w:rsid w:val="7A6F66BB"/>
    <w:rsid w:val="7AA51C5A"/>
    <w:rsid w:val="7B2E67A8"/>
    <w:rsid w:val="7B4D0A3B"/>
    <w:rsid w:val="7BD048C8"/>
    <w:rsid w:val="7C2C4361"/>
    <w:rsid w:val="7C3B7666"/>
    <w:rsid w:val="7C4F3D91"/>
    <w:rsid w:val="7C966931"/>
    <w:rsid w:val="7D322770"/>
    <w:rsid w:val="7DE0607A"/>
    <w:rsid w:val="7E1D6777"/>
    <w:rsid w:val="7F0D435C"/>
    <w:rsid w:val="7F1928C7"/>
    <w:rsid w:val="7FBD3CF3"/>
    <w:rsid w:val="7FE65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55572-EB48-42ED-8152-C822066CA7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1426</Words>
  <Characters>8133</Characters>
  <Lines>67</Lines>
  <Paragraphs>19</Paragraphs>
  <TotalTime>2</TotalTime>
  <ScaleCrop>false</ScaleCrop>
  <LinksUpToDate>false</LinksUpToDate>
  <CharactersWithSpaces>9540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2021-06-20T12:58:32Z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B756CAC199B84B2DAD5A409117EB7D48</vt:lpwstr>
  </property>
</Properties>
</file>