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黑体"/>
          <w:b/>
          <w:sz w:val="52"/>
          <w:szCs w:val="52"/>
          <w:lang w:eastAsia="zh-CN"/>
        </w:rPr>
      </w:pPr>
      <w:r>
        <w:rPr>
          <w:rFonts w:hint="eastAsia" w:ascii="仿宋" w:hAnsi="仿宋" w:eastAsia="仿宋" w:cs="隶书"/>
          <w:b/>
          <w:sz w:val="52"/>
          <w:szCs w:val="52"/>
          <w:lang w:val="en-US" w:eastAsia="zh-CN"/>
        </w:rPr>
        <w:t>中共信阳市浉河区委机构编制委员会办公室</w:t>
      </w: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20年度部门预算公开情况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w:t>
      </w:r>
      <w:r>
        <w:rPr>
          <w:rFonts w:hint="eastAsia" w:ascii="仿宋" w:hAnsi="仿宋" w:eastAsia="仿宋" w:cs="黑体"/>
          <w:sz w:val="32"/>
          <w:szCs w:val="32"/>
          <w:lang w:eastAsia="zh-CN"/>
        </w:rPr>
        <w:t>、</w:t>
      </w:r>
      <w:r>
        <w:rPr>
          <w:rFonts w:hint="eastAsia" w:ascii="仿宋" w:hAnsi="仿宋" w:eastAsia="仿宋" w:cs="黑体"/>
          <w:sz w:val="32"/>
          <w:szCs w:val="32"/>
          <w:lang w:val="en-US" w:eastAsia="zh-CN"/>
        </w:rPr>
        <w:t>中共信阳市浉河区委机构编制委员会办公室</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eastAsia="zh-CN"/>
        </w:rPr>
        <w:t>二</w:t>
      </w:r>
      <w:r>
        <w:rPr>
          <w:rFonts w:hint="eastAsia" w:ascii="仿宋" w:hAnsi="仿宋" w:eastAsia="仿宋" w:cs="黑体"/>
          <w:sz w:val="32"/>
          <w:szCs w:val="32"/>
        </w:rPr>
        <w:t>部分</w:t>
      </w:r>
      <w:r>
        <w:rPr>
          <w:rFonts w:hint="eastAsia" w:ascii="仿宋" w:hAnsi="仿宋" w:eastAsia="仿宋" w:cs="黑体"/>
          <w:sz w:val="32"/>
          <w:szCs w:val="32"/>
          <w:lang w:eastAsia="zh-CN"/>
        </w:rPr>
        <w:t>、</w:t>
      </w:r>
      <w:r>
        <w:rPr>
          <w:rFonts w:hint="eastAsia" w:ascii="仿宋" w:hAnsi="仿宋" w:eastAsia="仿宋" w:cs="黑体"/>
          <w:sz w:val="32"/>
          <w:szCs w:val="32"/>
          <w:lang w:val="en-US" w:eastAsia="zh-CN"/>
        </w:rPr>
        <w:t>中共信阳市浉河区委机构编制委员会办公室</w:t>
      </w:r>
      <w:r>
        <w:rPr>
          <w:rFonts w:hint="eastAsia" w:ascii="仿宋" w:hAnsi="仿宋" w:eastAsia="仿宋" w:cs="黑体"/>
          <w:sz w:val="32"/>
          <w:szCs w:val="32"/>
        </w:rPr>
        <w:t>2020年度部门预算情况说明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eastAsia="zh-CN"/>
        </w:rPr>
        <w:t>三</w:t>
      </w:r>
      <w:r>
        <w:rPr>
          <w:rFonts w:hint="eastAsia" w:ascii="仿宋" w:hAnsi="仿宋" w:eastAsia="仿宋" w:cs="黑体"/>
          <w:sz w:val="32"/>
          <w:szCs w:val="32"/>
        </w:rPr>
        <w:t>部分</w:t>
      </w:r>
      <w:r>
        <w:rPr>
          <w:rFonts w:hint="eastAsia" w:ascii="仿宋" w:hAnsi="仿宋" w:eastAsia="仿宋" w:cs="黑体"/>
          <w:sz w:val="32"/>
          <w:szCs w:val="32"/>
          <w:lang w:eastAsia="zh-CN"/>
        </w:rPr>
        <w:t>、</w:t>
      </w:r>
      <w:r>
        <w:rPr>
          <w:rFonts w:hint="eastAsia" w:ascii="仿宋" w:hAnsi="仿宋" w:eastAsia="仿宋" w:cs="黑体"/>
          <w:sz w:val="32"/>
          <w:szCs w:val="32"/>
        </w:rPr>
        <w:t>名词解释</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附  件、2020年度部门预算公开表</w:t>
      </w:r>
    </w:p>
    <w:p>
      <w:pPr>
        <w:numPr>
          <w:ilvl w:val="0"/>
          <w:numId w:val="0"/>
        </w:numPr>
        <w:jc w:val="left"/>
        <w:rPr>
          <w:rFonts w:hint="eastAsia" w:ascii="仿宋" w:hAnsi="仿宋" w:eastAsia="仿宋" w:cs="宋体"/>
          <w:sz w:val="32"/>
          <w:szCs w:val="32"/>
        </w:rPr>
      </w:pPr>
      <w:r>
        <w:rPr>
          <w:rFonts w:hint="eastAsia" w:ascii="仿宋" w:hAnsi="仿宋" w:eastAsia="仿宋" w:cs="宋体"/>
          <w:sz w:val="32"/>
          <w:szCs w:val="32"/>
          <w:lang w:val="en-US" w:eastAsia="zh-CN"/>
        </w:rPr>
        <w:t>一</w:t>
      </w:r>
      <w:r>
        <w:rPr>
          <w:rFonts w:hint="eastAsia" w:ascii="仿宋" w:hAnsi="仿宋" w:eastAsia="仿宋" w:cs="宋体"/>
          <w:sz w:val="32"/>
          <w:szCs w:val="32"/>
        </w:rPr>
        <w:t>、部门收支总体情况表</w:t>
      </w:r>
    </w:p>
    <w:p>
      <w:pPr>
        <w:numPr>
          <w:ilvl w:val="0"/>
          <w:numId w:val="0"/>
        </w:numPr>
        <w:jc w:val="left"/>
        <w:rPr>
          <w:rFonts w:hint="eastAsia" w:ascii="仿宋" w:hAnsi="仿宋" w:eastAsia="仿宋" w:cs="宋体"/>
          <w:sz w:val="32"/>
          <w:szCs w:val="32"/>
        </w:rPr>
      </w:pPr>
      <w:r>
        <w:rPr>
          <w:rFonts w:hint="eastAsia" w:ascii="仿宋" w:hAnsi="仿宋" w:eastAsia="仿宋" w:cs="宋体"/>
          <w:sz w:val="32"/>
          <w:szCs w:val="32"/>
          <w:lang w:val="en-US" w:eastAsia="zh-CN"/>
        </w:rPr>
        <w:t>二</w:t>
      </w:r>
      <w:r>
        <w:rPr>
          <w:rFonts w:hint="eastAsia" w:ascii="仿宋" w:hAnsi="仿宋" w:eastAsia="仿宋" w:cs="宋体"/>
          <w:sz w:val="32"/>
          <w:szCs w:val="32"/>
        </w:rPr>
        <w:t>、部门收入总体情况表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部门支出总体情况表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财政拨款收支总体情况表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一般公共预算支出情况表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一般公共预算基本支出情况表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一般公共预算“三公”经费支出情况表</w:t>
      </w:r>
    </w:p>
    <w:p>
      <w:pPr>
        <w:numPr>
          <w:ilvl w:val="0"/>
          <w:numId w:val="1"/>
        </w:numPr>
        <w:jc w:val="left"/>
        <w:rPr>
          <w:rFonts w:hint="eastAsia" w:ascii="仿宋" w:hAnsi="仿宋" w:eastAsia="仿宋" w:cs="宋体"/>
          <w:sz w:val="32"/>
          <w:szCs w:val="32"/>
          <w:lang w:eastAsia="zh-CN"/>
        </w:rPr>
      </w:pPr>
      <w:r>
        <w:rPr>
          <w:rFonts w:hint="eastAsia" w:ascii="仿宋" w:hAnsi="仿宋" w:eastAsia="仿宋" w:cs="宋体"/>
          <w:sz w:val="32"/>
          <w:szCs w:val="32"/>
        </w:rPr>
        <w:t>政府性基金预算支出情况</w:t>
      </w:r>
      <w:r>
        <w:rPr>
          <w:rFonts w:hint="eastAsia" w:ascii="仿宋" w:hAnsi="仿宋" w:eastAsia="仿宋" w:cs="宋体"/>
          <w:sz w:val="32"/>
          <w:szCs w:val="32"/>
          <w:lang w:eastAsia="zh-CN"/>
        </w:rPr>
        <w:t>表</w:t>
      </w:r>
    </w:p>
    <w:p>
      <w:pPr>
        <w:numPr>
          <w:ilvl w:val="0"/>
          <w:numId w:val="1"/>
        </w:numPr>
        <w:jc w:val="left"/>
        <w:rPr>
          <w:rFonts w:hint="eastAsia" w:ascii="仿宋" w:hAnsi="仿宋" w:eastAsia="仿宋" w:cs="宋体"/>
          <w:sz w:val="32"/>
          <w:szCs w:val="32"/>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中共信阳市浉河区委机构编制委员会办公室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kern w:val="0"/>
          <w:sz w:val="32"/>
        </w:rPr>
        <w:t xml:space="preserve"> 区委机构编制委员会办公室（</w:t>
      </w:r>
      <w:r>
        <w:rPr>
          <w:rFonts w:hint="eastAsia" w:ascii="仿宋_GB2312" w:hAnsi="仿宋_GB2312" w:eastAsia="仿宋_GB2312" w:cs="仿宋_GB2312"/>
          <w:sz w:val="32"/>
        </w:rPr>
        <w:t>区事业单位登记管理局</w:t>
      </w:r>
      <w:r>
        <w:rPr>
          <w:rFonts w:hint="eastAsia" w:ascii="仿宋_GB2312" w:hAnsi="仿宋_GB2312" w:eastAsia="仿宋_GB2312" w:cs="仿宋_GB2312"/>
          <w:kern w:val="0"/>
          <w:sz w:val="32"/>
        </w:rPr>
        <w:t>）设5个内设机构。</w:t>
      </w:r>
      <w:r>
        <w:rPr>
          <w:rFonts w:hint="eastAsia" w:ascii="仿宋_GB2312" w:hAnsi="仿宋_GB2312" w:eastAsia="仿宋_GB2312" w:cs="仿宋_GB2312"/>
          <w:sz w:val="32"/>
        </w:rPr>
        <w:t xml:space="preserve">（一）综合股 （二）行政体制改革股（政策法规研究室）（三）机构编制管理股 （四）事业单位登记管理股(五)机构编制监督检查股  </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1、贯彻落实加强党对机构编制工作集中统一领导的要求，执行党和国家有关行政管理体制改革、机构改革和机构编制管理的方针政策、法律法规；拟订机构编制管理相关政策规定，推进机构编制法定化。</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2、负责区行政体制改革、事业单位分类改革、经济功能区管理体制改革和相关领域涉及机构改革的重大事项；负责经济发达镇行政管理体制改革试点工作；协调有关专项改革事宜。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3、拟订全区行政体制改革和机构改革的总体方案，经批准后组织实施；审核区委、区政府各部门机构改革方案。</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4、统一管理全区各级党政机关，人大、政协机关，各民主党派、人民团体机关以及全区事业单位的机构编制工作。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5、协调区委各部门之间、区政府各部门之间的职责配置及调整，协调区委各部门与区政府各部门之间以及区级党政部门与乡、镇、办事处之间的职责分工。</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6、审核区委、区政府各部门,区人大、政协机关，民主党派、人民团体机关的职能配置、内设机构、人员编制和领导职数;审核各部门机关股级机构设置和调整事宜；配合做好区法院、检察院的机构编制管理工作。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7、拟订全区事业单位管理体制改革和机构改革方案，经批准后组织实施；负责区直事业单位机构改革方案的审核和机构编制管理工作；审核全区股级事业单位机构设置和调整事宜。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8、负责区级党政群机关统一社会信用代码赋码管理工作；负责区级事业单位法人登记管理和监督检查工作。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9、负责对全区各级行政、事业单位管理体制和机构改革情况及机构编制执行情况进行跟踪评估和监督检查；负责受理违反机构编制法律、法规、纪律的检举、控告和投诉，对有关问题进行调查处理。</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10、建立健全机构编制管理与财政预算、组织人事管理的配合制约机制；推进机构编制实名制管理，负责区直机关事业单位进人编制审核工作；负责全区机构编制统计工作。</w:t>
      </w:r>
    </w:p>
    <w:p>
      <w:pPr>
        <w:snapToGrid w:val="0"/>
        <w:spacing w:line="600" w:lineRule="exact"/>
        <w:ind w:firstLine="589"/>
        <w:textAlignment w:val="baseline"/>
        <w:rPr>
          <w:rFonts w:ascii="仿宋_GB2312" w:hAnsi="仿宋_GB2312" w:eastAsia="仿宋_GB2312" w:cs="仿宋_GB2312"/>
          <w:kern w:val="0"/>
          <w:sz w:val="32"/>
        </w:rPr>
      </w:pPr>
      <w:r>
        <w:rPr>
          <w:rFonts w:hint="eastAsia" w:ascii="仿宋_GB2312" w:hAnsi="仿宋_GB2312" w:eastAsia="仿宋_GB2312" w:cs="仿宋_GB2312"/>
          <w:kern w:val="0"/>
          <w:sz w:val="32"/>
        </w:rPr>
        <w:t>11、完成区委、区政府和区委编委交办的其他任务。</w:t>
      </w:r>
    </w:p>
    <w:p>
      <w:pPr>
        <w:ind w:firstLine="640" w:firstLineChars="200"/>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核定区委机构编制委员会办公室（区事业单位登记管理局）机关行政编制8名，工勤编制1名。其中主任1名，副主任3名。</w:t>
      </w:r>
      <w:r>
        <w:rPr>
          <w:rFonts w:hint="eastAsia" w:ascii="仿宋_GB2312" w:hAnsi="仿宋_GB2312" w:eastAsia="仿宋_GB2312" w:cs="仿宋_GB2312"/>
          <w:sz w:val="32"/>
          <w:szCs w:val="32"/>
        </w:rPr>
        <w:t>共有编制人数21人，其中：行政编制8人，事业编制12人，工勤人员编制 1人。实有人数15人，其中：在职人员 15人，离休人员 0人，退休人员 2人。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二、部门预算单位构成及机构设置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w:t>
      </w:r>
      <w:r>
        <w:rPr>
          <w:rFonts w:hint="eastAsia" w:ascii="仿宋_GB2312" w:hAnsi="仿宋_GB2312" w:eastAsia="仿宋_GB2312" w:cs="仿宋_GB2312"/>
          <w:sz w:val="32"/>
          <w:szCs w:val="32"/>
          <w:lang w:eastAsia="zh-CN"/>
        </w:rPr>
        <w:t>中共信阳市浉河区委机构编制委员会办公室</w:t>
      </w:r>
      <w:r>
        <w:rPr>
          <w:rFonts w:hint="eastAsia" w:ascii="仿宋_GB2312" w:hAnsi="仿宋_GB2312" w:eastAsia="仿宋_GB2312" w:cs="仿宋_GB2312"/>
          <w:sz w:val="32"/>
          <w:szCs w:val="32"/>
        </w:rPr>
        <w:t>2020年度部门</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算编制范围的单位包括：</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中共信阳市浉河区委机构编制委员会办公室机关</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浉河区机构编制</w:t>
      </w:r>
      <w:r>
        <w:rPr>
          <w:rFonts w:ascii="仿宋_GB2312" w:hAnsi="仿宋_GB2312" w:eastAsia="仿宋_GB2312" w:cs="仿宋_GB2312"/>
          <w:sz w:val="32"/>
          <w:szCs w:val="32"/>
        </w:rPr>
        <w:t>电子政务</w:t>
      </w:r>
      <w:r>
        <w:rPr>
          <w:rFonts w:hint="eastAsia" w:ascii="仿宋_GB2312" w:hAnsi="仿宋_GB2312" w:eastAsia="仿宋_GB2312" w:cs="仿宋_GB2312"/>
          <w:sz w:val="32"/>
          <w:szCs w:val="32"/>
        </w:rPr>
        <w:t>中心</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浉河区事业单位登记</w:t>
      </w:r>
      <w:r>
        <w:rPr>
          <w:rFonts w:ascii="仿宋_GB2312" w:hAnsi="仿宋_GB2312" w:eastAsia="仿宋_GB2312" w:cs="仿宋_GB2312"/>
          <w:sz w:val="32"/>
          <w:szCs w:val="32"/>
        </w:rPr>
        <w:t>管理中心</w:t>
      </w:r>
    </w:p>
    <w:p>
      <w:pPr>
        <w:spacing w:line="360" w:lineRule="auto"/>
        <w:jc w:val="left"/>
        <w:rPr>
          <w:rFonts w:ascii="仿宋_GB2312" w:hAnsi="仿宋_GB2312" w:eastAsia="仿宋_GB2312" w:cs="仿宋_GB2312"/>
          <w:sz w:val="32"/>
          <w:szCs w:val="32"/>
        </w:rPr>
      </w:pPr>
    </w:p>
    <w:p>
      <w:pPr>
        <w:ind w:firstLine="640" w:firstLineChars="200"/>
        <w:jc w:val="left"/>
        <w:rPr>
          <w:rFonts w:ascii="宋体" w:hAnsi="宋体" w:cs="宋体"/>
          <w:kern w:val="0"/>
          <w:sz w:val="32"/>
          <w:szCs w:val="32"/>
        </w:rPr>
      </w:pPr>
      <w:r>
        <w:rPr>
          <w:rFonts w:hint="eastAsia" w:ascii="仿宋_GB2312" w:hAnsi="仿宋_GB2312" w:eastAsia="仿宋_GB2312" w:cs="仿宋_GB2312"/>
          <w:sz w:val="32"/>
          <w:szCs w:val="32"/>
        </w:rPr>
        <w:t>（二）</w:t>
      </w:r>
      <w:r>
        <w:rPr>
          <w:rFonts w:hint="eastAsia" w:ascii="宋体" w:hAnsi="宋体" w:cs="宋体"/>
          <w:kern w:val="0"/>
          <w:sz w:val="32"/>
          <w:szCs w:val="32"/>
        </w:rPr>
        <w:t>机构设置</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区委机构编制委员会办公室（</w:t>
      </w:r>
      <w:r>
        <w:rPr>
          <w:rFonts w:hint="eastAsia" w:ascii="仿宋_GB2312" w:hAnsi="Times New Roman" w:eastAsia="仿宋_GB2312"/>
          <w:sz w:val="32"/>
        </w:rPr>
        <w:t>区</w:t>
      </w:r>
      <w:r>
        <w:rPr>
          <w:rFonts w:hint="eastAsia" w:ascii="仿宋_GB2312" w:hAnsi="仿宋_GB2312" w:eastAsia="仿宋_GB2312"/>
          <w:sz w:val="32"/>
        </w:rPr>
        <w:t>事业单位登记管理局</w:t>
      </w:r>
      <w:r>
        <w:rPr>
          <w:rFonts w:hint="eastAsia" w:ascii="仿宋_GB2312" w:hAnsi="宋体" w:eastAsia="仿宋_GB2312"/>
          <w:sz w:val="32"/>
        </w:rPr>
        <w:t>）设4个内设机构，</w:t>
      </w:r>
      <w:r>
        <w:rPr>
          <w:rFonts w:ascii="仿宋_GB2312" w:hAnsi="宋体" w:eastAsia="仿宋_GB2312"/>
          <w:sz w:val="32"/>
        </w:rPr>
        <w:t>即</w:t>
      </w:r>
      <w:r>
        <w:rPr>
          <w:rFonts w:hint="eastAsia" w:ascii="仿宋_GB2312" w:hAnsi="宋体" w:eastAsia="仿宋_GB2312"/>
          <w:sz w:val="32"/>
        </w:rPr>
        <w:t>综合股、机构编制管理股、机构编制监督检查股、行政管理体制改革股。下属</w:t>
      </w:r>
      <w:r>
        <w:rPr>
          <w:rFonts w:ascii="仿宋_GB2312" w:hAnsi="宋体" w:eastAsia="仿宋_GB2312"/>
          <w:sz w:val="32"/>
        </w:rPr>
        <w:t>事业单位两个，</w:t>
      </w:r>
      <w:r>
        <w:rPr>
          <w:rFonts w:hint="eastAsia" w:ascii="仿宋_GB2312" w:hAnsi="宋体" w:eastAsia="仿宋_GB2312"/>
          <w:sz w:val="32"/>
        </w:rPr>
        <w:t>即</w:t>
      </w:r>
      <w:r>
        <w:rPr>
          <w:rFonts w:ascii="仿宋_GB2312" w:hAnsi="宋体" w:eastAsia="仿宋_GB2312"/>
          <w:sz w:val="32"/>
        </w:rPr>
        <w:t>电子政务中心、事业单位登记管理中心。</w:t>
      </w:r>
    </w:p>
    <w:p>
      <w:pPr>
        <w:pStyle w:val="14"/>
        <w:numPr>
          <w:ilvl w:val="0"/>
          <w:numId w:val="4"/>
        </w:numPr>
        <w:snapToGrid w:val="0"/>
        <w:spacing w:line="600" w:lineRule="exact"/>
        <w:ind w:firstLineChars="0"/>
        <w:rPr>
          <w:rFonts w:ascii="楷体_GB2312" w:hAnsi="楷体_GB2312" w:eastAsia="楷体_GB2312"/>
          <w:b/>
          <w:sz w:val="32"/>
        </w:rPr>
      </w:pPr>
      <w:r>
        <w:rPr>
          <w:rFonts w:hint="eastAsia" w:ascii="楷体_GB2312" w:hAnsi="楷体_GB2312" w:eastAsia="楷体_GB2312"/>
          <w:b/>
          <w:sz w:val="32"/>
        </w:rPr>
        <w:t>综合股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协助办领导处理日常工作，负责综合协调和督办工作；负责文电、会务、机要、保密、档案等机关日常工作；负责综合性文稿起草、公文核稿、信息宣传等工作；负责财务管理、后勤服务和固定资产管理等工作。负责机关和直属单位的党群、纪检监察、精神文明建设等工作。负责机关和所属单位干部人事、机构编制、工资福利、教育培训、队伍建设、离退休人员管理服务等工作。</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 xml:space="preserve">（二）行政体制改革股（政策法规研究室） </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研究全区行政体制改革、机构改革、事业单位分类改革和相关领域涉及行政体制改革的重大问题；参与机构改革方案拟订及组织实施方面的有关工作；组织开展机构编制管理创新试点；参与行政体制改革的相关工作；负责全区各类管理区（开发区）、产业集聚区等经济功能区的行政管理体制改革；负责经济发达镇行政管理体制改革试点工作，跟踪了解改革进展情况并提出对策建议,研究提出推动经济发达镇加快发展的政策措施；配合有关部门做好行政审批制度改革和权责清单管理等工作。研究拟订全区事业单位改革的具体政策；按照分类推进事业单位改革、行业体制改革的要求和进程，创新和完善事业单位机构编制管理，承办改革涉及的机构编制调整具体事项；组织区各部门分类推进事业单位改革工作；跟踪改革进展情况。承担有关规范性文件合法性审核和清理工作；负责部分重要综合性文稿的起草；负责人大代表建议、政协委员提案的办理工作；负责机构编制管理法律法规、政策规定的宣传工作；围绕重点工作开展全局性、长远性研究和专题调研。</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（三）机构编制管理股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负责全区党委、人大、政府、政协机关，各民主党派、人民团体机关机构改革意见研究、“三定”规定审核和机构编制管理工作；负责全区事业单位机构编制总量控制和动态调整工作；审核区委、区政府直属事业单位的机构编制方案；跟踪了解所联系部门“三定”规定落实情况，承担有关“三定”规定的具体解释工作；负责区直机关事业单位军队转业干部编制和领导职数的审核管理工作；研究协调区委、区政府各部门及各民主党派、人民团体机关的职责分工与职能调整；负责研究协调区直党政群机关与乡、镇、办事处的职责分工与职能调整；负责参照公务员法管理事业单位职责的审核工作；负责区委、区政府议事协调机构办事机构设立或调整的审核工作；审核全区股级行政机构、事业机构的设置和调整；承担行政编制跨层级调整审核和申报工作；负责全区机关事业单位进人和全区统一考试录用公务员、公开招聘事业单位工作人员编制审核工作。</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（四）事业单位登记管理股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贯彻执行上级有关事业单位登记管理的法规、规章、政策；负责全区单位党政群机关统一社会信用代码赋码管理工作；负责全区事业单位法人登记管理和监督检查工作，依法处理违法行为。</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（五）机构编制监督检查股。</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负责监督检查全区各级各部门贯彻执行机构编制法律法规和政策规定的情况；负责受理违反机构编制法律法规、政策、纪律的检举和投诉，负责机构编制“12310”举报受理及调查核实工作；负责开展机构编制违规违纪行为预防教育；组织实施机构编制审计工作；建立健全机构编制监督检查工作规章制度；负责机构编制监督检查工作与纪检监察、组织、人社、财政、审计等部门间的协作配合。</w:t>
      </w:r>
    </w:p>
    <w:p>
      <w:pPr>
        <w:spacing w:line="600" w:lineRule="exact"/>
        <w:ind w:firstLine="640"/>
        <w:rPr>
          <w:rFonts w:ascii="仿宋_GB2312" w:hAnsi="仿宋_GB2312" w:eastAsia="仿宋_GB2312"/>
          <w:sz w:val="32"/>
        </w:rPr>
      </w:pPr>
      <w:r>
        <w:rPr>
          <w:rFonts w:hint="eastAsia" w:ascii="黑体" w:hAnsi="黑体" w:eastAsia="黑体"/>
          <w:sz w:val="32"/>
        </w:rPr>
        <w:t>（五）下属事业单位</w:t>
      </w:r>
    </w:p>
    <w:p>
      <w:pPr>
        <w:spacing w:line="600" w:lineRule="exact"/>
        <w:ind w:firstLine="640"/>
        <w:rPr>
          <w:rFonts w:ascii="仿宋" w:hAnsi="仿宋" w:eastAsia="仿宋" w:cs="仿宋"/>
          <w:sz w:val="32"/>
        </w:rPr>
      </w:pPr>
      <w:r>
        <w:rPr>
          <w:rFonts w:hint="eastAsia" w:ascii="仿宋_GB2312" w:hAnsi="仿宋_GB2312" w:eastAsia="仿宋_GB2312"/>
          <w:sz w:val="32"/>
        </w:rPr>
        <w:t>1．</w:t>
      </w:r>
      <w:r>
        <w:rPr>
          <w:rFonts w:hint="eastAsia" w:ascii="仿宋" w:hAnsi="仿宋" w:eastAsia="仿宋" w:cs="仿宋"/>
          <w:sz w:val="32"/>
        </w:rPr>
        <w:t>浉河区事业单位登记管理中心，</w:t>
      </w:r>
      <w:r>
        <w:rPr>
          <w:rFonts w:hint="eastAsia" w:ascii="仿宋_GB2312" w:hAnsi="仿宋_GB2312" w:eastAsia="仿宋_GB2312"/>
          <w:spacing w:val="-4"/>
          <w:sz w:val="32"/>
        </w:rPr>
        <w:t>依据《事业单位登记管理暂行条例》，负责全区各类事业单位的登记管理工作。</w:t>
      </w:r>
    </w:p>
    <w:p>
      <w:pPr>
        <w:spacing w:line="600" w:lineRule="exact"/>
        <w:ind w:firstLine="640"/>
        <w:rPr>
          <w:rFonts w:ascii="仿宋_GB2312" w:hAnsi="仿宋_GB2312" w:eastAsia="仿宋_GB2312"/>
          <w:sz w:val="32"/>
        </w:rPr>
      </w:pPr>
      <w:r>
        <w:rPr>
          <w:rFonts w:hint="eastAsia" w:ascii="仿宋" w:hAnsi="仿宋" w:eastAsia="仿宋" w:cs="仿宋"/>
          <w:sz w:val="32"/>
        </w:rPr>
        <w:t>2.信阳市浉河区机构编制电子政务中心，承担中央编办、省编办和市编办委托的全区政务和公益专用中文域名的注册和管理，具体承办全区机构编制实名制动态管理及机构</w:t>
      </w:r>
      <w:r>
        <w:rPr>
          <w:rFonts w:hint="eastAsia" w:ascii="仿宋_GB2312" w:hAnsi="仿宋_GB2312" w:eastAsia="仿宋_GB2312"/>
          <w:sz w:val="32"/>
        </w:rPr>
        <w:t>编制统计、全区行政事业单位统发工资中的编制审核工作，负责机关门户网站建设、政务信息公开、电子政务和信息化建设等日常工作。</w:t>
      </w:r>
    </w:p>
    <w:p>
      <w:pPr>
        <w:spacing w:before="240" w:line="360" w:lineRule="auto"/>
        <w:jc w:val="left"/>
        <w:rPr>
          <w:rFonts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中共信阳市浉河区委机构编制委员会办公室</w:t>
      </w:r>
    </w:p>
    <w:p>
      <w:pPr>
        <w:jc w:val="center"/>
        <w:rPr>
          <w:rFonts w:ascii="仿宋" w:hAnsi="仿宋" w:eastAsia="仿宋" w:cs="隶书"/>
          <w:sz w:val="48"/>
          <w:szCs w:val="48"/>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20年度部门预算情况说明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年度收入总计</w:t>
      </w:r>
      <w:r>
        <w:rPr>
          <w:rFonts w:hint="eastAsia" w:ascii="仿宋" w:hAnsi="仿宋" w:eastAsia="仿宋" w:cs="Courier New"/>
          <w:sz w:val="32"/>
          <w:szCs w:val="32"/>
        </w:rPr>
        <w:t>210.37</w:t>
      </w:r>
      <w:r>
        <w:rPr>
          <w:rFonts w:hint="eastAsia" w:ascii="仿宋" w:hAnsi="仿宋" w:eastAsia="仿宋" w:cs="宋体"/>
          <w:sz w:val="32"/>
          <w:szCs w:val="32"/>
        </w:rPr>
        <w:t>万元，支出总计</w:t>
      </w:r>
      <w:r>
        <w:rPr>
          <w:rFonts w:hint="eastAsia" w:ascii="仿宋" w:hAnsi="仿宋" w:eastAsia="仿宋" w:cs="Courier New"/>
          <w:sz w:val="32"/>
          <w:szCs w:val="32"/>
        </w:rPr>
        <w:t>210.37</w:t>
      </w:r>
      <w:r>
        <w:rPr>
          <w:rFonts w:hint="eastAsia" w:ascii="仿宋" w:hAnsi="仿宋" w:eastAsia="仿宋" w:cs="宋体"/>
          <w:sz w:val="32"/>
          <w:szCs w:val="32"/>
        </w:rPr>
        <w:t>万元，与</w:t>
      </w:r>
      <w:r>
        <w:rPr>
          <w:rFonts w:hint="eastAsia" w:ascii="仿宋" w:hAnsi="仿宋" w:eastAsia="仿宋" w:cs="Courier New"/>
          <w:sz w:val="32"/>
          <w:szCs w:val="32"/>
        </w:rPr>
        <w:t>2019</w:t>
      </w:r>
      <w:r>
        <w:rPr>
          <w:rFonts w:hint="eastAsia" w:ascii="仿宋" w:hAnsi="仿宋" w:eastAsia="仿宋" w:cs="宋体"/>
          <w:sz w:val="32"/>
          <w:szCs w:val="32"/>
        </w:rPr>
        <w:t>年相比，收入</w:t>
      </w:r>
      <w:r>
        <w:rPr>
          <w:rFonts w:hint="eastAsia" w:ascii="仿宋" w:hAnsi="仿宋" w:eastAsia="仿宋" w:cs="Courier New"/>
          <w:sz w:val="32"/>
          <w:szCs w:val="32"/>
        </w:rPr>
        <w:t>增加26.7</w:t>
      </w:r>
      <w:r>
        <w:rPr>
          <w:rFonts w:hint="eastAsia" w:ascii="仿宋" w:hAnsi="仿宋" w:eastAsia="仿宋" w:cs="宋体"/>
          <w:sz w:val="32"/>
          <w:szCs w:val="32"/>
        </w:rPr>
        <w:t>万元，</w:t>
      </w:r>
      <w:r>
        <w:rPr>
          <w:rFonts w:hint="eastAsia" w:ascii="仿宋" w:hAnsi="仿宋" w:eastAsia="仿宋" w:cs="Courier New"/>
          <w:sz w:val="32"/>
          <w:szCs w:val="32"/>
        </w:rPr>
        <w:t>支出增加26.7</w:t>
      </w:r>
      <w:r>
        <w:rPr>
          <w:rFonts w:hint="eastAsia" w:ascii="仿宋" w:hAnsi="仿宋" w:eastAsia="仿宋" w:cs="宋体"/>
          <w:sz w:val="32"/>
          <w:szCs w:val="32"/>
        </w:rPr>
        <w:t>万元，</w:t>
      </w:r>
      <w:r>
        <w:rPr>
          <w:rFonts w:hint="eastAsia" w:ascii="仿宋" w:hAnsi="仿宋" w:eastAsia="仿宋" w:cs="Courier New"/>
          <w:sz w:val="32"/>
          <w:szCs w:val="32"/>
        </w:rPr>
        <w:t>增浮14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因为在职人员增加。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年度收入合计</w:t>
      </w:r>
      <w:r>
        <w:rPr>
          <w:rFonts w:hint="eastAsia" w:ascii="仿宋" w:hAnsi="仿宋" w:eastAsia="仿宋" w:cs="Courier New"/>
          <w:sz w:val="32"/>
          <w:szCs w:val="32"/>
        </w:rPr>
        <w:t>210.37</w:t>
      </w:r>
      <w:r>
        <w:rPr>
          <w:rFonts w:hint="eastAsia" w:ascii="仿宋" w:hAnsi="仿宋" w:eastAsia="仿宋" w:cs="宋体"/>
          <w:sz w:val="32"/>
          <w:szCs w:val="32"/>
        </w:rPr>
        <w:t>万元，其中：财政拨款收入</w:t>
      </w:r>
      <w:r>
        <w:rPr>
          <w:rFonts w:hint="eastAsia" w:ascii="仿宋" w:hAnsi="仿宋" w:eastAsia="仿宋" w:cs="Courier New"/>
          <w:sz w:val="32"/>
          <w:szCs w:val="32"/>
        </w:rPr>
        <w:t>210.37</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年度支出合计</w:t>
      </w:r>
      <w:r>
        <w:rPr>
          <w:rFonts w:hint="eastAsia" w:ascii="仿宋" w:hAnsi="仿宋" w:eastAsia="仿宋" w:cs="Courier New"/>
          <w:sz w:val="32"/>
          <w:szCs w:val="32"/>
        </w:rPr>
        <w:t>210.37</w:t>
      </w:r>
      <w:r>
        <w:rPr>
          <w:rFonts w:hint="eastAsia" w:ascii="仿宋" w:hAnsi="仿宋" w:eastAsia="仿宋" w:cs="宋体"/>
          <w:sz w:val="32"/>
          <w:szCs w:val="32"/>
        </w:rPr>
        <w:t>万元，其中：基本支出</w:t>
      </w:r>
      <w:r>
        <w:rPr>
          <w:rFonts w:hint="eastAsia" w:ascii="仿宋" w:hAnsi="仿宋" w:eastAsia="仿宋" w:cs="宋体"/>
          <w:sz w:val="32"/>
          <w:szCs w:val="32"/>
          <w:lang w:val="en-US" w:eastAsia="zh-CN"/>
        </w:rPr>
        <w:t>156</w:t>
      </w:r>
      <w:r>
        <w:rPr>
          <w:rFonts w:hint="eastAsia" w:ascii="仿宋" w:hAnsi="仿宋" w:eastAsia="仿宋" w:cs="Courier New"/>
          <w:sz w:val="32"/>
          <w:szCs w:val="32"/>
        </w:rPr>
        <w:t>.</w:t>
      </w:r>
      <w:r>
        <w:rPr>
          <w:rFonts w:hint="eastAsia" w:ascii="仿宋" w:hAnsi="仿宋" w:eastAsia="仿宋" w:cs="Courier New"/>
          <w:sz w:val="32"/>
          <w:szCs w:val="32"/>
          <w:lang w:val="en-US" w:eastAsia="zh-CN"/>
        </w:rPr>
        <w:t>2</w:t>
      </w:r>
      <w:r>
        <w:rPr>
          <w:rFonts w:hint="eastAsia" w:ascii="仿宋" w:hAnsi="仿宋" w:eastAsia="仿宋" w:cs="Courier New"/>
          <w:sz w:val="32"/>
          <w:szCs w:val="32"/>
        </w:rPr>
        <w:t>7</w:t>
      </w:r>
      <w:r>
        <w:rPr>
          <w:rFonts w:hint="eastAsia" w:ascii="仿宋" w:hAnsi="仿宋" w:eastAsia="仿宋" w:cs="宋体"/>
          <w:sz w:val="32"/>
          <w:szCs w:val="32"/>
        </w:rPr>
        <w:t>万元，占</w:t>
      </w:r>
      <w:r>
        <w:rPr>
          <w:rFonts w:hint="eastAsia" w:ascii="仿宋" w:hAnsi="仿宋" w:eastAsia="仿宋" w:cs="宋体"/>
          <w:sz w:val="32"/>
          <w:szCs w:val="32"/>
          <w:lang w:val="en-US" w:eastAsia="zh-CN"/>
        </w:rPr>
        <w:t>74.28</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54.1</w:t>
      </w:r>
      <w:r>
        <w:rPr>
          <w:rFonts w:hint="eastAsia" w:ascii="仿宋" w:hAnsi="仿宋" w:eastAsia="仿宋" w:cs="宋体"/>
          <w:sz w:val="32"/>
          <w:szCs w:val="32"/>
        </w:rPr>
        <w:t>万元，占</w:t>
      </w:r>
      <w:r>
        <w:rPr>
          <w:rFonts w:hint="eastAsia" w:ascii="仿宋" w:hAnsi="仿宋" w:eastAsia="仿宋" w:cs="宋体"/>
          <w:sz w:val="32"/>
          <w:szCs w:val="32"/>
          <w:lang w:val="en-US" w:eastAsia="zh-CN"/>
        </w:rPr>
        <w:t>25.72</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210.37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增加26.7</w:t>
      </w:r>
      <w:r>
        <w:rPr>
          <w:rFonts w:hint="eastAsia" w:ascii="仿宋" w:hAnsi="仿宋" w:eastAsia="仿宋" w:cs="宋体"/>
          <w:sz w:val="32"/>
          <w:szCs w:val="32"/>
        </w:rPr>
        <w:t>万元，</w:t>
      </w:r>
      <w:r>
        <w:rPr>
          <w:rFonts w:hint="eastAsia" w:ascii="仿宋" w:hAnsi="仿宋" w:eastAsia="仿宋" w:cs="Courier New"/>
          <w:sz w:val="32"/>
          <w:szCs w:val="32"/>
        </w:rPr>
        <w:t>上浮14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因在职人员增加。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五、一般</w:t>
      </w:r>
      <w:r>
        <w:rPr>
          <w:rFonts w:hint="eastAsia" w:ascii="仿宋" w:hAnsi="仿宋" w:eastAsia="仿宋"/>
          <w:sz w:val="32"/>
          <w:szCs w:val="32"/>
          <w:lang w:val="en-US" w:eastAsia="zh-CN"/>
        </w:rPr>
        <w:t>公共预算</w:t>
      </w:r>
      <w:r>
        <w:rPr>
          <w:rFonts w:hint="eastAsia" w:ascii="仿宋" w:hAnsi="仿宋" w:eastAsia="仿宋" w:cs="宋体"/>
          <w:b w:val="0"/>
          <w:bCs/>
          <w:color w:val="000000"/>
          <w:kern w:val="0"/>
          <w:sz w:val="32"/>
          <w:szCs w:val="32"/>
        </w:rPr>
        <w:t>支出预</w:t>
      </w:r>
      <w:r>
        <w:rPr>
          <w:rFonts w:hint="eastAsia" w:ascii="仿宋" w:hAnsi="仿宋" w:eastAsia="仿宋"/>
          <w:sz w:val="32"/>
          <w:szCs w:val="32"/>
        </w:rPr>
        <w:t>算</w:t>
      </w:r>
      <w:r>
        <w:rPr>
          <w:rFonts w:hint="eastAsia" w:ascii="仿宋" w:hAnsi="仿宋" w:eastAsia="仿宋"/>
          <w:sz w:val="32"/>
          <w:szCs w:val="32"/>
          <w:lang w:val="en-US" w:eastAsia="zh-CN"/>
        </w:rPr>
        <w:t>总体</w:t>
      </w:r>
      <w:r>
        <w:rPr>
          <w:rFonts w:hint="eastAsia" w:ascii="仿宋" w:hAnsi="仿宋" w:eastAsia="仿宋"/>
          <w:sz w:val="32"/>
          <w:szCs w:val="32"/>
        </w:rPr>
        <w:t>情况说明</w:t>
      </w:r>
    </w:p>
    <w:p>
      <w:pPr>
        <w:numPr>
          <w:ilvl w:val="0"/>
          <w:numId w:val="5"/>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一般公共预算支出预算情况说明</w:t>
      </w:r>
    </w:p>
    <w:p>
      <w:pPr>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w:t>
      </w:r>
      <w:r>
        <w:rPr>
          <w:rFonts w:hint="eastAsia" w:ascii="仿宋" w:hAnsi="仿宋" w:eastAsia="仿宋"/>
          <w:sz w:val="32"/>
          <w:szCs w:val="32"/>
        </w:rPr>
        <w:t>一般行政事务管理</w:t>
      </w:r>
      <w:r>
        <w:rPr>
          <w:rFonts w:hint="eastAsia" w:ascii="仿宋" w:hAnsi="仿宋" w:eastAsia="仿宋" w:cs="宋体"/>
          <w:bCs/>
          <w:color w:val="000000"/>
          <w:kern w:val="0"/>
          <w:sz w:val="32"/>
          <w:szCs w:val="32"/>
        </w:rPr>
        <w:t>等支出</w:t>
      </w:r>
      <w:r>
        <w:rPr>
          <w:rFonts w:hint="eastAsia" w:ascii="仿宋" w:hAnsi="仿宋" w:eastAsia="仿宋" w:cs="Courier New"/>
          <w:bCs/>
          <w:sz w:val="32"/>
          <w:szCs w:val="32"/>
        </w:rPr>
        <w:t>210.37</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w:t>
      </w:r>
      <w:r>
        <w:rPr>
          <w:rFonts w:hint="eastAsia" w:ascii="仿宋" w:hAnsi="仿宋" w:eastAsia="仿宋" w:cs="Courier New"/>
          <w:bCs/>
          <w:sz w:val="32"/>
          <w:szCs w:val="32"/>
        </w:rPr>
        <w:t>19</w:t>
      </w:r>
      <w:r>
        <w:rPr>
          <w:rFonts w:hint="eastAsia" w:ascii="仿宋" w:hAnsi="仿宋" w:eastAsia="仿宋" w:cs="宋体"/>
          <w:bCs/>
          <w:sz w:val="32"/>
          <w:szCs w:val="32"/>
        </w:rPr>
        <w:t>年相比，</w:t>
      </w:r>
      <w:r>
        <w:rPr>
          <w:rFonts w:hint="eastAsia" w:ascii="仿宋" w:hAnsi="仿宋" w:eastAsia="仿宋"/>
          <w:sz w:val="32"/>
          <w:szCs w:val="32"/>
        </w:rPr>
        <w:t>一般行政事务管理</w:t>
      </w:r>
      <w:r>
        <w:rPr>
          <w:rFonts w:hint="eastAsia" w:ascii="仿宋" w:hAnsi="仿宋" w:eastAsia="仿宋" w:cs="宋体"/>
          <w:bCs/>
          <w:color w:val="000000"/>
          <w:kern w:val="0"/>
          <w:sz w:val="32"/>
          <w:szCs w:val="32"/>
        </w:rPr>
        <w:t>等支出</w:t>
      </w:r>
      <w:r>
        <w:rPr>
          <w:rFonts w:hint="eastAsia" w:ascii="仿宋" w:hAnsi="仿宋" w:eastAsia="仿宋" w:cs="Courier New"/>
          <w:sz w:val="32"/>
          <w:szCs w:val="32"/>
        </w:rPr>
        <w:t>增加26.7</w:t>
      </w:r>
      <w:r>
        <w:rPr>
          <w:rFonts w:hint="eastAsia" w:ascii="仿宋" w:hAnsi="仿宋" w:eastAsia="仿宋" w:cs="宋体"/>
          <w:sz w:val="32"/>
          <w:szCs w:val="32"/>
        </w:rPr>
        <w:t>万元，</w:t>
      </w:r>
      <w:r>
        <w:rPr>
          <w:rFonts w:hint="eastAsia" w:ascii="仿宋" w:hAnsi="仿宋" w:eastAsia="仿宋" w:cs="Courier New"/>
          <w:sz w:val="32"/>
          <w:szCs w:val="32"/>
        </w:rPr>
        <w:t>上浮14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因为在职人员增加</w:t>
      </w:r>
      <w:r>
        <w:rPr>
          <w:rFonts w:hint="eastAsia" w:ascii="仿宋" w:hAnsi="仿宋" w:eastAsia="仿宋" w:cs="Courier New"/>
          <w:sz w:val="32"/>
          <w:szCs w:val="32"/>
          <w:lang w:eastAsia="zh-CN"/>
        </w:rPr>
        <w:t>，</w:t>
      </w:r>
      <w:r>
        <w:rPr>
          <w:rFonts w:hint="eastAsia" w:ascii="仿宋" w:hAnsi="仿宋" w:eastAsia="仿宋" w:cs="Courier New"/>
          <w:sz w:val="32"/>
          <w:szCs w:val="32"/>
          <w:lang w:val="en-US" w:eastAsia="zh-CN"/>
        </w:rPr>
        <w:t>其中基本支出156.27万元，占比年初预算支出74.28；项目支出54.1万元，占比年初预算支出25.72%。</w:t>
      </w:r>
    </w:p>
    <w:p>
      <w:pPr>
        <w:numPr>
          <w:ilvl w:val="0"/>
          <w:numId w:val="5"/>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一般公共预算基本支出预算情况说明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w:t>
      </w:r>
      <w:r>
        <w:rPr>
          <w:rFonts w:hint="eastAsia" w:ascii="仿宋" w:hAnsi="仿宋" w:eastAsia="仿宋" w:cs="宋体"/>
          <w:sz w:val="32"/>
          <w:szCs w:val="32"/>
          <w:lang w:val="en-US" w:eastAsia="zh-CN"/>
        </w:rPr>
        <w:t>中共信阳市浉河区委机构编制委员会办公室基本</w:t>
      </w:r>
      <w:r>
        <w:rPr>
          <w:rFonts w:hint="eastAsia" w:ascii="仿宋" w:hAnsi="仿宋" w:eastAsia="仿宋" w:cs="宋体"/>
          <w:bCs/>
          <w:color w:val="000000"/>
          <w:kern w:val="0"/>
          <w:sz w:val="32"/>
          <w:szCs w:val="32"/>
        </w:rPr>
        <w:t>支出</w:t>
      </w:r>
      <w:r>
        <w:rPr>
          <w:rFonts w:hint="eastAsia" w:ascii="仿宋" w:hAnsi="仿宋" w:eastAsia="仿宋" w:cs="宋体"/>
          <w:bCs/>
          <w:color w:val="000000"/>
          <w:kern w:val="0"/>
          <w:sz w:val="32"/>
          <w:szCs w:val="32"/>
          <w:lang w:val="en-US" w:eastAsia="zh-CN"/>
        </w:rPr>
        <w:t>156.2</w:t>
      </w:r>
      <w:r>
        <w:rPr>
          <w:rFonts w:hint="eastAsia" w:ascii="仿宋" w:hAnsi="仿宋" w:eastAsia="仿宋" w:cs="Courier New"/>
          <w:bCs/>
          <w:sz w:val="32"/>
          <w:szCs w:val="32"/>
        </w:rPr>
        <w:t>7</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rPr>
        <w:t>145.77</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主要包括：基本工资、津贴补贴、伙食补助费、绩效工资等（按照公开</w:t>
      </w:r>
      <w:r>
        <w:rPr>
          <w:rFonts w:ascii="仿宋" w:hAnsi="仿宋" w:eastAsia="仿宋" w:cs="Courier New"/>
          <w:sz w:val="32"/>
          <w:szCs w:val="32"/>
        </w:rPr>
        <w:t>06</w:t>
      </w:r>
      <w:r>
        <w:rPr>
          <w:rFonts w:hint="eastAsia" w:ascii="仿宋" w:hAnsi="仿宋" w:eastAsia="仿宋" w:cs="宋体"/>
          <w:sz w:val="32"/>
          <w:szCs w:val="32"/>
        </w:rPr>
        <w:t>表中</w:t>
      </w:r>
      <w:r>
        <w:rPr>
          <w:rFonts w:ascii="仿宋" w:hAnsi="仿宋" w:eastAsia="仿宋" w:cs="Courier New"/>
          <w:sz w:val="32"/>
          <w:szCs w:val="32"/>
        </w:rPr>
        <w:t>“</w:t>
      </w:r>
      <w:r>
        <w:rPr>
          <w:rFonts w:hint="eastAsia" w:ascii="仿宋" w:hAnsi="仿宋" w:eastAsia="仿宋" w:cs="宋体"/>
          <w:sz w:val="32"/>
          <w:szCs w:val="32"/>
        </w:rPr>
        <w:t>人员经费</w:t>
      </w:r>
      <w:r>
        <w:rPr>
          <w:rFonts w:ascii="仿宋" w:hAnsi="仿宋" w:eastAsia="仿宋" w:cs="Courier New"/>
          <w:sz w:val="32"/>
          <w:szCs w:val="32"/>
        </w:rPr>
        <w:t>”</w:t>
      </w:r>
      <w:r>
        <w:rPr>
          <w:rFonts w:hint="eastAsia" w:ascii="仿宋" w:hAnsi="仿宋" w:eastAsia="仿宋" w:cs="宋体"/>
          <w:sz w:val="32"/>
          <w:szCs w:val="32"/>
        </w:rPr>
        <w:t>所列项目填写）；</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rPr>
        <w:t>10.5</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w:t>
      </w:r>
      <w:r>
        <w:rPr>
          <w:rFonts w:hint="eastAsia" w:ascii="仿宋" w:hAnsi="仿宋" w:eastAsia="仿宋" w:cs="宋体"/>
          <w:sz w:val="32"/>
          <w:szCs w:val="32"/>
          <w:lang w:val="en-US" w:eastAsia="zh-CN"/>
        </w:rPr>
        <w:t>等</w:t>
      </w:r>
      <w:r>
        <w:rPr>
          <w:rFonts w:hint="eastAsia" w:ascii="仿宋" w:hAnsi="仿宋" w:eastAsia="仿宋" w:cs="宋体"/>
          <w:sz w:val="32"/>
          <w:szCs w:val="32"/>
        </w:rPr>
        <w:t>。</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2.3</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2.3</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与2019年相比无增减变动，</w:t>
      </w:r>
      <w:r>
        <w:rPr>
          <w:rFonts w:hint="eastAsia" w:ascii="仿宋" w:hAnsi="仿宋" w:eastAsia="仿宋" w:cs="宋体"/>
          <w:sz w:val="32"/>
          <w:szCs w:val="32"/>
        </w:rPr>
        <w:t>主要原因是：</w:t>
      </w:r>
      <w:r>
        <w:rPr>
          <w:rFonts w:hint="eastAsia" w:ascii="仿宋" w:hAnsi="仿宋" w:eastAsia="仿宋" w:cs="宋体"/>
          <w:sz w:val="32"/>
          <w:szCs w:val="32"/>
          <w:lang w:val="en-US" w:eastAsia="zh-CN"/>
        </w:rPr>
        <w:t>厉行节俭，控制费用支出。</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2.3</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Courier New"/>
          <w:sz w:val="32"/>
          <w:szCs w:val="32"/>
          <w:lang w:eastAsia="zh-CN"/>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公务用车运行维护费0万元，主要用于开展工作所需公务用车的燃料费、维修费、过路过桥费、保险费等支出。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支出2.3万元。其中：主要用于</w:t>
      </w:r>
      <w:r>
        <w:rPr>
          <w:rFonts w:hint="eastAsia" w:ascii="仿宋" w:hAnsi="仿宋" w:eastAsia="仿宋" w:cs="宋体"/>
          <w:sz w:val="32"/>
          <w:szCs w:val="32"/>
          <w:lang w:eastAsia="zh-CN"/>
        </w:rPr>
        <w:t>中共信阳市浉河区委机构编制委员会办公室</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与2019年相比无增减变动。</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widowControl/>
        <w:spacing w:line="600" w:lineRule="exact"/>
        <w:ind w:firstLine="640" w:firstLineChars="200"/>
        <w:jc w:val="left"/>
        <w:rPr>
          <w:rFonts w:eastAsia="仿宋_GB2312"/>
          <w:color w:val="000000"/>
          <w:kern w:val="0"/>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64.6</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w:t>
      </w:r>
      <w:r>
        <w:rPr>
          <w:rFonts w:hint="eastAsia" w:ascii="仿宋" w:hAnsi="仿宋" w:eastAsia="仿宋" w:cs="Courier New"/>
          <w:sz w:val="32"/>
          <w:szCs w:val="32"/>
        </w:rPr>
        <w:t>增加4.7</w:t>
      </w:r>
      <w:r>
        <w:rPr>
          <w:rFonts w:hint="eastAsia" w:ascii="仿宋" w:hAnsi="仿宋" w:eastAsia="仿宋" w:cs="宋体"/>
          <w:sz w:val="32"/>
          <w:szCs w:val="32"/>
        </w:rPr>
        <w:t>万元，上涨7.8</w:t>
      </w:r>
      <w:r>
        <w:rPr>
          <w:rFonts w:ascii="仿宋" w:hAnsi="仿宋" w:eastAsia="仿宋" w:cs="Courier New"/>
          <w:sz w:val="32"/>
          <w:szCs w:val="32"/>
        </w:rPr>
        <w:t>%</w:t>
      </w:r>
      <w:r>
        <w:rPr>
          <w:rFonts w:hint="eastAsia" w:ascii="仿宋" w:hAnsi="仿宋" w:eastAsia="仿宋" w:cs="Courier New"/>
          <w:sz w:val="32"/>
          <w:szCs w:val="32"/>
          <w:lang w:eastAsia="zh-CN"/>
        </w:rPr>
        <w:t>，</w:t>
      </w:r>
      <w:r>
        <w:rPr>
          <w:rFonts w:eastAsia="仿宋_GB2312"/>
          <w:color w:val="000000"/>
          <w:kern w:val="0"/>
          <w:sz w:val="32"/>
          <w:szCs w:val="32"/>
        </w:rPr>
        <w:t>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spacing w:line="560" w:lineRule="exact"/>
        <w:ind w:firstLine="640" w:firstLineChars="200"/>
        <w:rPr>
          <w:rFonts w:hint="eastAsia" w:ascii="仿宋_GB2312" w:hAnsi="宋体" w:eastAsia="仿宋_GB2312" w:cs="Courier New"/>
          <w:sz w:val="32"/>
          <w:szCs w:val="32"/>
        </w:rPr>
        <w:sectPr>
          <w:pgSz w:w="11906" w:h="16838"/>
          <w:pgMar w:top="1440" w:right="1800" w:bottom="1440" w:left="1800" w:header="851" w:footer="992" w:gutter="0"/>
          <w:cols w:space="425" w:num="1"/>
          <w:docGrid w:type="lines" w:linePitch="312" w:charSpace="0"/>
        </w:sectPr>
      </w:pPr>
    </w:p>
    <w:p>
      <w:pPr>
        <w:kinsoku w:val="0"/>
        <w:overflowPunct w:val="0"/>
        <w:autoSpaceDE w:val="0"/>
        <w:autoSpaceDN w:val="0"/>
        <w:adjustRightInd w:val="0"/>
        <w:snapToGrid w:val="0"/>
        <w:spacing w:line="360" w:lineRule="auto"/>
        <w:ind w:firstLine="960" w:firstLineChars="300"/>
        <w:rPr>
          <w:rFonts w:hint="eastAsia" w:ascii="仿宋" w:hAnsi="仿宋" w:eastAsia="仿宋" w:cs="Courier New"/>
          <w:sz w:val="32"/>
          <w:szCs w:val="32"/>
          <w:lang w:eastAsia="zh-CN"/>
        </w:rPr>
      </w:pP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widowControl/>
        <w:spacing w:line="600" w:lineRule="exact"/>
        <w:ind w:firstLine="640" w:firstLineChars="200"/>
        <w:jc w:val="left"/>
        <w:rPr>
          <w:rFonts w:hint="eastAsia"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20年度政府采购支出预算总额0万元</w:t>
      </w:r>
      <w:r>
        <w:rPr>
          <w:rFonts w:hint="eastAsia" w:ascii="仿宋" w:hAnsi="仿宋" w:eastAsia="仿宋" w:cs="Courier New"/>
          <w:sz w:val="32"/>
          <w:szCs w:val="32"/>
          <w:lang w:eastAsia="zh-CN"/>
        </w:rPr>
        <w:t>，</w:t>
      </w:r>
      <w:r>
        <w:rPr>
          <w:rFonts w:hint="eastAsia" w:ascii="仿宋" w:hAnsi="仿宋" w:eastAsia="仿宋" w:cs="Courier New"/>
          <w:sz w:val="32"/>
          <w:szCs w:val="32"/>
        </w:rPr>
        <w:t>其中：政府采购货物预算0万元、政府采购工程预算0万元、政府采购服务预算0万元。采购内容包括0设备购置、0实施费用等。</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eastAsia="zh-CN"/>
        </w:rPr>
      </w:pP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中共信阳市浉河区委机构编制委员会办公室</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bCs/>
          <w:kern w:val="0"/>
          <w:sz w:val="32"/>
          <w:szCs w:val="32"/>
        </w:rPr>
        <w:t>（</w:t>
      </w:r>
      <w:r>
        <w:rPr>
          <w:rFonts w:hint="eastAsia" w:ascii="仿宋" w:hAnsi="仿宋" w:eastAsia="仿宋" w:cs="Courier New"/>
          <w:sz w:val="32"/>
          <w:szCs w:val="32"/>
        </w:rPr>
        <w:t>四）重点项目的预算绩效目标情况。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bookmarkStart w:id="0" w:name="_GoBack"/>
      <w:r>
        <w:rPr>
          <w:rFonts w:hint="eastAsia" w:ascii="仿宋" w:hAnsi="仿宋" w:eastAsia="仿宋" w:cs="宋体"/>
          <w:sz w:val="32"/>
          <w:szCs w:val="32"/>
          <w:lang w:eastAsia="zh-CN"/>
        </w:rPr>
        <w:t>中共信阳市浉河区委机构编制委员会办公室</w:t>
      </w:r>
      <w:bookmarkEnd w:id="0"/>
      <w:r>
        <w:rPr>
          <w:rFonts w:hint="eastAsia" w:ascii="仿宋" w:hAnsi="仿宋" w:eastAsia="仿宋" w:cs="Courier New"/>
          <w:sz w:val="32"/>
          <w:szCs w:val="32"/>
        </w:rPr>
        <w:t>2020年度无重点项目。</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eastAsia="zh-CN"/>
        </w:rPr>
        <w:t>三</w:t>
      </w:r>
      <w:r>
        <w:rPr>
          <w:rFonts w:hint="eastAsia" w:ascii="仿宋" w:hAnsi="仿宋" w:eastAsia="仿宋" w:cs="隶书"/>
          <w:sz w:val="48"/>
          <w:szCs w:val="48"/>
        </w:rPr>
        <w:t>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hint="default" w:ascii="仿宋" w:hAnsi="仿宋" w:eastAsia="仿宋" w:cs="隶书"/>
          <w:sz w:val="48"/>
          <w:szCs w:val="4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WgUQV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8">
    <w:nsid w:val="5A1E79B4"/>
    <w:multiLevelType w:val="multilevel"/>
    <w:tmpl w:val="5A1E79B4"/>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2"/>
  </w:num>
  <w:num w:numId="4">
    <w:abstractNumId w:val="8"/>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2283"/>
    <w:rsid w:val="000268B8"/>
    <w:rsid w:val="00042522"/>
    <w:rsid w:val="00077E10"/>
    <w:rsid w:val="00092801"/>
    <w:rsid w:val="000B1B09"/>
    <w:rsid w:val="000B1B9B"/>
    <w:rsid w:val="00132E43"/>
    <w:rsid w:val="00142081"/>
    <w:rsid w:val="00170110"/>
    <w:rsid w:val="0017112E"/>
    <w:rsid w:val="00172A27"/>
    <w:rsid w:val="001D3FB5"/>
    <w:rsid w:val="002A721A"/>
    <w:rsid w:val="002C7A67"/>
    <w:rsid w:val="00336FCB"/>
    <w:rsid w:val="00376170"/>
    <w:rsid w:val="00377F5B"/>
    <w:rsid w:val="003A5562"/>
    <w:rsid w:val="00402C74"/>
    <w:rsid w:val="004C11C3"/>
    <w:rsid w:val="004D36BB"/>
    <w:rsid w:val="004F3C7C"/>
    <w:rsid w:val="0050293C"/>
    <w:rsid w:val="00503F16"/>
    <w:rsid w:val="005B4938"/>
    <w:rsid w:val="005E126E"/>
    <w:rsid w:val="00630D31"/>
    <w:rsid w:val="00667ECD"/>
    <w:rsid w:val="00697F87"/>
    <w:rsid w:val="006F22F7"/>
    <w:rsid w:val="007115FD"/>
    <w:rsid w:val="00731FE8"/>
    <w:rsid w:val="00743248"/>
    <w:rsid w:val="00787823"/>
    <w:rsid w:val="007956F5"/>
    <w:rsid w:val="007B72EA"/>
    <w:rsid w:val="007F7F87"/>
    <w:rsid w:val="009A0B40"/>
    <w:rsid w:val="009B6CAD"/>
    <w:rsid w:val="009C27F1"/>
    <w:rsid w:val="00A31F04"/>
    <w:rsid w:val="00A77C36"/>
    <w:rsid w:val="00AB7377"/>
    <w:rsid w:val="00AE02B2"/>
    <w:rsid w:val="00AE7787"/>
    <w:rsid w:val="00AF2A6D"/>
    <w:rsid w:val="00AF7B15"/>
    <w:rsid w:val="00B12B50"/>
    <w:rsid w:val="00B247A7"/>
    <w:rsid w:val="00B54309"/>
    <w:rsid w:val="00B74243"/>
    <w:rsid w:val="00B84FB0"/>
    <w:rsid w:val="00B97701"/>
    <w:rsid w:val="00BA37FF"/>
    <w:rsid w:val="00BC30E8"/>
    <w:rsid w:val="00BC5210"/>
    <w:rsid w:val="00BE4CA5"/>
    <w:rsid w:val="00BF3D6F"/>
    <w:rsid w:val="00BF74B7"/>
    <w:rsid w:val="00C57D7B"/>
    <w:rsid w:val="00C6444A"/>
    <w:rsid w:val="00CA3D29"/>
    <w:rsid w:val="00CD4933"/>
    <w:rsid w:val="00D9092F"/>
    <w:rsid w:val="00DB1C77"/>
    <w:rsid w:val="00DB36B1"/>
    <w:rsid w:val="00DD5457"/>
    <w:rsid w:val="00DF52E2"/>
    <w:rsid w:val="00E21B07"/>
    <w:rsid w:val="00E32E02"/>
    <w:rsid w:val="00E8190D"/>
    <w:rsid w:val="00E92067"/>
    <w:rsid w:val="00ED38A5"/>
    <w:rsid w:val="00ED44BB"/>
    <w:rsid w:val="00EE6AA4"/>
    <w:rsid w:val="00F1270D"/>
    <w:rsid w:val="00F1445D"/>
    <w:rsid w:val="00F92F65"/>
    <w:rsid w:val="00F94FCA"/>
    <w:rsid w:val="00FB0B96"/>
    <w:rsid w:val="01092110"/>
    <w:rsid w:val="01277514"/>
    <w:rsid w:val="01597D70"/>
    <w:rsid w:val="01F21A60"/>
    <w:rsid w:val="026651AD"/>
    <w:rsid w:val="027033B1"/>
    <w:rsid w:val="03240ECA"/>
    <w:rsid w:val="03DB5712"/>
    <w:rsid w:val="04453648"/>
    <w:rsid w:val="06832860"/>
    <w:rsid w:val="07F31BEE"/>
    <w:rsid w:val="07FB5821"/>
    <w:rsid w:val="084D7413"/>
    <w:rsid w:val="087B6D0F"/>
    <w:rsid w:val="08A93228"/>
    <w:rsid w:val="08FB3159"/>
    <w:rsid w:val="09BB2134"/>
    <w:rsid w:val="0C366EEC"/>
    <w:rsid w:val="0EA403BA"/>
    <w:rsid w:val="0FAB2FE6"/>
    <w:rsid w:val="0FEF0DE6"/>
    <w:rsid w:val="0FFF7AFA"/>
    <w:rsid w:val="100D2199"/>
    <w:rsid w:val="113E646F"/>
    <w:rsid w:val="117A0571"/>
    <w:rsid w:val="128A07BC"/>
    <w:rsid w:val="136A6133"/>
    <w:rsid w:val="139C6079"/>
    <w:rsid w:val="147E551D"/>
    <w:rsid w:val="1480503E"/>
    <w:rsid w:val="14D2458E"/>
    <w:rsid w:val="150B6848"/>
    <w:rsid w:val="15492582"/>
    <w:rsid w:val="17965762"/>
    <w:rsid w:val="17BE6092"/>
    <w:rsid w:val="17F73D7A"/>
    <w:rsid w:val="18EB7610"/>
    <w:rsid w:val="1A624019"/>
    <w:rsid w:val="1B80212A"/>
    <w:rsid w:val="1C1F61CB"/>
    <w:rsid w:val="1C3B117F"/>
    <w:rsid w:val="1C572563"/>
    <w:rsid w:val="1C970E94"/>
    <w:rsid w:val="1E2566FD"/>
    <w:rsid w:val="1E7D3B34"/>
    <w:rsid w:val="203620DE"/>
    <w:rsid w:val="20F5460F"/>
    <w:rsid w:val="212E5315"/>
    <w:rsid w:val="23572AFD"/>
    <w:rsid w:val="24A6503F"/>
    <w:rsid w:val="24FA18F4"/>
    <w:rsid w:val="254B33D1"/>
    <w:rsid w:val="256D2254"/>
    <w:rsid w:val="25FE7C4C"/>
    <w:rsid w:val="27507D70"/>
    <w:rsid w:val="29621C7E"/>
    <w:rsid w:val="2983760E"/>
    <w:rsid w:val="29B13F52"/>
    <w:rsid w:val="29ED2241"/>
    <w:rsid w:val="2ACE51FA"/>
    <w:rsid w:val="2B73532D"/>
    <w:rsid w:val="2BA4769A"/>
    <w:rsid w:val="2C654BE7"/>
    <w:rsid w:val="2C8F6BCF"/>
    <w:rsid w:val="2CC075DB"/>
    <w:rsid w:val="2CD06EF4"/>
    <w:rsid w:val="2D6B6198"/>
    <w:rsid w:val="2D9D4DA5"/>
    <w:rsid w:val="2DBF18D1"/>
    <w:rsid w:val="2EF22606"/>
    <w:rsid w:val="2F47056C"/>
    <w:rsid w:val="307652F7"/>
    <w:rsid w:val="325F6EF2"/>
    <w:rsid w:val="32EF005E"/>
    <w:rsid w:val="32EF40CE"/>
    <w:rsid w:val="33A76F4E"/>
    <w:rsid w:val="34416F30"/>
    <w:rsid w:val="364D690A"/>
    <w:rsid w:val="36FA2471"/>
    <w:rsid w:val="372974AC"/>
    <w:rsid w:val="38262F47"/>
    <w:rsid w:val="39134D5A"/>
    <w:rsid w:val="39637962"/>
    <w:rsid w:val="39765334"/>
    <w:rsid w:val="39967F15"/>
    <w:rsid w:val="39C10475"/>
    <w:rsid w:val="3AE7177F"/>
    <w:rsid w:val="3B1062EF"/>
    <w:rsid w:val="3C3108E6"/>
    <w:rsid w:val="3C5769C0"/>
    <w:rsid w:val="3D2A3A98"/>
    <w:rsid w:val="3EA437AD"/>
    <w:rsid w:val="3EEE22CD"/>
    <w:rsid w:val="3F081D17"/>
    <w:rsid w:val="3FCD07F4"/>
    <w:rsid w:val="40D9187E"/>
    <w:rsid w:val="41A96A6B"/>
    <w:rsid w:val="41CF71DE"/>
    <w:rsid w:val="42271DDB"/>
    <w:rsid w:val="42563EC6"/>
    <w:rsid w:val="429A66C6"/>
    <w:rsid w:val="43E82B9D"/>
    <w:rsid w:val="457B1C96"/>
    <w:rsid w:val="463A1B78"/>
    <w:rsid w:val="468900BD"/>
    <w:rsid w:val="46F559ED"/>
    <w:rsid w:val="47013EBC"/>
    <w:rsid w:val="477D716C"/>
    <w:rsid w:val="483149A0"/>
    <w:rsid w:val="48B52937"/>
    <w:rsid w:val="48C00F7D"/>
    <w:rsid w:val="48EE3EF3"/>
    <w:rsid w:val="493E57E9"/>
    <w:rsid w:val="4B2D55EB"/>
    <w:rsid w:val="4B9A4DC2"/>
    <w:rsid w:val="4C1E2F28"/>
    <w:rsid w:val="4CDB5748"/>
    <w:rsid w:val="4DE20C7C"/>
    <w:rsid w:val="50596569"/>
    <w:rsid w:val="50C2787A"/>
    <w:rsid w:val="5115239B"/>
    <w:rsid w:val="51E403A7"/>
    <w:rsid w:val="541D6A82"/>
    <w:rsid w:val="544677EE"/>
    <w:rsid w:val="55EA1009"/>
    <w:rsid w:val="5651051D"/>
    <w:rsid w:val="57E961A8"/>
    <w:rsid w:val="581E77CF"/>
    <w:rsid w:val="58B06254"/>
    <w:rsid w:val="5AF25131"/>
    <w:rsid w:val="5B1F131B"/>
    <w:rsid w:val="5BCA31AA"/>
    <w:rsid w:val="5C0F3375"/>
    <w:rsid w:val="5D4A4CBB"/>
    <w:rsid w:val="5D5D37C7"/>
    <w:rsid w:val="5DD56AC2"/>
    <w:rsid w:val="5DD8301E"/>
    <w:rsid w:val="5E886EBD"/>
    <w:rsid w:val="5EB57926"/>
    <w:rsid w:val="5ECF3FA4"/>
    <w:rsid w:val="5F130DE5"/>
    <w:rsid w:val="5F964892"/>
    <w:rsid w:val="5FB578F9"/>
    <w:rsid w:val="600176AC"/>
    <w:rsid w:val="60B8378D"/>
    <w:rsid w:val="60F22670"/>
    <w:rsid w:val="617A16DC"/>
    <w:rsid w:val="61D21C45"/>
    <w:rsid w:val="627A693C"/>
    <w:rsid w:val="62D27395"/>
    <w:rsid w:val="63FC5C35"/>
    <w:rsid w:val="640A7B90"/>
    <w:rsid w:val="65F4301B"/>
    <w:rsid w:val="664A46E0"/>
    <w:rsid w:val="66DC322D"/>
    <w:rsid w:val="6796775E"/>
    <w:rsid w:val="67D84ED8"/>
    <w:rsid w:val="68500770"/>
    <w:rsid w:val="686B0051"/>
    <w:rsid w:val="687C156E"/>
    <w:rsid w:val="68E95CA0"/>
    <w:rsid w:val="68F315DE"/>
    <w:rsid w:val="69F84494"/>
    <w:rsid w:val="6ABB6698"/>
    <w:rsid w:val="6AC30185"/>
    <w:rsid w:val="6DC12C15"/>
    <w:rsid w:val="6F2D14A1"/>
    <w:rsid w:val="6FDF24CC"/>
    <w:rsid w:val="705F045F"/>
    <w:rsid w:val="707512B1"/>
    <w:rsid w:val="7105487B"/>
    <w:rsid w:val="71490407"/>
    <w:rsid w:val="7156288B"/>
    <w:rsid w:val="72997631"/>
    <w:rsid w:val="72B61072"/>
    <w:rsid w:val="72E31671"/>
    <w:rsid w:val="73F12465"/>
    <w:rsid w:val="75531EF6"/>
    <w:rsid w:val="755A7A11"/>
    <w:rsid w:val="75CB2502"/>
    <w:rsid w:val="75D0003D"/>
    <w:rsid w:val="76147D8F"/>
    <w:rsid w:val="76BD35D3"/>
    <w:rsid w:val="783E1213"/>
    <w:rsid w:val="78F81BD5"/>
    <w:rsid w:val="79060C93"/>
    <w:rsid w:val="7A070B19"/>
    <w:rsid w:val="7B2C4C89"/>
    <w:rsid w:val="7BB11548"/>
    <w:rsid w:val="7C2C4361"/>
    <w:rsid w:val="7D6F2B41"/>
    <w:rsid w:val="7EE121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style>
  <w:style w:type="paragraph" w:styleId="3">
    <w:name w:val="Body Text Indent"/>
    <w:basedOn w:val="1"/>
    <w:link w:val="8"/>
    <w:qFormat/>
    <w:uiPriority w:val="99"/>
    <w:pPr>
      <w:ind w:firstLine="640" w:firstLineChars="20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Char"/>
    <w:basedOn w:val="7"/>
    <w:link w:val="3"/>
    <w:semiHidden/>
    <w:qFormat/>
    <w:locked/>
    <w:uiPriority w:val="99"/>
    <w:rPr>
      <w:rFonts w:ascii="Calibri" w:hAnsi="Calibri" w:cs="Times New Roman"/>
      <w:sz w:val="24"/>
      <w:szCs w:val="24"/>
    </w:rPr>
  </w:style>
  <w:style w:type="character" w:customStyle="1" w:styleId="9">
    <w:name w:val="页脚 Char"/>
    <w:basedOn w:val="7"/>
    <w:link w:val="4"/>
    <w:semiHidden/>
    <w:qFormat/>
    <w:locked/>
    <w:uiPriority w:val="99"/>
    <w:rPr>
      <w:rFonts w:ascii="Calibri" w:hAnsi="Calibri" w:cs="Times New Roman"/>
      <w:sz w:val="18"/>
      <w:szCs w:val="18"/>
    </w:rPr>
  </w:style>
  <w:style w:type="character" w:customStyle="1" w:styleId="10">
    <w:name w:val="页眉 Char"/>
    <w:basedOn w:val="7"/>
    <w:link w:val="5"/>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C64C1-BBDB-4173-AB8D-8895862EF46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1668</Words>
  <Characters>9514</Characters>
  <Lines>79</Lines>
  <Paragraphs>22</Paragraphs>
  <TotalTime>0</TotalTime>
  <ScaleCrop>false</ScaleCrop>
  <LinksUpToDate>false</LinksUpToDate>
  <CharactersWithSpaces>11160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2021-06-19T08:34:38Z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6D8DFCB7A7954CED886AC27F9C054292</vt:lpwstr>
  </property>
</Properties>
</file>