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中共信阳市浉河区委区政府督查局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hint="eastAsia" w:ascii="仿宋" w:hAnsi="仿宋" w:eastAsia="仿宋" w:cs="黑体"/>
          <w:sz w:val="32"/>
          <w:szCs w:val="32"/>
        </w:rPr>
      </w:pPr>
    </w:p>
    <w:p>
      <w:pPr>
        <w:jc w:val="center"/>
        <w:rPr>
          <w:rFonts w:hint="eastAsia"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中共信阳市浉河区委区政府督查局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中共信阳市浉河区委区政府督查局</w:t>
      </w:r>
      <w:r>
        <w:rPr>
          <w:rFonts w:ascii="仿宋" w:hAnsi="仿宋" w:eastAsia="仿宋" w:cs="黑体"/>
          <w:sz w:val="32"/>
          <w:szCs w:val="32"/>
        </w:rPr>
        <w:t>20</w:t>
      </w:r>
      <w:r>
        <w:rPr>
          <w:rFonts w:hint="eastAsia" w:ascii="仿宋" w:hAnsi="仿宋" w:eastAsia="仿宋" w:cs="黑体"/>
          <w:sz w:val="32"/>
          <w:szCs w:val="32"/>
        </w:rPr>
        <w:t>20年度部门预算情况说明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中共信阳市浉河区委区政府督查局</w:t>
      </w:r>
      <w:r>
        <w:rPr>
          <w:rFonts w:hint="eastAsia" w:ascii="仿宋" w:hAnsi="仿宋" w:eastAsia="仿宋" w:cs="黑体"/>
          <w:b w:val="0"/>
          <w:bCs w:val="0"/>
          <w:sz w:val="32"/>
          <w:szCs w:val="32"/>
        </w:rPr>
        <w:t>2020年度部门预算表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中共信阳市浉河区委区政府督查局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14"/>
        <w:numPr>
          <w:ilvl w:val="0"/>
          <w:numId w:val="2"/>
        </w:numPr>
        <w:spacing w:line="52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520" w:lineRule="exact"/>
        <w:ind w:firstLine="640" w:firstLineChars="200"/>
        <w:rPr>
          <w:rFonts w:ascii="仿宋_GB2312" w:eastAsia="仿宋_GB2312"/>
          <w:color w:val="000000"/>
          <w:spacing w:val="8"/>
          <w:sz w:val="32"/>
          <w:szCs w:val="32"/>
        </w:rPr>
      </w:pP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内设5个职能科室,</w:t>
      </w:r>
      <w:r>
        <w:rPr>
          <w:rFonts w:hint="eastAsia" w:ascii="仿宋_GB2312" w:hAnsi="Arial" w:eastAsia="仿宋_GB2312" w:cs="Arial"/>
          <w:color w:val="000000"/>
          <w:sz w:val="32"/>
          <w:szCs w:val="32"/>
        </w:rPr>
        <w:t xml:space="preserve"> 下设2个事业单位</w:t>
      </w:r>
      <w:r>
        <w:rPr>
          <w:rFonts w:hint="eastAsia" w:ascii="仿宋_GB2312" w:hAnsi="仿宋_GB2312" w:eastAsia="仿宋_GB2312" w:cs="仿宋_GB2312"/>
          <w:sz w:val="32"/>
          <w:szCs w:val="32"/>
        </w:rPr>
        <w:t>。主要职责是：</w:t>
      </w:r>
      <w:r>
        <w:rPr>
          <w:rFonts w:hint="eastAsia" w:ascii="仿宋_GB2312" w:eastAsia="仿宋_GB2312"/>
          <w:color w:val="000000"/>
          <w:spacing w:val="8"/>
          <w:sz w:val="32"/>
          <w:szCs w:val="32"/>
        </w:rPr>
        <w:t>负责对中央和省、市、区各级党委、政府重大决策、重要工作部署、重要会议及文件精神的推进落实情况进行责任分解，开展督促检查，并及时向区主要领导反馈落实情况。</w:t>
      </w:r>
      <w:r>
        <w:rPr>
          <w:rFonts w:hint="eastAsia" w:ascii="仿宋_GB2312" w:eastAsia="仿宋_GB2312"/>
          <w:color w:val="000000"/>
          <w:sz w:val="32"/>
          <w:szCs w:val="32"/>
        </w:rPr>
        <w:t>落实区级中心工作推进机制台账管理、做好督查考评。</w:t>
      </w:r>
      <w:r>
        <w:rPr>
          <w:rFonts w:hint="eastAsia" w:ascii="仿宋_GB2312" w:eastAsia="仿宋_GB2312"/>
          <w:color w:val="000000"/>
          <w:spacing w:val="8"/>
          <w:sz w:val="32"/>
          <w:szCs w:val="32"/>
        </w:rPr>
        <w:t>围绕上级和区委、区政府主要领导批示精神，以及在会议、调研、视察、现场办公等作出的指示和要求，开展督促检查。负责省、市、区主要领导批示件、市长交办件、网</w:t>
      </w:r>
      <w:r>
        <w:rPr>
          <w:rFonts w:hint="eastAsia" w:ascii="仿宋_GB2312" w:eastAsia="仿宋_GB2312"/>
          <w:spacing w:val="8"/>
          <w:sz w:val="32"/>
          <w:szCs w:val="32"/>
        </w:rPr>
        <w:t>民</w:t>
      </w:r>
      <w:r>
        <w:rPr>
          <w:rFonts w:hint="eastAsia" w:ascii="仿宋_GB2312" w:eastAsia="仿宋_GB2312"/>
          <w:color w:val="000000"/>
          <w:spacing w:val="8"/>
          <w:sz w:val="32"/>
          <w:szCs w:val="32"/>
        </w:rPr>
        <w:t>留言，书记、区长信箱相关事项，并跟踪督查落实。做好省、市、区民生实事的任务分解、重大项目跟踪督查等工作。拟定全区目标考评体系、实施方案，并做好目标运行管理，做好全区各目标责任单位年度绩效考核工作。制定全区科级干部的绩效量化评价细则，完善干部绩效档案，实行量化转换，定期将干部绩效监察情况向区委报告，为干部评先、奖惩、使用提供依据。围绕经济社会发展中领导关注的重大问题，群众关注的热点、难点问题，积极开展督查调研活动。定期对全区干部工作纪律、工作作风开展监督检查，对于发现的违规违纪问题，按照相关程序和规定移交区纪委</w:t>
      </w:r>
      <w:r>
        <w:rPr>
          <w:rFonts w:hint="eastAsia" w:ascii="仿宋_GB2312" w:eastAsia="仿宋_GB2312"/>
          <w:spacing w:val="8"/>
          <w:sz w:val="32"/>
          <w:szCs w:val="32"/>
        </w:rPr>
        <w:t>监察委</w:t>
      </w:r>
      <w:r>
        <w:rPr>
          <w:rFonts w:hint="eastAsia" w:ascii="仿宋_GB2312" w:eastAsia="仿宋_GB2312"/>
          <w:color w:val="000000"/>
          <w:spacing w:val="8"/>
          <w:sz w:val="32"/>
          <w:szCs w:val="32"/>
        </w:rPr>
        <w:t>进行责任追究。负责做好与上级督查、目标等部门的沟通、协调服务工作。负责督查工作的制度化、规范化和科学化建设，对全区督查工作进行协调、指导，加强督查网络和队伍建设。</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人员编制行政编制8人,事业编制数目前正在审批中，现实有在职人员数25人。</w:t>
      </w:r>
    </w:p>
    <w:p>
      <w:pPr>
        <w:spacing w:line="520" w:lineRule="exact"/>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20" w:lineRule="exact"/>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 w:eastAsia="仿宋_GB2312"/>
          <w:color w:val="000000"/>
          <w:spacing w:val="8"/>
          <w:sz w:val="32"/>
          <w:szCs w:val="32"/>
          <w:lang w:eastAsia="zh-CN"/>
        </w:rPr>
        <w:t>中共信阳市浉河区委区政府督查局</w:t>
      </w:r>
      <w:r>
        <w:rPr>
          <w:rFonts w:hint="eastAsia" w:ascii="仿宋_GB2312" w:hAnsi="仿宋_GB2312" w:eastAsia="仿宋_GB2312" w:cs="仿宋_GB2312"/>
          <w:sz w:val="32"/>
          <w:szCs w:val="32"/>
        </w:rPr>
        <w:t>2020年度部门预算编制范围的单位包括：</w:t>
      </w:r>
    </w:p>
    <w:p>
      <w:pPr>
        <w:spacing w:line="520" w:lineRule="exact"/>
        <w:ind w:left="640"/>
        <w:jc w:val="left"/>
        <w:rPr>
          <w:rFonts w:hint="eastAsia" w:ascii="仿宋_GB2312" w:hAnsi="仿宋" w:eastAsia="仿宋_GB2312"/>
          <w:color w:val="000000"/>
          <w:spacing w:val="8"/>
          <w:sz w:val="32"/>
          <w:szCs w:val="32"/>
          <w:lang w:eastAsia="zh-CN"/>
        </w:rPr>
      </w:pPr>
      <w:r>
        <w:rPr>
          <w:rFonts w:hint="eastAsia" w:ascii="仿宋_GB2312" w:hAnsi="仿宋" w:eastAsia="仿宋_GB2312"/>
          <w:color w:val="000000"/>
          <w:spacing w:val="8"/>
          <w:sz w:val="32"/>
          <w:szCs w:val="32"/>
        </w:rPr>
        <w:t>1.</w:t>
      </w:r>
      <w:r>
        <w:rPr>
          <w:rFonts w:hint="eastAsia" w:ascii="仿宋_GB2312" w:hAnsi="仿宋" w:eastAsia="仿宋_GB2312"/>
          <w:color w:val="000000"/>
          <w:spacing w:val="8"/>
          <w:sz w:val="32"/>
          <w:szCs w:val="32"/>
          <w:lang w:eastAsia="zh-CN"/>
        </w:rPr>
        <w:t>中共信阳市浉河区委区政府督查局</w:t>
      </w:r>
    </w:p>
    <w:p>
      <w:pPr>
        <w:spacing w:line="520" w:lineRule="exact"/>
        <w:ind w:left="640"/>
        <w:jc w:val="left"/>
        <w:rPr>
          <w:rFonts w:ascii="仿宋_GB2312" w:eastAsia="仿宋_GB2312"/>
          <w:color w:val="000000"/>
          <w:spacing w:val="8"/>
          <w:sz w:val="32"/>
          <w:szCs w:val="32"/>
        </w:rPr>
      </w:pPr>
      <w:r>
        <w:rPr>
          <w:rFonts w:hint="eastAsia" w:ascii="仿宋_GB2312" w:hAnsi="仿宋" w:eastAsia="仿宋_GB2312"/>
          <w:color w:val="000000"/>
          <w:spacing w:val="8"/>
          <w:sz w:val="32"/>
          <w:szCs w:val="32"/>
        </w:rPr>
        <w:t>2.</w:t>
      </w:r>
      <w:r>
        <w:rPr>
          <w:rFonts w:hint="eastAsia" w:ascii="仿宋_GB2312" w:eastAsia="仿宋_GB2312"/>
          <w:color w:val="000000"/>
          <w:spacing w:val="8"/>
          <w:sz w:val="32"/>
          <w:szCs w:val="32"/>
        </w:rPr>
        <w:t>浉河区督查信息中心</w:t>
      </w:r>
    </w:p>
    <w:p>
      <w:pPr>
        <w:spacing w:line="520" w:lineRule="exact"/>
        <w:ind w:left="640"/>
        <w:jc w:val="left"/>
        <w:rPr>
          <w:rFonts w:ascii="仿宋_GB2312" w:hAnsi="仿宋" w:eastAsia="仿宋_GB2312"/>
          <w:color w:val="000000"/>
          <w:spacing w:val="8"/>
          <w:sz w:val="32"/>
          <w:szCs w:val="32"/>
        </w:rPr>
      </w:pPr>
      <w:r>
        <w:rPr>
          <w:rFonts w:hint="eastAsia" w:ascii="仿宋_GB2312" w:eastAsia="仿宋_GB2312"/>
          <w:color w:val="000000"/>
          <w:spacing w:val="8"/>
          <w:sz w:val="32"/>
          <w:szCs w:val="32"/>
        </w:rPr>
        <w:t>3.浉河区绩效评价中心</w:t>
      </w:r>
    </w:p>
    <w:p>
      <w:pPr>
        <w:spacing w:line="520" w:lineRule="exact"/>
        <w:ind w:left="142"/>
        <w:jc w:val="left"/>
        <w:rPr>
          <w:rFonts w:ascii="仿宋_GB2312" w:hAnsi="仿宋" w:eastAsia="仿宋_GB2312"/>
          <w:color w:val="000000"/>
          <w:spacing w:val="8"/>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三、机构设置</w:t>
      </w:r>
    </w:p>
    <w:p>
      <w:pPr>
        <w:spacing w:line="520" w:lineRule="exact"/>
        <w:ind w:left="142"/>
        <w:jc w:val="left"/>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 xml:space="preserve">    </w:t>
      </w:r>
      <w:r>
        <w:rPr>
          <w:rFonts w:hint="eastAsia" w:ascii="仿宋_GB2312" w:eastAsia="仿宋_GB2312"/>
          <w:color w:val="000000"/>
          <w:spacing w:val="8"/>
          <w:sz w:val="32"/>
          <w:szCs w:val="32"/>
          <w:lang w:eastAsia="zh-CN"/>
        </w:rPr>
        <w:t>中共信阳市浉河区委区政府督查局</w:t>
      </w:r>
      <w:r>
        <w:rPr>
          <w:rFonts w:hint="eastAsia" w:ascii="仿宋_GB2312" w:eastAsia="仿宋_GB2312"/>
          <w:color w:val="000000"/>
          <w:spacing w:val="8"/>
          <w:sz w:val="32"/>
          <w:szCs w:val="32"/>
        </w:rPr>
        <w:t>内设5个职能科室, 即办公室、督查一室、督查二室、督查三室、党建室；下设2个事业单位，即浉河区督查信息中心、浉河区绩效评价中心。</w:t>
      </w:r>
    </w:p>
    <w:p>
      <w:pPr>
        <w:spacing w:line="520" w:lineRule="exact"/>
        <w:ind w:firstLine="672" w:firstLineChars="200"/>
        <w:rPr>
          <w:rFonts w:ascii="仿宋_GB2312" w:eastAsia="仿宋_GB2312"/>
          <w:b/>
          <w:color w:val="000000"/>
          <w:spacing w:val="8"/>
          <w:sz w:val="32"/>
          <w:szCs w:val="32"/>
        </w:rPr>
      </w:pPr>
      <w:r>
        <w:rPr>
          <w:rFonts w:hint="eastAsia" w:ascii="仿宋_GB2312" w:eastAsia="仿宋_GB2312"/>
          <w:color w:val="000000"/>
          <w:spacing w:val="8"/>
          <w:sz w:val="32"/>
          <w:szCs w:val="32"/>
        </w:rPr>
        <w:t>（一）办公室。主要负责统筹协调、文字材料、宣传、督查事项立项审批、督查调研等工作。负责局机关日常工作；规章制度的制定及执行；印鉴管理、公文流转及档案管理；车辆管理与维护；工青妇；承办局有关重要活动及会议的组织、协调和服务工作；区级中心工作推进机制台账管理。</w:t>
      </w:r>
      <w:r>
        <w:rPr>
          <w:rFonts w:hint="eastAsia" w:ascii="仿宋_GB2312" w:eastAsia="仿宋_GB2312"/>
          <w:spacing w:val="8"/>
          <w:sz w:val="32"/>
          <w:szCs w:val="32"/>
        </w:rPr>
        <w:t>认真执行机关财务制度，加强机关财务管理，拟定机关财务预算方案，填报机关财务收支报表；做好机关工作人员的社会保险费、工会会费、住房公积金等的收缴；</w:t>
      </w:r>
      <w:r>
        <w:rPr>
          <w:rFonts w:hint="eastAsia" w:ascii="仿宋_GB2312" w:eastAsia="仿宋_GB2312"/>
          <w:color w:val="000000"/>
          <w:spacing w:val="8"/>
          <w:sz w:val="32"/>
          <w:szCs w:val="32"/>
        </w:rPr>
        <w:t>负责局机关固定资产管理；负责局机关办公用品计划、购置、发放管理；负责安全生产、信访稳定等相关工作。负责其他后勤管理工作及领导交办的临时性工作任务。</w:t>
      </w:r>
    </w:p>
    <w:p>
      <w:pPr>
        <w:spacing w:line="520" w:lineRule="exact"/>
        <w:ind w:firstLine="672" w:firstLineChars="200"/>
        <w:rPr>
          <w:rFonts w:ascii="楷体_GB2312" w:eastAsia="楷体_GB2312"/>
          <w:color w:val="000000"/>
          <w:spacing w:val="8"/>
          <w:sz w:val="32"/>
          <w:szCs w:val="32"/>
        </w:rPr>
      </w:pPr>
      <w:r>
        <w:rPr>
          <w:rFonts w:hint="eastAsia" w:ascii="仿宋_GB2312" w:eastAsia="仿宋_GB2312"/>
          <w:spacing w:val="8"/>
          <w:sz w:val="32"/>
          <w:szCs w:val="32"/>
        </w:rPr>
        <w:t>（二）督查一室。负责市、区政府领导视察、调研中交办的事项办理和区</w:t>
      </w:r>
      <w:r>
        <w:rPr>
          <w:rFonts w:hint="eastAsia" w:ascii="仿宋_GB2312" w:eastAsia="仿宋_GB2312"/>
          <w:color w:val="000000"/>
          <w:spacing w:val="4"/>
          <w:sz w:val="32"/>
          <w:szCs w:val="32"/>
        </w:rPr>
        <w:t>委、区政府重大决策、重点中心工作、临时性中心工作及会议精神贯彻落实等工作的督查；对省、市、区政府工作报告任务分解及督导落实，对省、市、区重点工作及民生实事落实情况督查；负责区委、区政府领导交办的其他决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三）督查二室。主要负责省、市、区委主要领导批示件、群众来信的办理和专项督查；负责全区提高行政效能和优化经济发展环境的督查；负责全区各单位落实中央“八项规定”精神、省委省政府若干意见、市委市政府30条意见情况的督查；负责全区干部作风、工作纪律、工作制度、节假日值班带班制度落实情况督查；负责全区脱贫攻坚领域驻村第一书记、脱贫责任组长、帮扶单位和帮扶责任人履职尽责情况督查；负责区委区政府主要领导交办的其他各项临时性中心工作任务的督查。</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四）督查三室。负责制定全区目标计划，监控目标运行情况，指导协调全区目标运行，组织实施对目标责任单位的考评与奖惩；负责对全区重大管理、一般管理的实施类项目建设进行重点督查，对项目建设管理责任单位、服务项目建设单位、年度内建设项目进行量化考核；负责区级中心工作推进机制中重点建设项目落实情况的督查。</w:t>
      </w:r>
    </w:p>
    <w:p>
      <w:pPr>
        <w:pStyle w:val="5"/>
        <w:shd w:val="clear" w:color="auto" w:fill="FFFFFF"/>
        <w:spacing w:before="0" w:beforeAutospacing="0" w:after="0" w:afterAutospacing="0" w:line="520" w:lineRule="exact"/>
        <w:ind w:firstLine="640"/>
        <w:rPr>
          <w:rFonts w:ascii="仿宋_GB2312" w:hAnsi="Calibri" w:eastAsia="仿宋_GB2312" w:cs="Times New Roman"/>
          <w:color w:val="000000"/>
          <w:spacing w:val="8"/>
          <w:kern w:val="2"/>
          <w:sz w:val="32"/>
          <w:szCs w:val="32"/>
        </w:rPr>
      </w:pPr>
      <w:r>
        <w:rPr>
          <w:rFonts w:hint="eastAsia" w:ascii="仿宋_GB2312" w:hAnsi="Calibri" w:eastAsia="仿宋_GB2312" w:cs="Times New Roman"/>
          <w:color w:val="000000"/>
          <w:spacing w:val="8"/>
          <w:kern w:val="2"/>
          <w:sz w:val="32"/>
          <w:szCs w:val="32"/>
        </w:rPr>
        <w:t>（五）党建室。负责局机关及二级机构党建、人事、中心组学习等工作；负责组织召开民主生活会及党组召开的各项会议和学习活动的筹备和组织记录工作，以局党组名义组织召开的重要会议、重要活动的通知、组织、协调和落实工作；负责党费收缴管理，党员信息采集、整理和统计，党员的教育、管理和发展及党员组织关系的接收、管理工作；负责起草局党建工作计划、工作总结及党组领导的重要讲话，起草、校核、上报、下发、归档局党组的各类文件；负责党员的民主评议和干部年度考核工作；负责局工作人员工资调级晋档；完成局领导交办的其他工作。</w:t>
      </w:r>
    </w:p>
    <w:p>
      <w:pPr>
        <w:pStyle w:val="5"/>
        <w:shd w:val="clear" w:color="auto" w:fill="FFFFFF"/>
        <w:spacing w:before="0" w:beforeAutospacing="0" w:after="0" w:afterAutospacing="0" w:line="520" w:lineRule="exact"/>
        <w:ind w:firstLine="640"/>
        <w:rPr>
          <w:rFonts w:ascii="黑体" w:hAnsi="黑体" w:eastAsia="黑体" w:cs="Arial"/>
          <w:color w:val="000000"/>
          <w:sz w:val="32"/>
          <w:szCs w:val="32"/>
        </w:rPr>
      </w:pPr>
      <w:r>
        <w:rPr>
          <w:rFonts w:hint="eastAsia" w:ascii="黑体" w:hAnsi="黑体" w:eastAsia="黑体" w:cs="Arial"/>
          <w:color w:val="000000"/>
          <w:sz w:val="32"/>
          <w:szCs w:val="32"/>
          <w:lang w:eastAsia="zh-CN"/>
        </w:rPr>
        <w:t>中共信阳市浉河区委区政府督查局</w:t>
      </w:r>
      <w:r>
        <w:rPr>
          <w:rFonts w:hint="eastAsia" w:ascii="黑体" w:hAnsi="黑体" w:eastAsia="黑体" w:cs="Arial"/>
          <w:color w:val="000000"/>
          <w:sz w:val="32"/>
          <w:szCs w:val="32"/>
        </w:rPr>
        <w:t>下设下列事业单位：</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一）浉河区督查信息中心。负责市长热线交办件办理；负责督查专网及公共平台维护管理、网民留言、政府网领导留言板回复、督办、上报；市区党政主要领导电子信箱留言的督查办理、回访、维稳等工作；负责领导交办的其他督查工作。</w:t>
      </w:r>
    </w:p>
    <w:p>
      <w:pPr>
        <w:spacing w:line="520" w:lineRule="exact"/>
        <w:ind w:firstLine="672" w:firstLineChars="200"/>
        <w:rPr>
          <w:rFonts w:ascii="仿宋_GB2312" w:eastAsia="仿宋_GB2312"/>
          <w:color w:val="000000"/>
          <w:spacing w:val="8"/>
          <w:sz w:val="32"/>
          <w:szCs w:val="32"/>
        </w:rPr>
      </w:pPr>
      <w:r>
        <w:rPr>
          <w:rFonts w:hint="eastAsia" w:ascii="仿宋_GB2312" w:eastAsia="仿宋_GB2312"/>
          <w:color w:val="000000"/>
          <w:spacing w:val="8"/>
          <w:sz w:val="32"/>
          <w:szCs w:val="32"/>
        </w:rPr>
        <w:t>（二）浉河区绩效评价中心。建立单位绩效评价体系，充实完善单位绩效量化评价细则，建立单位绩效台账，组织单位绩效考核工作，负责对各项督查考核结果的运用，提出考核等次建议；建立科级干部政绩量化标准体系。制定、完善科级干部绩效量化评价细则，建立科级干部政绩档案，组织科级干部工作实绩考核，为干部评先、奖惩、使用提供依据；开展对单位和科级干部绩效日常监控核查，督导按时完成工作任务。</w:t>
      </w:r>
    </w:p>
    <w:p>
      <w:pPr>
        <w:spacing w:line="360" w:lineRule="auto"/>
        <w:ind w:left="640"/>
        <w:jc w:val="left"/>
        <w:rPr>
          <w:rFonts w:ascii="仿宋_GB2312" w:hAnsi="仿宋_GB2312" w:eastAsia="仿宋_GB2312" w:cs="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b/>
          <w:sz w:val="48"/>
          <w:szCs w:val="48"/>
          <w:lang w:eastAsia="zh-CN"/>
        </w:rPr>
      </w:pPr>
      <w:r>
        <w:rPr>
          <w:rFonts w:hint="eastAsia" w:ascii="仿宋" w:hAnsi="仿宋" w:eastAsia="仿宋" w:cs="隶书"/>
          <w:b/>
          <w:sz w:val="48"/>
          <w:szCs w:val="48"/>
          <w:lang w:val="en-US" w:eastAsia="zh-CN"/>
        </w:rPr>
        <w:t>中共信阳市浉河区委区政府督查局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20年度部门预算情况说明</w:t>
      </w:r>
    </w:p>
    <w:p>
      <w:pPr>
        <w:adjustRightInd w:val="0"/>
        <w:snapToGrid w:val="0"/>
        <w:spacing w:line="360" w:lineRule="auto"/>
        <w:ind w:left="420" w:leftChars="200"/>
        <w:outlineLvl w:val="1"/>
        <w:rPr>
          <w:rFonts w:ascii="仿宋_GB2312" w:hAnsi="仿宋_GB2312" w:eastAsia="仿宋_GB2312" w:cs="仿宋_GB2312"/>
          <w:sz w:val="32"/>
          <w:szCs w:val="32"/>
        </w:rPr>
      </w:pP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2020年度收入总计183.27万元，支出总计183.27万元，与2019年相比，收入增加63.27万元，支出增加63.27万元，上升52.76%。因为新进行政编制6人，需要发放工资，缴纳五险一金等工资福利。</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2020年度收入合计183.27万元，其中：财政拨款收入183.27万元，占100 %；事业收入0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2020年度支出合计183.27万元，其中：基本支出183.27万元，占100%；项目支出0万元，占0%；经营支出0万元，占0%。</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2020年财政拨款收支总预算183.27万元。与2019年相比，财政拨款收、支总计增加63.27万元，上升52.76%。因为新进行政编制6人，需要发放工资，缴纳五险一金等工资福利。</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一般公共预算支出预算情况说明</w:t>
      </w:r>
    </w:p>
    <w:p>
      <w:pPr>
        <w:adjustRightInd w:val="0"/>
        <w:snapToGrid w:val="0"/>
        <w:spacing w:line="360" w:lineRule="auto"/>
        <w:ind w:firstLine="640" w:firstLineChars="200"/>
        <w:rPr>
          <w:rFonts w:hint="default" w:ascii="??_GB2312" w:hAnsi="宋体" w:eastAsia="仿宋_GB2312" w:cs="Courier New"/>
          <w:sz w:val="32"/>
          <w:szCs w:val="32"/>
          <w:lang w:val="en-US"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一般公共预算支出183.27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与2019年相比，财政拨款收、支总计增加63.27万元，上升52.76%。</w:t>
      </w:r>
      <w:r>
        <w:rPr>
          <w:rFonts w:hint="eastAsia" w:ascii="仿宋_GB2312" w:hAnsi="仿宋_GB2312" w:eastAsia="仿宋_GB2312" w:cs="仿宋_GB2312"/>
          <w:sz w:val="32"/>
          <w:szCs w:val="32"/>
          <w:lang w:val="en-US" w:eastAsia="zh-CN"/>
        </w:rPr>
        <w:t>主要原因</w:t>
      </w:r>
      <w:r>
        <w:rPr>
          <w:rFonts w:hint="eastAsia" w:ascii="仿宋_GB2312" w:hAnsi="仿宋_GB2312" w:eastAsia="仿宋_GB2312" w:cs="仿宋_GB2312"/>
          <w:sz w:val="32"/>
          <w:szCs w:val="32"/>
        </w:rPr>
        <w:t>为新进行政编制6人，需要发放工资，缴纳五险一金等工资福利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其中基本支出183.27万元，占比年初预算支出58%；项目支出113.5万元，占比年初预算支出42%。</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六、一般公共预算基本支出预算情况说明</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一般公共预算基本支出183.27万元，主要用于以下方面：人员经费65.57万元，主要包括：主要包括：基本工资、津贴补贴、奖金、社会保障缴费、伙食补助费、绩效工资、其他工资福利支出。公用经费117.7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2020年度“三公”经费财政拨款支出预算为18.5万元，其中：因公出国（境）费支出预算为0万元；公务用车购置及运行费支出预算为14万元；公务接待费支出预算为4.5万元。</w:t>
      </w:r>
      <w:r>
        <w:rPr>
          <w:rFonts w:hint="eastAsia" w:ascii="仿宋_GB2312" w:hAnsi="仿宋_GB2312" w:eastAsia="仿宋_GB2312" w:cs="仿宋_GB2312"/>
          <w:sz w:val="32"/>
          <w:szCs w:val="32"/>
          <w:lang w:val="en-US" w:eastAsia="zh-CN"/>
        </w:rPr>
        <w:t>比2019年增加</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rPr>
        <w:t>48.00%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增加的主要原因是：2020年单位因业务需要新增1辆公务用车，包含车辆保险、维修费和加油费</w:t>
      </w:r>
      <w:r>
        <w:rPr>
          <w:rFonts w:hint="eastAsia" w:ascii="仿宋_GB2312" w:hAnsi="仿宋_GB2312" w:eastAsia="仿宋_GB2312" w:cs="仿宋_GB2312"/>
          <w:sz w:val="32"/>
          <w:szCs w:val="32"/>
          <w:lang w:eastAsia="zh-CN"/>
        </w:rPr>
        <w:t>。</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“三公”经费财政拨款支出预算具体情况说明。</w:t>
      </w:r>
    </w:p>
    <w:p>
      <w:pPr>
        <w:pStyle w:val="14"/>
        <w:numPr>
          <w:ilvl w:val="0"/>
          <w:numId w:val="0"/>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2020年度“三公”经费财政拨款支出预算中，因公出国（境）费支出预算0万元，占0%；公务用车购置及运行费支出预算14万元，</w:t>
      </w:r>
      <w:r>
        <w:rPr>
          <w:rFonts w:hint="eastAsia" w:ascii="仿宋_GB2312" w:hAnsi="仿宋_GB2312" w:eastAsia="仿宋_GB2312" w:cs="仿宋_GB2312"/>
          <w:sz w:val="32"/>
          <w:szCs w:val="32"/>
          <w:lang w:val="en-US" w:eastAsia="zh-CN"/>
        </w:rPr>
        <w:t>占比76%；</w:t>
      </w:r>
      <w:r>
        <w:rPr>
          <w:rFonts w:hint="eastAsia" w:ascii="仿宋_GB2312" w:hAnsi="仿宋_GB2312" w:eastAsia="仿宋_GB2312" w:cs="仿宋_GB2312"/>
          <w:sz w:val="32"/>
          <w:szCs w:val="32"/>
        </w:rPr>
        <w:t>公务接待费支出预算4.5万元，</w:t>
      </w:r>
      <w:r>
        <w:rPr>
          <w:rFonts w:hint="eastAsia" w:ascii="仿宋_GB2312" w:hAnsi="仿宋_GB2312" w:eastAsia="仿宋_GB2312" w:cs="仿宋_GB2312"/>
          <w:sz w:val="32"/>
          <w:szCs w:val="32"/>
          <w:lang w:val="en-US" w:eastAsia="zh-CN"/>
        </w:rPr>
        <w:t>占比24%；</w:t>
      </w:r>
      <w:r>
        <w:rPr>
          <w:rFonts w:hint="eastAsia" w:ascii="仿宋_GB2312" w:hAnsi="仿宋_GB2312" w:eastAsia="仿宋_GB2312" w:cs="仿宋_GB2312"/>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支出14万元。现有公务用车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辆，主要用于车辆保险、维修和加油费。</w:t>
      </w:r>
      <w:r>
        <w:rPr>
          <w:rFonts w:hint="eastAsia" w:ascii="仿宋_GB2312" w:hAnsi="仿宋_GB2312" w:eastAsia="仿宋_GB2312" w:cs="仿宋_GB2312"/>
          <w:sz w:val="32"/>
          <w:szCs w:val="32"/>
          <w:lang w:val="en-US" w:eastAsia="zh-CN"/>
        </w:rPr>
        <w:t>比2019年增加</w:t>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rPr>
        <w:t>33.33%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增加的主要原因是：2020年单位因业务需要新增1辆公务用车，包含车辆保险、维修费和加油费</w:t>
      </w:r>
      <w:r>
        <w:rPr>
          <w:rFonts w:hint="eastAsia" w:ascii="仿宋_GB2312" w:hAnsi="仿宋_GB2312" w:eastAsia="仿宋_GB2312" w:cs="仿宋_GB2312"/>
          <w:sz w:val="32"/>
          <w:szCs w:val="32"/>
          <w:lang w:eastAsia="zh-CN"/>
        </w:rPr>
        <w:t>。</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支出4.5万元。其中：主要用于</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日常的公务接待。</w:t>
      </w:r>
      <w:r>
        <w:rPr>
          <w:rFonts w:hint="eastAsia" w:ascii="仿宋_GB2312" w:hAnsi="仿宋_GB2312" w:eastAsia="仿宋_GB2312" w:cs="仿宋_GB2312"/>
          <w:sz w:val="32"/>
          <w:szCs w:val="32"/>
          <w:lang w:val="en-US" w:eastAsia="zh-CN"/>
        </w:rPr>
        <w:t>比2019年增加</w:t>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rPr>
        <w:t>125.00%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增加的主要原因是</w:t>
      </w:r>
      <w:r>
        <w:rPr>
          <w:rFonts w:hint="eastAsia" w:ascii="仿宋_GB2312" w:hAnsi="仿宋_GB2312" w:eastAsia="仿宋_GB2312" w:cs="仿宋_GB2312"/>
          <w:sz w:val="32"/>
          <w:szCs w:val="32"/>
          <w:lang w:val="en-US" w:eastAsia="zh-CN"/>
        </w:rPr>
        <w:t>业务增加</w:t>
      </w:r>
      <w:r>
        <w:rPr>
          <w:rFonts w:hint="eastAsia" w:ascii="仿宋_GB2312" w:hAnsi="仿宋_GB2312" w:eastAsia="仿宋_GB2312" w:cs="仿宋_GB2312"/>
          <w:sz w:val="32"/>
          <w:szCs w:val="32"/>
          <w:lang w:eastAsia="zh-CN"/>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2020年度政府性基金预算财政拨款支出年初预算为0万元，支出为0万元。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2020年度机关运行经费预算支出117.7万元。主要用于办公费、印刷费、差旅费等支出。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2020年度政府采购支出预算总额15万元，其中：政府采购货物支出15万元、政府采购工程预算0万元、政府采购服务预算0万元，用于采购空调、电脑、办公桌椅、一体机等办公设备。</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中共信阳市浉河区委区政府督查局</w:t>
      </w:r>
      <w:r>
        <w:rPr>
          <w:rFonts w:hint="eastAsia" w:ascii="仿宋_GB2312" w:hAnsi="仿宋_GB2312" w:eastAsia="仿宋_GB2312" w:cs="仿宋_GB2312"/>
          <w:sz w:val="32"/>
          <w:szCs w:val="32"/>
        </w:rPr>
        <w:t>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（四）</w:t>
      </w:r>
      <w:r>
        <w:rPr>
          <w:rFonts w:hint="eastAsia" w:ascii="仿宋_GB2312" w:hAnsi="仿宋_GB2312" w:eastAsia="仿宋_GB2312" w:cs="仿宋_GB2312"/>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rPr>
        <w:t>，</w:t>
      </w:r>
      <w:r>
        <w:rPr>
          <w:rFonts w:hint="eastAsia" w:ascii="仿宋_GB2312" w:eastAsia="仿宋_GB2312"/>
          <w:color w:val="000000"/>
          <w:spacing w:val="8"/>
          <w:sz w:val="32"/>
          <w:szCs w:val="32"/>
          <w:lang w:eastAsia="zh-CN"/>
        </w:rPr>
        <w:t>中共信阳市浉河区委区政府督查局</w:t>
      </w:r>
      <w:r>
        <w:rPr>
          <w:rFonts w:hint="eastAsia" w:ascii="仿宋_GB2312" w:hAnsi="仿宋_GB2312" w:eastAsia="仿宋_GB2312" w:cs="仿宋_GB2312"/>
          <w:sz w:val="32"/>
          <w:szCs w:val="32"/>
        </w:rPr>
        <w:t>共有车辆4辆，其中：一般公务用车4辆、一般执法执勤用车0辆、特种专业技术用车0辆，其他用车0辆。单价50万元以上通用设备0台（套），单位价值100万元以上专用设备0台（套）。</w:t>
      </w:r>
      <w:bookmarkStart w:id="0" w:name="_GoBack"/>
      <w:r>
        <w:rPr>
          <w:rFonts w:hint="eastAsia" w:ascii="仿宋_GB2312" w:eastAsia="仿宋_GB2312"/>
          <w:color w:val="000000"/>
          <w:spacing w:val="8"/>
          <w:sz w:val="32"/>
          <w:szCs w:val="32"/>
          <w:lang w:eastAsia="zh-CN"/>
        </w:rPr>
        <w:t>中共信阳市浉河区委区政府督查局</w:t>
      </w:r>
      <w:bookmarkEnd w:id="0"/>
      <w:r>
        <w:rPr>
          <w:rFonts w:hint="eastAsia" w:ascii="仿宋_GB2312" w:eastAsia="仿宋_GB2312"/>
          <w:color w:val="000000"/>
          <w:spacing w:val="8"/>
          <w:sz w:val="32"/>
          <w:szCs w:val="32"/>
        </w:rPr>
        <w:t>占用</w:t>
      </w:r>
      <w:r>
        <w:rPr>
          <w:rFonts w:hint="eastAsia" w:ascii="仿宋_GB2312" w:hAnsi="仿宋_GB2312" w:eastAsia="仿宋_GB2312" w:cs="仿宋_GB2312"/>
          <w:sz w:val="32"/>
          <w:szCs w:val="32"/>
        </w:rPr>
        <w:t>办公用房5间。</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widowControl/>
        <w:spacing w:line="600" w:lineRule="exact"/>
        <w:jc w:val="left"/>
        <w:rPr>
          <w:rFonts w:eastAsia="仿宋_GB2312"/>
          <w:color w:val="000000"/>
          <w:kern w:val="0"/>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3245A"/>
    <w:rsid w:val="00042522"/>
    <w:rsid w:val="00042CBF"/>
    <w:rsid w:val="0004336A"/>
    <w:rsid w:val="00092801"/>
    <w:rsid w:val="000B1B09"/>
    <w:rsid w:val="000B1B9B"/>
    <w:rsid w:val="00132E43"/>
    <w:rsid w:val="00153518"/>
    <w:rsid w:val="00170110"/>
    <w:rsid w:val="0017112E"/>
    <w:rsid w:val="00172A27"/>
    <w:rsid w:val="001B2F22"/>
    <w:rsid w:val="001D3FB5"/>
    <w:rsid w:val="001D42E8"/>
    <w:rsid w:val="00230E8B"/>
    <w:rsid w:val="00275EAC"/>
    <w:rsid w:val="002A721A"/>
    <w:rsid w:val="00310EBF"/>
    <w:rsid w:val="00336FCB"/>
    <w:rsid w:val="00376170"/>
    <w:rsid w:val="00377A43"/>
    <w:rsid w:val="003A4D0C"/>
    <w:rsid w:val="003C3535"/>
    <w:rsid w:val="003D011F"/>
    <w:rsid w:val="00402C74"/>
    <w:rsid w:val="00436B88"/>
    <w:rsid w:val="004722B2"/>
    <w:rsid w:val="00493394"/>
    <w:rsid w:val="004A166C"/>
    <w:rsid w:val="004C11C3"/>
    <w:rsid w:val="004D36BB"/>
    <w:rsid w:val="004E00C0"/>
    <w:rsid w:val="004F3C7C"/>
    <w:rsid w:val="0050293C"/>
    <w:rsid w:val="00503F16"/>
    <w:rsid w:val="00565B0A"/>
    <w:rsid w:val="0059641D"/>
    <w:rsid w:val="005C0AFA"/>
    <w:rsid w:val="005E126E"/>
    <w:rsid w:val="005F3623"/>
    <w:rsid w:val="005F5BC2"/>
    <w:rsid w:val="006101E6"/>
    <w:rsid w:val="00630D31"/>
    <w:rsid w:val="006F22F7"/>
    <w:rsid w:val="00703767"/>
    <w:rsid w:val="00704509"/>
    <w:rsid w:val="007115FD"/>
    <w:rsid w:val="00731FE8"/>
    <w:rsid w:val="00743248"/>
    <w:rsid w:val="007558F3"/>
    <w:rsid w:val="00757219"/>
    <w:rsid w:val="00775C6A"/>
    <w:rsid w:val="00787823"/>
    <w:rsid w:val="007956F5"/>
    <w:rsid w:val="007A304E"/>
    <w:rsid w:val="007B04D2"/>
    <w:rsid w:val="007B72EA"/>
    <w:rsid w:val="007D49F7"/>
    <w:rsid w:val="007F7F87"/>
    <w:rsid w:val="008068E7"/>
    <w:rsid w:val="00841469"/>
    <w:rsid w:val="00846F25"/>
    <w:rsid w:val="00855BC0"/>
    <w:rsid w:val="00871EAB"/>
    <w:rsid w:val="00886B6E"/>
    <w:rsid w:val="00922A34"/>
    <w:rsid w:val="009B6CAD"/>
    <w:rsid w:val="009F2761"/>
    <w:rsid w:val="00A77C36"/>
    <w:rsid w:val="00A80EA1"/>
    <w:rsid w:val="00AB7377"/>
    <w:rsid w:val="00AE7787"/>
    <w:rsid w:val="00AF7B15"/>
    <w:rsid w:val="00B12B50"/>
    <w:rsid w:val="00B15185"/>
    <w:rsid w:val="00B54309"/>
    <w:rsid w:val="00B74243"/>
    <w:rsid w:val="00B84FB0"/>
    <w:rsid w:val="00BA37FF"/>
    <w:rsid w:val="00BC30E8"/>
    <w:rsid w:val="00BC5210"/>
    <w:rsid w:val="00BE4CA5"/>
    <w:rsid w:val="00BF3D6F"/>
    <w:rsid w:val="00BF74B7"/>
    <w:rsid w:val="00C26F86"/>
    <w:rsid w:val="00C57D7B"/>
    <w:rsid w:val="00C6444A"/>
    <w:rsid w:val="00CD4933"/>
    <w:rsid w:val="00CD6042"/>
    <w:rsid w:val="00D9092F"/>
    <w:rsid w:val="00DB1C77"/>
    <w:rsid w:val="00DD5457"/>
    <w:rsid w:val="00E054BA"/>
    <w:rsid w:val="00E11F42"/>
    <w:rsid w:val="00E21B07"/>
    <w:rsid w:val="00E32E02"/>
    <w:rsid w:val="00E47D8C"/>
    <w:rsid w:val="00E8190D"/>
    <w:rsid w:val="00E92067"/>
    <w:rsid w:val="00ED38A5"/>
    <w:rsid w:val="00ED39FA"/>
    <w:rsid w:val="00ED44BB"/>
    <w:rsid w:val="00EE6AA4"/>
    <w:rsid w:val="00F008AE"/>
    <w:rsid w:val="00F90F85"/>
    <w:rsid w:val="00F91AA6"/>
    <w:rsid w:val="00F92F65"/>
    <w:rsid w:val="00FB0B96"/>
    <w:rsid w:val="00FE1337"/>
    <w:rsid w:val="01F21A60"/>
    <w:rsid w:val="026651AD"/>
    <w:rsid w:val="027033B1"/>
    <w:rsid w:val="03240ECA"/>
    <w:rsid w:val="04453648"/>
    <w:rsid w:val="045D5468"/>
    <w:rsid w:val="07F31BEE"/>
    <w:rsid w:val="081E3BA3"/>
    <w:rsid w:val="084D7413"/>
    <w:rsid w:val="08A93228"/>
    <w:rsid w:val="08FB3159"/>
    <w:rsid w:val="09BB2134"/>
    <w:rsid w:val="0A593CE4"/>
    <w:rsid w:val="0C366EEC"/>
    <w:rsid w:val="0E6B03F2"/>
    <w:rsid w:val="0E9B4A41"/>
    <w:rsid w:val="0E9E4588"/>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CE26776"/>
    <w:rsid w:val="1E2566FD"/>
    <w:rsid w:val="1E7D3B34"/>
    <w:rsid w:val="20F5460F"/>
    <w:rsid w:val="212E5315"/>
    <w:rsid w:val="22A85C62"/>
    <w:rsid w:val="254B33D1"/>
    <w:rsid w:val="256D2254"/>
    <w:rsid w:val="27507D70"/>
    <w:rsid w:val="29621C7E"/>
    <w:rsid w:val="2983760E"/>
    <w:rsid w:val="29B13F52"/>
    <w:rsid w:val="29ED2241"/>
    <w:rsid w:val="2ACE51FA"/>
    <w:rsid w:val="2B5D40D0"/>
    <w:rsid w:val="2BA4769A"/>
    <w:rsid w:val="2C654BE7"/>
    <w:rsid w:val="2C8F6BCF"/>
    <w:rsid w:val="2CC075DB"/>
    <w:rsid w:val="2CD06EF4"/>
    <w:rsid w:val="2D5F1A59"/>
    <w:rsid w:val="2D9D4DA5"/>
    <w:rsid w:val="2DBF18D1"/>
    <w:rsid w:val="2F47056C"/>
    <w:rsid w:val="307652F7"/>
    <w:rsid w:val="325F6EF2"/>
    <w:rsid w:val="32EF005E"/>
    <w:rsid w:val="32EF40CE"/>
    <w:rsid w:val="33370187"/>
    <w:rsid w:val="33A76F4E"/>
    <w:rsid w:val="343D38DE"/>
    <w:rsid w:val="34416F30"/>
    <w:rsid w:val="364D690A"/>
    <w:rsid w:val="36FA2471"/>
    <w:rsid w:val="372974AC"/>
    <w:rsid w:val="38262F47"/>
    <w:rsid w:val="39637962"/>
    <w:rsid w:val="39765334"/>
    <w:rsid w:val="39967F15"/>
    <w:rsid w:val="3AE7177F"/>
    <w:rsid w:val="3B077C2D"/>
    <w:rsid w:val="3BD17172"/>
    <w:rsid w:val="3C5769C0"/>
    <w:rsid w:val="3EA437AD"/>
    <w:rsid w:val="3EEE22CD"/>
    <w:rsid w:val="3F081D17"/>
    <w:rsid w:val="3FCD07F4"/>
    <w:rsid w:val="40B138B6"/>
    <w:rsid w:val="41CF71DE"/>
    <w:rsid w:val="42271DDB"/>
    <w:rsid w:val="42563EC6"/>
    <w:rsid w:val="43E82B9D"/>
    <w:rsid w:val="457B1C96"/>
    <w:rsid w:val="468900BD"/>
    <w:rsid w:val="46F559ED"/>
    <w:rsid w:val="477D716C"/>
    <w:rsid w:val="486055AF"/>
    <w:rsid w:val="48B52937"/>
    <w:rsid w:val="48C00F7D"/>
    <w:rsid w:val="48EE3EF3"/>
    <w:rsid w:val="49CE3F20"/>
    <w:rsid w:val="4B2D55EB"/>
    <w:rsid w:val="4C1E2F28"/>
    <w:rsid w:val="4DAA21EE"/>
    <w:rsid w:val="4DE20C7C"/>
    <w:rsid w:val="50C2787A"/>
    <w:rsid w:val="5115239B"/>
    <w:rsid w:val="541D6A82"/>
    <w:rsid w:val="544677EE"/>
    <w:rsid w:val="55EA1009"/>
    <w:rsid w:val="5651051D"/>
    <w:rsid w:val="56DB5B25"/>
    <w:rsid w:val="57E961A8"/>
    <w:rsid w:val="581E77CF"/>
    <w:rsid w:val="58B06254"/>
    <w:rsid w:val="5935561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65B2E09"/>
    <w:rsid w:val="6796775E"/>
    <w:rsid w:val="67D84ED8"/>
    <w:rsid w:val="68500770"/>
    <w:rsid w:val="686B0051"/>
    <w:rsid w:val="687C156E"/>
    <w:rsid w:val="68E95CA0"/>
    <w:rsid w:val="68F315DE"/>
    <w:rsid w:val="69F84494"/>
    <w:rsid w:val="6AA77296"/>
    <w:rsid w:val="6ABB6698"/>
    <w:rsid w:val="6AC30185"/>
    <w:rsid w:val="6D465925"/>
    <w:rsid w:val="6DC12C15"/>
    <w:rsid w:val="6F2D14A1"/>
    <w:rsid w:val="6FDF24CC"/>
    <w:rsid w:val="705F045F"/>
    <w:rsid w:val="71490407"/>
    <w:rsid w:val="7156288B"/>
    <w:rsid w:val="72B61072"/>
    <w:rsid w:val="73F12465"/>
    <w:rsid w:val="75531EF6"/>
    <w:rsid w:val="755A7A11"/>
    <w:rsid w:val="75D0003D"/>
    <w:rsid w:val="783E1213"/>
    <w:rsid w:val="78541BE8"/>
    <w:rsid w:val="79060C93"/>
    <w:rsid w:val="7A070B19"/>
    <w:rsid w:val="7C2C4361"/>
    <w:rsid w:val="7F107C04"/>
    <w:rsid w:val="7F5A73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035A8-9F66-42FD-8066-E9A141674F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1621</Words>
  <Characters>9245</Characters>
  <Lines>77</Lines>
  <Paragraphs>21</Paragraphs>
  <TotalTime>2</TotalTime>
  <ScaleCrop>false</ScaleCrop>
  <LinksUpToDate>false</LinksUpToDate>
  <CharactersWithSpaces>10845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2021-06-19T13:54:07Z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221E5CC3857B427B9E038E2F8E94E94E</vt:lpwstr>
  </property>
</Properties>
</file>