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黑体" w:hAnsi="黑体" w:eastAsia="黑体" w:cs="黑体"/>
          <w:sz w:val="52"/>
          <w:szCs w:val="52"/>
        </w:rPr>
      </w:pPr>
      <w:r>
        <w:rPr>
          <w:rFonts w:hint="eastAsia" w:ascii="黑体" w:hAnsi="黑体" w:eastAsia="黑体" w:cs="黑体"/>
          <w:sz w:val="52"/>
          <w:szCs w:val="52"/>
        </w:rPr>
        <w:t>信阳市浉河区民政局</w:t>
      </w:r>
    </w:p>
    <w:p>
      <w:pPr>
        <w:jc w:val="center"/>
        <w:rPr>
          <w:rFonts w:ascii="黑体" w:hAnsi="黑体" w:eastAsia="黑体" w:cs="黑体"/>
          <w:sz w:val="52"/>
          <w:szCs w:val="52"/>
        </w:rPr>
      </w:pPr>
    </w:p>
    <w:p>
      <w:pPr>
        <w:jc w:val="center"/>
        <w:rPr>
          <w:rFonts w:ascii="黑体" w:hAnsi="黑体" w:eastAsia="黑体" w:cs="黑体"/>
          <w:sz w:val="52"/>
          <w:szCs w:val="52"/>
        </w:rPr>
      </w:pPr>
      <w:r>
        <w:rPr>
          <w:rFonts w:ascii="黑体" w:hAnsi="黑体" w:eastAsia="黑体" w:cs="黑体"/>
          <w:sz w:val="52"/>
          <w:szCs w:val="52"/>
        </w:rPr>
        <w:t>2019</w:t>
      </w:r>
      <w:r>
        <w:rPr>
          <w:rFonts w:hint="eastAsia" w:ascii="黑体" w:hAnsi="黑体" w:eastAsia="黑体" w:cs="黑体"/>
          <w:sz w:val="52"/>
          <w:szCs w:val="52"/>
        </w:rPr>
        <w:t>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黑体" w:hAnsi="黑体" w:eastAsia="黑体" w:cs="黑体"/>
          <w:sz w:val="32"/>
          <w:szCs w:val="32"/>
        </w:rPr>
        <w:sectPr>
          <w:pgSz w:w="11906" w:h="16838"/>
          <w:pgMar w:top="1440" w:right="1800" w:bottom="1440" w:left="1800" w:header="851" w:footer="992" w:gutter="0"/>
          <w:pgNumType w:fmt="numberInDash" w:start="1"/>
          <w:cols w:space="425" w:num="1"/>
          <w:docGrid w:type="lines" w:linePitch="312" w:charSpace="0"/>
        </w:sectPr>
      </w:pPr>
      <w:r>
        <w:rPr>
          <w:rFonts w:ascii="黑体" w:hAnsi="黑体" w:eastAsia="黑体" w:cs="黑体"/>
          <w:sz w:val="32"/>
          <w:szCs w:val="32"/>
        </w:rPr>
        <w:t>2020</w:t>
      </w:r>
      <w:r>
        <w:rPr>
          <w:rFonts w:hint="eastAsia" w:ascii="黑体" w:hAnsi="黑体" w:eastAsia="黑体" w:cs="黑体"/>
          <w:sz w:val="32"/>
          <w:szCs w:val="32"/>
        </w:rPr>
        <w:t>年</w:t>
      </w:r>
      <w:r>
        <w:rPr>
          <w:rFonts w:ascii="黑体" w:hAnsi="黑体" w:eastAsia="黑体" w:cs="黑体"/>
          <w:sz w:val="32"/>
          <w:szCs w:val="32"/>
        </w:rPr>
        <w:t>9</w:t>
      </w:r>
      <w:r>
        <w:rPr>
          <w:rFonts w:hint="eastAsia" w:ascii="黑体" w:hAnsi="黑体" w:eastAsia="黑体" w:cs="黑体"/>
          <w:sz w:val="32"/>
          <w:szCs w:val="32"/>
        </w:rPr>
        <w:t>月</w:t>
      </w:r>
    </w:p>
    <w:p>
      <w:pPr>
        <w:jc w:val="center"/>
        <w:rPr>
          <w:rFonts w:ascii="黑体" w:hAnsi="黑体" w:eastAsia="黑体" w:cs="黑体"/>
          <w:sz w:val="32"/>
          <w:szCs w:val="32"/>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信阳市浉河区民政局概况</w:t>
      </w:r>
    </w:p>
    <w:p>
      <w:pPr>
        <w:numPr>
          <w:ilvl w:val="0"/>
          <w:numId w:val="1"/>
        </w:numPr>
        <w:jc w:val="left"/>
        <w:rPr>
          <w:rFonts w:ascii="宋体" w:cs="宋体"/>
          <w:sz w:val="32"/>
          <w:szCs w:val="32"/>
        </w:rPr>
      </w:pPr>
      <w:r>
        <w:rPr>
          <w:rFonts w:hint="eastAsia" w:ascii="宋体" w:hAnsi="宋体" w:cs="宋体"/>
          <w:sz w:val="32"/>
          <w:szCs w:val="32"/>
        </w:rPr>
        <w:t>部门职责</w:t>
      </w:r>
    </w:p>
    <w:p>
      <w:pPr>
        <w:numPr>
          <w:ilvl w:val="0"/>
          <w:numId w:val="1"/>
        </w:numPr>
        <w:jc w:val="left"/>
        <w:rPr>
          <w:rFonts w:asci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w:t>
      </w:r>
      <w:r>
        <w:rPr>
          <w:rFonts w:ascii="黑体" w:hAnsi="黑体" w:eastAsia="黑体" w:cs="黑体"/>
          <w:sz w:val="32"/>
          <w:szCs w:val="32"/>
        </w:rPr>
        <w:t>2019</w:t>
      </w:r>
      <w:r>
        <w:rPr>
          <w:rFonts w:hint="eastAsia" w:ascii="黑体" w:hAnsi="黑体" w:eastAsia="黑体" w:cs="黑体"/>
          <w:sz w:val="32"/>
          <w:szCs w:val="32"/>
        </w:rPr>
        <w:t>年度部门决算情况说明</w:t>
      </w:r>
    </w:p>
    <w:p>
      <w:pPr>
        <w:jc w:val="left"/>
        <w:rPr>
          <w:rFonts w:ascii="宋体" w:cs="宋体"/>
          <w:sz w:val="32"/>
          <w:szCs w:val="32"/>
        </w:rPr>
      </w:pPr>
      <w:r>
        <w:rPr>
          <w:rFonts w:hint="eastAsia" w:ascii="宋体" w:hAnsi="宋体" w:cs="宋体"/>
          <w:sz w:val="32"/>
          <w:szCs w:val="32"/>
        </w:rPr>
        <w:t>一、收入支出决算总体情况说明</w:t>
      </w:r>
    </w:p>
    <w:p>
      <w:pPr>
        <w:jc w:val="left"/>
        <w:rPr>
          <w:rFonts w:ascii="宋体" w:cs="宋体"/>
          <w:sz w:val="32"/>
          <w:szCs w:val="32"/>
        </w:rPr>
      </w:pPr>
      <w:r>
        <w:rPr>
          <w:rFonts w:hint="eastAsia" w:ascii="宋体" w:hAnsi="宋体" w:cs="宋体"/>
          <w:sz w:val="32"/>
          <w:szCs w:val="32"/>
        </w:rPr>
        <w:t>二、收入决算情况说明</w:t>
      </w:r>
    </w:p>
    <w:p>
      <w:pPr>
        <w:jc w:val="left"/>
        <w:rPr>
          <w:rFonts w:ascii="宋体" w:cs="宋体"/>
          <w:sz w:val="32"/>
          <w:szCs w:val="32"/>
        </w:rPr>
      </w:pPr>
      <w:r>
        <w:rPr>
          <w:rFonts w:hint="eastAsia" w:ascii="宋体" w:hAnsi="宋体" w:cs="宋体"/>
          <w:sz w:val="32"/>
          <w:szCs w:val="32"/>
        </w:rPr>
        <w:t>三、支出决算情况说明</w:t>
      </w:r>
    </w:p>
    <w:p>
      <w:pPr>
        <w:jc w:val="left"/>
        <w:rPr>
          <w:rFonts w:ascii="宋体" w:cs="宋体"/>
          <w:sz w:val="32"/>
          <w:szCs w:val="32"/>
        </w:rPr>
      </w:pPr>
      <w:r>
        <w:rPr>
          <w:rFonts w:hint="eastAsia" w:ascii="宋体" w:hAnsi="宋体" w:cs="宋体"/>
          <w:sz w:val="32"/>
          <w:szCs w:val="32"/>
        </w:rPr>
        <w:t>四、财政拨款收入支出决算总体情况说明</w:t>
      </w:r>
    </w:p>
    <w:p>
      <w:pPr>
        <w:jc w:val="left"/>
        <w:rPr>
          <w:rFonts w:ascii="宋体" w:cs="宋体"/>
          <w:sz w:val="32"/>
          <w:szCs w:val="32"/>
        </w:rPr>
      </w:pPr>
      <w:r>
        <w:rPr>
          <w:rFonts w:hint="eastAsia" w:ascii="宋体" w:hAnsi="宋体" w:cs="宋体"/>
          <w:sz w:val="32"/>
          <w:szCs w:val="32"/>
        </w:rPr>
        <w:t>五、一般公共预算财政拨款支出决算情况说明</w:t>
      </w:r>
    </w:p>
    <w:p>
      <w:pPr>
        <w:jc w:val="left"/>
        <w:rPr>
          <w:rFonts w:ascii="宋体" w:cs="宋体"/>
          <w:sz w:val="32"/>
          <w:szCs w:val="32"/>
        </w:rPr>
      </w:pPr>
      <w:r>
        <w:rPr>
          <w:rFonts w:hint="eastAsia" w:ascii="宋体" w:hAnsi="宋体" w:cs="宋体"/>
          <w:sz w:val="32"/>
          <w:szCs w:val="32"/>
        </w:rPr>
        <w:t>六、一般公共预算财政拨款基本支出决算情况说明</w:t>
      </w:r>
    </w:p>
    <w:p>
      <w:pPr>
        <w:jc w:val="left"/>
        <w:rPr>
          <w:rFonts w:ascii="宋体" w:cs="宋体"/>
          <w:sz w:val="32"/>
          <w:szCs w:val="32"/>
        </w:rPr>
      </w:pPr>
      <w:r>
        <w:rPr>
          <w:rFonts w:hint="eastAsia" w:ascii="宋体" w:hAnsi="宋体" w:cs="宋体"/>
          <w:sz w:val="32"/>
          <w:szCs w:val="32"/>
        </w:rPr>
        <w:t>七、一般公共预算财政拨款“三公”经费支出决算情况说明</w:t>
      </w:r>
    </w:p>
    <w:p>
      <w:pPr>
        <w:jc w:val="left"/>
        <w:rPr>
          <w:rFonts w:ascii="宋体" w:cs="宋体"/>
          <w:sz w:val="32"/>
          <w:szCs w:val="32"/>
        </w:rPr>
      </w:pPr>
      <w:r>
        <w:rPr>
          <w:rFonts w:hint="eastAsia" w:ascii="宋体" w:hAnsi="宋体" w:cs="宋体"/>
          <w:sz w:val="32"/>
          <w:szCs w:val="32"/>
        </w:rPr>
        <w:t>八、预算绩效情况说明</w:t>
      </w:r>
    </w:p>
    <w:p>
      <w:pPr>
        <w:jc w:val="left"/>
        <w:rPr>
          <w:rFonts w:ascii="宋体" w:cs="宋体"/>
          <w:sz w:val="32"/>
          <w:szCs w:val="32"/>
        </w:rPr>
      </w:pPr>
      <w:r>
        <w:rPr>
          <w:rFonts w:hint="eastAsia" w:ascii="宋体" w:hAnsi="宋体" w:cs="宋体"/>
          <w:sz w:val="32"/>
          <w:szCs w:val="32"/>
        </w:rPr>
        <w:t>九、政府性基金预算财政拨款支出决算情况说明</w:t>
      </w:r>
    </w:p>
    <w:p>
      <w:pPr>
        <w:jc w:val="left"/>
        <w:rPr>
          <w:rFonts w:ascii="宋体" w:cs="宋体"/>
          <w:sz w:val="32"/>
          <w:szCs w:val="32"/>
        </w:rPr>
      </w:pPr>
      <w:r>
        <w:rPr>
          <w:rFonts w:hint="eastAsia" w:ascii="宋体" w:hAnsi="宋体" w:cs="宋体"/>
          <w:sz w:val="32"/>
          <w:szCs w:val="32"/>
        </w:rPr>
        <w:t>十、机关运行经费支出情况说明</w:t>
      </w:r>
    </w:p>
    <w:p>
      <w:pPr>
        <w:jc w:val="left"/>
        <w:rPr>
          <w:rFonts w:ascii="宋体" w:cs="宋体"/>
          <w:sz w:val="32"/>
          <w:szCs w:val="32"/>
        </w:rPr>
      </w:pPr>
      <w:r>
        <w:rPr>
          <w:rFonts w:hint="eastAsia" w:ascii="宋体" w:hAnsi="宋体" w:cs="宋体"/>
          <w:sz w:val="32"/>
          <w:szCs w:val="32"/>
        </w:rPr>
        <w:t>十一、政府采购支出情况说明</w:t>
      </w:r>
    </w:p>
    <w:p>
      <w:pPr>
        <w:jc w:val="left"/>
        <w:rPr>
          <w:rFonts w:asci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pPr>
      <w:r>
        <w:rPr>
          <w:rFonts w:hint="eastAsia" w:ascii="黑体" w:hAnsi="黑体" w:eastAsia="黑体" w:cs="黑体"/>
          <w:sz w:val="32"/>
          <w:szCs w:val="32"/>
        </w:rPr>
        <w:t>第三部分　　名词解释</w:t>
      </w:r>
    </w:p>
    <w:p>
      <w:pPr>
        <w:jc w:val="left"/>
        <w:rPr>
          <w:rFonts w:ascii="黑体" w:hAnsi="黑体" w:eastAsia="黑体" w:cs="黑体"/>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2019</w:t>
      </w:r>
      <w:r>
        <w:rPr>
          <w:rFonts w:hint="eastAsia" w:ascii="黑体" w:hAnsi="黑体" w:eastAsia="黑体" w:cs="黑体"/>
          <w:sz w:val="32"/>
          <w:szCs w:val="32"/>
        </w:rPr>
        <w:t>年度部门决算表（</w:t>
      </w:r>
      <w:r>
        <w:rPr>
          <w:rFonts w:ascii="黑体" w:hAnsi="黑体" w:eastAsia="黑体" w:cs="黑体"/>
          <w:sz w:val="32"/>
          <w:szCs w:val="32"/>
        </w:rPr>
        <w:t>Excel</w:t>
      </w:r>
      <w:r>
        <w:rPr>
          <w:rFonts w:hint="eastAsia" w:ascii="黑体" w:hAnsi="黑体" w:eastAsia="黑体" w:cs="黑体"/>
          <w:sz w:val="32"/>
          <w:szCs w:val="32"/>
        </w:rPr>
        <w:t>表格形式）</w:t>
      </w:r>
    </w:p>
    <w:p>
      <w:pPr>
        <w:ind w:firstLine="640" w:firstLineChars="200"/>
        <w:jc w:val="left"/>
        <w:rPr>
          <w:rFonts w:ascii="宋体" w:cs="宋体"/>
          <w:sz w:val="32"/>
          <w:szCs w:val="32"/>
        </w:rPr>
      </w:pPr>
      <w:r>
        <w:rPr>
          <w:rFonts w:hint="eastAsia" w:ascii="宋体" w:hAnsi="宋体" w:cs="宋体"/>
          <w:sz w:val="32"/>
          <w:szCs w:val="32"/>
        </w:rPr>
        <w:t>一、收入支出决算总表</w:t>
      </w:r>
    </w:p>
    <w:p>
      <w:pPr>
        <w:ind w:firstLine="640" w:firstLineChars="200"/>
        <w:jc w:val="left"/>
        <w:rPr>
          <w:rFonts w:ascii="宋体" w:cs="宋体"/>
          <w:sz w:val="32"/>
          <w:szCs w:val="32"/>
        </w:rPr>
      </w:pPr>
      <w:r>
        <w:rPr>
          <w:rFonts w:hint="eastAsia" w:ascii="宋体" w:hAnsi="宋体" w:cs="宋体"/>
          <w:sz w:val="32"/>
          <w:szCs w:val="32"/>
        </w:rPr>
        <w:t>二、收入决算表</w:t>
      </w:r>
    </w:p>
    <w:p>
      <w:pPr>
        <w:ind w:firstLine="640" w:firstLineChars="200"/>
        <w:jc w:val="left"/>
        <w:rPr>
          <w:rFonts w:ascii="宋体" w:cs="宋体"/>
          <w:sz w:val="32"/>
          <w:szCs w:val="32"/>
        </w:rPr>
      </w:pPr>
      <w:r>
        <w:rPr>
          <w:rFonts w:hint="eastAsia" w:ascii="宋体" w:hAnsi="宋体" w:cs="宋体"/>
          <w:sz w:val="32"/>
          <w:szCs w:val="32"/>
        </w:rPr>
        <w:t>三、支出决算表</w:t>
      </w:r>
    </w:p>
    <w:p>
      <w:pPr>
        <w:ind w:firstLine="640" w:firstLineChars="200"/>
        <w:jc w:val="left"/>
        <w:rPr>
          <w:rFonts w:asci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numPr>
          <w:ilvl w:val="0"/>
          <w:numId w:val="2"/>
        </w:numPr>
        <w:jc w:val="center"/>
        <w:outlineLvl w:val="0"/>
        <w:rPr>
          <w:rFonts w:ascii="黑体" w:hAnsi="黑体" w:eastAsia="黑体" w:cs="黑体"/>
          <w:sz w:val="48"/>
          <w:szCs w:val="48"/>
        </w:rPr>
      </w:pPr>
      <w:r>
        <w:rPr>
          <w:rFonts w:hint="eastAsia" w:ascii="黑体" w:hAnsi="黑体" w:eastAsia="黑体" w:cs="黑体"/>
          <w:sz w:val="48"/>
          <w:szCs w:val="48"/>
        </w:rPr>
        <w:t>　信阳市浉河区民政局概况</w:t>
      </w: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部门职责</w:t>
      </w:r>
    </w:p>
    <w:p>
      <w:pPr>
        <w:ind w:firstLine="640" w:firstLineChars="200"/>
        <w:jc w:val="left"/>
        <w:rPr>
          <w:rFonts w:ascii="楷体_GB2312" w:hAnsi="楷体_GB2312" w:eastAsia="楷体_GB2312" w:cs="楷体_GB2312"/>
          <w:sz w:val="32"/>
          <w:szCs w:val="32"/>
        </w:rPr>
      </w:pPr>
      <w:r>
        <w:rPr>
          <w:rFonts w:hint="eastAsia" w:ascii="仿宋" w:hAnsi="仿宋" w:eastAsia="仿宋" w:cs="仿宋"/>
          <w:sz w:val="32"/>
          <w:szCs w:val="32"/>
        </w:rPr>
        <w:t>主要职责是：坚持“以人为本、为民解困、为民服务”的宗旨，发挥民政部门在构建和谐社会中的基础作用，保障全区人民群众的基本生活权益和民主政治权利，推动民政事业的发展。认真执行上级有关民生、扶贫等方面的政策，紧紧围绕区委、区政府各项重大工作部署，保障民生各项资金的及时发放落实到位。</w:t>
      </w:r>
      <w:r>
        <w:rPr>
          <w:rFonts w:ascii="仿宋" w:hAnsi="仿宋" w:eastAsia="仿宋" w:cs="仿宋"/>
          <w:sz w:val="32"/>
          <w:szCs w:val="32"/>
        </w:rPr>
        <w:t xml:space="preserve"> </w:t>
      </w:r>
    </w:p>
    <w:p>
      <w:pPr>
        <w:numPr>
          <w:ilvl w:val="0"/>
          <w:numId w:val="4"/>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机构设置</w:t>
      </w:r>
    </w:p>
    <w:p>
      <w:pPr>
        <w:spacing w:line="220" w:lineRule="atLeast"/>
        <w:ind w:firstLine="640" w:firstLineChars="200"/>
        <w:rPr>
          <w:rFonts w:ascii="仿宋" w:hAnsi="仿宋" w:eastAsia="仿宋" w:cs="仿宋"/>
          <w:sz w:val="32"/>
          <w:szCs w:val="32"/>
        </w:rPr>
      </w:pPr>
      <w:r>
        <w:rPr>
          <w:rFonts w:hint="eastAsia" w:ascii="仿宋" w:hAnsi="仿宋" w:eastAsia="仿宋" w:cs="仿宋"/>
          <w:sz w:val="32"/>
          <w:szCs w:val="32"/>
        </w:rPr>
        <w:t>信阳市浉河区民政局内设</w:t>
      </w:r>
      <w:r>
        <w:rPr>
          <w:rFonts w:ascii="仿宋" w:hAnsi="仿宋" w:eastAsia="仿宋" w:cs="仿宋"/>
          <w:sz w:val="32"/>
          <w:szCs w:val="32"/>
        </w:rPr>
        <w:t>9</w:t>
      </w:r>
      <w:r>
        <w:rPr>
          <w:rFonts w:hint="eastAsia" w:ascii="仿宋" w:hAnsi="仿宋" w:eastAsia="仿宋" w:cs="仿宋"/>
          <w:sz w:val="32"/>
          <w:szCs w:val="32"/>
        </w:rPr>
        <w:t>个职能科室，包括：局办公室、低保股、老龄股、救灾救济股、政权股、民政股、地名股、计财股、婚姻登记处，另设有浉河区社会福利中心、按摩医院</w:t>
      </w:r>
      <w:r>
        <w:rPr>
          <w:rFonts w:ascii="仿宋" w:hAnsi="仿宋" w:eastAsia="仿宋" w:cs="仿宋"/>
          <w:sz w:val="32"/>
          <w:szCs w:val="32"/>
        </w:rPr>
        <w:t>2</w:t>
      </w:r>
      <w:r>
        <w:rPr>
          <w:rFonts w:hint="eastAsia" w:ascii="仿宋" w:hAnsi="仿宋" w:eastAsia="仿宋" w:cs="仿宋"/>
          <w:sz w:val="32"/>
          <w:szCs w:val="32"/>
        </w:rPr>
        <w:t>个归口管理的二级机构。</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从决算单位构成看，信阳市浉河区民政局部门决算包括：本级决算、所属单位决算。另外，由民政局管理的浉河区社会福利中心、按摩医院部门决算纳入我部门汇总反映。</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本决算为汇总决算，纳入本部门</w:t>
      </w:r>
      <w:r>
        <w:rPr>
          <w:rFonts w:ascii="仿宋" w:hAnsi="仿宋" w:eastAsia="仿宋" w:cs="仿宋"/>
          <w:sz w:val="32"/>
          <w:szCs w:val="32"/>
        </w:rPr>
        <w:t>2019</w:t>
      </w:r>
      <w:r>
        <w:rPr>
          <w:rFonts w:hint="eastAsia" w:ascii="仿宋" w:hAnsi="仿宋" w:eastAsia="仿宋" w:cs="仿宋"/>
          <w:sz w:val="32"/>
          <w:szCs w:val="32"/>
        </w:rPr>
        <w:t>年度部门决算编制范围的单位共</w:t>
      </w:r>
      <w:r>
        <w:rPr>
          <w:rFonts w:ascii="仿宋" w:hAnsi="仿宋" w:eastAsia="仿宋" w:cs="仿宋"/>
          <w:sz w:val="32"/>
          <w:szCs w:val="32"/>
        </w:rPr>
        <w:t>3</w:t>
      </w:r>
      <w:r>
        <w:rPr>
          <w:rFonts w:hint="eastAsia" w:ascii="仿宋" w:hAnsi="仿宋" w:eastAsia="仿宋" w:cs="仿宋"/>
          <w:sz w:val="32"/>
          <w:szCs w:val="32"/>
        </w:rPr>
        <w:t>个，其中二级预算单位</w:t>
      </w:r>
      <w:r>
        <w:rPr>
          <w:rFonts w:ascii="仿宋" w:hAnsi="仿宋" w:eastAsia="仿宋" w:cs="仿宋"/>
          <w:sz w:val="32"/>
          <w:szCs w:val="32"/>
        </w:rPr>
        <w:t>2</w:t>
      </w:r>
      <w:r>
        <w:rPr>
          <w:rFonts w:hint="eastAsia" w:ascii="仿宋" w:hAnsi="仿宋" w:eastAsia="仿宋" w:cs="仿宋"/>
          <w:sz w:val="32"/>
          <w:szCs w:val="32"/>
        </w:rPr>
        <w:t>个（含代管的浉河区社会福利中心、按摩医院），具体是：</w:t>
      </w:r>
    </w:p>
    <w:p>
      <w:pPr>
        <w:spacing w:line="360" w:lineRule="auto"/>
        <w:ind w:firstLine="640" w:firstLineChars="200"/>
        <w:jc w:val="left"/>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信阳市浉河区民政局本级</w:t>
      </w:r>
    </w:p>
    <w:p>
      <w:pPr>
        <w:spacing w:line="360" w:lineRule="auto"/>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信阳市浉河区社会福利中心</w:t>
      </w:r>
    </w:p>
    <w:p>
      <w:pPr>
        <w:spacing w:line="360" w:lineRule="auto"/>
        <w:ind w:firstLine="640" w:firstLineChars="200"/>
        <w:jc w:val="left"/>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信阳市浉河区按摩医院</w:t>
      </w:r>
    </w:p>
    <w:p>
      <w:pPr>
        <w:jc w:val="center"/>
        <w:outlineLvl w:val="0"/>
        <w:rPr>
          <w:rFonts w:ascii="仿宋" w:hAnsi="仿宋" w:eastAsia="仿宋" w:cs="仿宋"/>
          <w:sz w:val="32"/>
          <w:szCs w:val="32"/>
        </w:rPr>
      </w:pPr>
    </w:p>
    <w:p>
      <w:pP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w:t>
      </w:r>
    </w:p>
    <w:p>
      <w:pPr>
        <w:jc w:val="center"/>
        <w:outlineLvl w:val="0"/>
        <w:rPr>
          <w:rFonts w:hint="eastAsia" w:ascii="黑体" w:hAnsi="黑体" w:eastAsia="黑体" w:cs="黑体"/>
          <w:sz w:val="48"/>
          <w:szCs w:val="48"/>
        </w:rPr>
      </w:pPr>
      <w:r>
        <w:rPr>
          <w:rFonts w:hint="eastAsia" w:ascii="黑体" w:hAnsi="黑体" w:eastAsia="黑体" w:cs="黑体"/>
          <w:sz w:val="48"/>
          <w:szCs w:val="48"/>
        </w:rPr>
        <w:t>信阳市浉河区民政局</w:t>
      </w:r>
    </w:p>
    <w:p>
      <w:pPr>
        <w:jc w:val="center"/>
        <w:outlineLvl w:val="0"/>
        <w:rPr>
          <w:rFonts w:ascii="黑体" w:hAnsi="黑体" w:eastAsia="黑体" w:cs="黑体"/>
          <w:sz w:val="48"/>
          <w:szCs w:val="48"/>
        </w:rPr>
      </w:pPr>
      <w:r>
        <w:rPr>
          <w:rFonts w:ascii="黑体" w:hAnsi="黑体" w:eastAsia="黑体" w:cs="黑体"/>
          <w:sz w:val="48"/>
          <w:szCs w:val="48"/>
        </w:rPr>
        <w:t>2019</w:t>
      </w:r>
      <w:r>
        <w:rPr>
          <w:rFonts w:hint="eastAsia" w:ascii="黑体" w:hAnsi="黑体" w:eastAsia="黑体" w:cs="黑体"/>
          <w:sz w:val="48"/>
          <w:szCs w:val="48"/>
        </w:rPr>
        <w:t>年度部门决算情况说明</w:t>
      </w: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outlineLvl w:val="0"/>
        <w:rPr>
          <w:rFonts w:ascii="黑体" w:hAnsi="黑体" w:eastAsia="黑体" w:cs="黑体"/>
          <w:sz w:val="48"/>
          <w:szCs w:val="48"/>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2019</w:t>
      </w:r>
      <w:r>
        <w:rPr>
          <w:rFonts w:hint="eastAsia" w:ascii="仿宋_GB2312" w:hAnsi="宋体" w:eastAsia="仿宋_GB2312" w:cs="Courier New"/>
          <w:sz w:val="32"/>
          <w:szCs w:val="32"/>
        </w:rPr>
        <w:t>年度收、支总计均为</w:t>
      </w:r>
      <w:r>
        <w:rPr>
          <w:rFonts w:ascii="仿宋_GB2312" w:hAnsi="宋体" w:eastAsia="仿宋_GB2312" w:cs="Courier New"/>
          <w:sz w:val="32"/>
          <w:szCs w:val="32"/>
        </w:rPr>
        <w:t>14697.44</w:t>
      </w:r>
      <w:r>
        <w:rPr>
          <w:rFonts w:hint="eastAsia" w:ascii="仿宋_GB2312" w:hAnsi="宋体" w:eastAsia="仿宋_GB2312" w:cs="Courier New"/>
          <w:sz w:val="32"/>
          <w:szCs w:val="32"/>
        </w:rPr>
        <w:t>万元。与上年度相比，收、支总计各减少</w:t>
      </w:r>
      <w:r>
        <w:rPr>
          <w:rFonts w:ascii="仿宋_GB2312" w:hAnsi="宋体" w:eastAsia="仿宋_GB2312" w:cs="Courier New"/>
          <w:sz w:val="32"/>
          <w:szCs w:val="32"/>
        </w:rPr>
        <w:t>3588.31</w:t>
      </w:r>
      <w:r>
        <w:rPr>
          <w:rFonts w:hint="eastAsia" w:ascii="仿宋_GB2312" w:hAnsi="宋体" w:eastAsia="仿宋_GB2312" w:cs="Courier New"/>
          <w:sz w:val="32"/>
          <w:szCs w:val="32"/>
        </w:rPr>
        <w:t>万元，较上年下降</w:t>
      </w:r>
      <w:r>
        <w:rPr>
          <w:rFonts w:ascii="仿宋_GB2312" w:hAnsi="宋体" w:eastAsia="仿宋_GB2312" w:cs="Courier New"/>
          <w:sz w:val="32"/>
          <w:szCs w:val="32"/>
        </w:rPr>
        <w:t>19.62%</w:t>
      </w:r>
      <w:r>
        <w:rPr>
          <w:rFonts w:hint="eastAsia" w:ascii="仿宋_GB2312" w:hAnsi="宋体" w:eastAsia="仿宋_GB2312" w:cs="Courier New"/>
          <w:sz w:val="32"/>
          <w:szCs w:val="32"/>
        </w:rPr>
        <w:t>，主要原因是</w:t>
      </w:r>
      <w:r>
        <w:rPr>
          <w:rFonts w:ascii="仿宋_GB2312" w:hAnsi="宋体" w:eastAsia="仿宋_GB2312" w:cs="Courier New"/>
          <w:sz w:val="32"/>
          <w:szCs w:val="32"/>
        </w:rPr>
        <w:t>2018</w:t>
      </w:r>
      <w:r>
        <w:rPr>
          <w:rFonts w:hint="eastAsia" w:ascii="仿宋_GB2312" w:hAnsi="宋体" w:eastAsia="仿宋_GB2312" w:cs="Courier New"/>
          <w:sz w:val="32"/>
          <w:szCs w:val="32"/>
        </w:rPr>
        <w:t>年政府机构改革，退役安置、优抚业务划归退役军人事务局，医疗救助业务划归医保局，造成</w:t>
      </w:r>
      <w:r>
        <w:rPr>
          <w:rFonts w:ascii="仿宋_GB2312" w:hAnsi="宋体" w:eastAsia="仿宋_GB2312" w:cs="Courier New"/>
          <w:sz w:val="32"/>
          <w:szCs w:val="32"/>
        </w:rPr>
        <w:t>2019</w:t>
      </w:r>
      <w:r>
        <w:rPr>
          <w:rFonts w:hint="eastAsia" w:ascii="仿宋_GB2312" w:hAnsi="宋体" w:eastAsia="仿宋_GB2312" w:cs="Courier New"/>
          <w:sz w:val="32"/>
          <w:szCs w:val="32"/>
        </w:rPr>
        <w:t>年度支出相对减少。</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ascii="仿宋_GB2312" w:hAnsi="宋体" w:eastAsia="仿宋_GB2312" w:cs="Courier New"/>
          <w:sz w:val="32"/>
          <w:szCs w:val="32"/>
        </w:rPr>
        <w:t>2019</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ascii="仿宋_GB2312" w:hAnsi="Times New Roman" w:eastAsia="仿宋_GB2312"/>
          <w:sz w:val="32"/>
          <w:szCs w:val="32"/>
        </w:rPr>
        <w:t>14697.44</w:t>
      </w:r>
      <w:r>
        <w:rPr>
          <w:rFonts w:hint="eastAsia" w:ascii="仿宋_GB2312" w:hAnsi="Times New Roman" w:eastAsia="仿宋_GB2312"/>
          <w:sz w:val="32"/>
          <w:szCs w:val="32"/>
        </w:rPr>
        <w:t>万元，其中：财政拨款收入</w:t>
      </w:r>
      <w:r>
        <w:rPr>
          <w:rFonts w:ascii="仿宋_GB2312" w:hAnsi="Times New Roman" w:eastAsia="仿宋_GB2312"/>
          <w:sz w:val="32"/>
          <w:szCs w:val="32"/>
        </w:rPr>
        <w:t>14697.44</w:t>
      </w:r>
      <w:r>
        <w:rPr>
          <w:rFonts w:hint="eastAsia" w:ascii="仿宋_GB2312" w:hAnsi="Times New Roman" w:eastAsia="仿宋_GB2312"/>
          <w:sz w:val="32"/>
          <w:szCs w:val="32"/>
        </w:rPr>
        <w:t>万元，占比</w:t>
      </w:r>
      <w:r>
        <w:rPr>
          <w:rFonts w:ascii="仿宋_GB2312" w:hAnsi="Times New Roman" w:eastAsia="仿宋_GB2312"/>
          <w:sz w:val="32"/>
          <w:szCs w:val="32"/>
        </w:rPr>
        <w:t>100%</w:t>
      </w:r>
      <w:r>
        <w:rPr>
          <w:rFonts w:hint="eastAsia" w:ascii="仿宋_GB2312" w:hAnsi="Times New Roman" w:eastAsia="仿宋_GB2312"/>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2019</w:t>
      </w:r>
      <w:r>
        <w:rPr>
          <w:rFonts w:hint="eastAsia" w:ascii="仿宋_GB2312" w:hAnsi="宋体" w:eastAsia="仿宋_GB2312" w:cs="Courier New"/>
          <w:sz w:val="32"/>
          <w:szCs w:val="32"/>
        </w:rPr>
        <w:t>年度支出合计</w:t>
      </w:r>
      <w:r>
        <w:rPr>
          <w:rFonts w:ascii="仿宋_GB2312" w:hAnsi="宋体" w:eastAsia="仿宋_GB2312" w:cs="Courier New"/>
          <w:sz w:val="32"/>
          <w:szCs w:val="32"/>
        </w:rPr>
        <w:t>14697.44</w:t>
      </w:r>
      <w:r>
        <w:rPr>
          <w:rFonts w:hint="eastAsia" w:ascii="仿宋_GB2312" w:hAnsi="宋体" w:eastAsia="仿宋_GB2312" w:cs="Courier New"/>
          <w:sz w:val="32"/>
          <w:szCs w:val="32"/>
        </w:rPr>
        <w:t>万元，</w:t>
      </w:r>
      <w:r>
        <w:rPr>
          <w:rFonts w:hint="eastAsia" w:ascii="仿宋_GB2312" w:hAnsi="仿宋_GB2312" w:eastAsia="仿宋_GB2312" w:cs="仿宋_GB2312"/>
          <w:sz w:val="32"/>
          <w:szCs w:val="32"/>
        </w:rPr>
        <w:t>其中：基本支出</w:t>
      </w:r>
      <w:r>
        <w:rPr>
          <w:rFonts w:ascii="仿宋_GB2312" w:hAnsi="仿宋_GB2312" w:eastAsia="仿宋_GB2312" w:cs="仿宋_GB2312"/>
          <w:sz w:val="32"/>
          <w:szCs w:val="32"/>
        </w:rPr>
        <w:t>11810.44</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80.36%</w:t>
      </w:r>
      <w:r>
        <w:rPr>
          <w:rFonts w:hint="eastAsia" w:ascii="仿宋_GB2312" w:hAnsi="仿宋_GB2312" w:eastAsia="仿宋_GB2312" w:cs="仿宋_GB2312"/>
          <w:sz w:val="32"/>
          <w:szCs w:val="32"/>
        </w:rPr>
        <w:t>；项目支出</w:t>
      </w:r>
      <w:r>
        <w:rPr>
          <w:rFonts w:ascii="仿宋_GB2312" w:hAnsi="仿宋_GB2312" w:eastAsia="仿宋_GB2312" w:cs="仿宋_GB2312"/>
          <w:sz w:val="32"/>
          <w:szCs w:val="32"/>
        </w:rPr>
        <w:t>2887</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19.64%</w:t>
      </w:r>
      <w:r>
        <w:rPr>
          <w:rFonts w:hint="eastAsia" w:ascii="仿宋_GB2312" w:hAnsi="仿宋_GB2312" w:eastAsia="仿宋_GB2312" w:cs="仿宋_GB2312"/>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2019</w:t>
      </w:r>
      <w:r>
        <w:rPr>
          <w:rFonts w:hint="eastAsia" w:ascii="仿宋_GB2312" w:hAnsi="宋体" w:eastAsia="仿宋_GB2312" w:cs="Courier New"/>
          <w:sz w:val="32"/>
          <w:szCs w:val="32"/>
        </w:rPr>
        <w:t>年度财政拨款收、支总计均为</w:t>
      </w:r>
      <w:r>
        <w:rPr>
          <w:rFonts w:ascii="仿宋_GB2312" w:hAnsi="宋体" w:eastAsia="仿宋_GB2312" w:cs="Courier New"/>
          <w:sz w:val="32"/>
          <w:szCs w:val="32"/>
        </w:rPr>
        <w:t>14697.44</w:t>
      </w:r>
      <w:r>
        <w:rPr>
          <w:rFonts w:hint="eastAsia" w:ascii="仿宋_GB2312" w:hAnsi="宋体" w:eastAsia="仿宋_GB2312" w:cs="Courier New"/>
          <w:sz w:val="32"/>
          <w:szCs w:val="32"/>
        </w:rPr>
        <w:t>万元。与上年度相比，财政拨款收、支总计各减少</w:t>
      </w:r>
      <w:r>
        <w:rPr>
          <w:rFonts w:ascii="仿宋_GB2312" w:hAnsi="宋体" w:eastAsia="仿宋_GB2312" w:cs="Courier New"/>
          <w:sz w:val="32"/>
          <w:szCs w:val="32"/>
        </w:rPr>
        <w:t>3588.31</w:t>
      </w:r>
      <w:r>
        <w:rPr>
          <w:rFonts w:hint="eastAsia" w:ascii="仿宋_GB2312" w:hAnsi="宋体" w:eastAsia="仿宋_GB2312" w:cs="Courier New"/>
          <w:sz w:val="32"/>
          <w:szCs w:val="32"/>
        </w:rPr>
        <w:t>万元，较上年下降</w:t>
      </w:r>
      <w:r>
        <w:rPr>
          <w:rFonts w:ascii="仿宋_GB2312" w:hAnsi="宋体" w:eastAsia="仿宋_GB2312" w:cs="Courier New"/>
          <w:sz w:val="32"/>
          <w:szCs w:val="32"/>
        </w:rPr>
        <w:t>19.62%</w:t>
      </w:r>
      <w:r>
        <w:rPr>
          <w:rFonts w:hint="eastAsia" w:ascii="仿宋_GB2312" w:hAnsi="宋体" w:eastAsia="仿宋_GB2312" w:cs="Courier New"/>
          <w:sz w:val="32"/>
          <w:szCs w:val="32"/>
        </w:rPr>
        <w:t>，主要原因是</w:t>
      </w:r>
      <w:r>
        <w:rPr>
          <w:rFonts w:ascii="仿宋_GB2312" w:hAnsi="宋体" w:eastAsia="仿宋_GB2312" w:cs="Courier New"/>
          <w:sz w:val="32"/>
          <w:szCs w:val="32"/>
        </w:rPr>
        <w:t>2018</w:t>
      </w:r>
      <w:r>
        <w:rPr>
          <w:rFonts w:hint="eastAsia" w:ascii="仿宋_GB2312" w:hAnsi="宋体" w:eastAsia="仿宋_GB2312" w:cs="Courier New"/>
          <w:sz w:val="32"/>
          <w:szCs w:val="32"/>
        </w:rPr>
        <w:t>年政府机构改革，退役安置、优抚业务划归退役军人事务局，医疗救助业务划归医保局，造成</w:t>
      </w:r>
      <w:r>
        <w:rPr>
          <w:rFonts w:ascii="仿宋_GB2312" w:hAnsi="宋体" w:eastAsia="仿宋_GB2312" w:cs="Courier New"/>
          <w:sz w:val="32"/>
          <w:szCs w:val="32"/>
        </w:rPr>
        <w:t>2019</w:t>
      </w:r>
      <w:r>
        <w:rPr>
          <w:rFonts w:hint="eastAsia" w:ascii="仿宋_GB2312" w:hAnsi="宋体" w:eastAsia="仿宋_GB2312" w:cs="Courier New"/>
          <w:sz w:val="32"/>
          <w:szCs w:val="32"/>
        </w:rPr>
        <w:t>年度支出相对减少。</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一般公共预算财政拨款支出决算情况说明</w:t>
      </w:r>
    </w:p>
    <w:p>
      <w:pPr>
        <w:numPr>
          <w:ilvl w:val="0"/>
          <w:numId w:val="6"/>
        </w:numPr>
        <w:adjustRightInd w:val="0"/>
        <w:snapToGrid w:val="0"/>
        <w:spacing w:line="360" w:lineRule="auto"/>
        <w:ind w:firstLine="643" w:firstLineChars="200"/>
        <w:rPr>
          <w:rFonts w:ascii="楷体_GB2312" w:hAnsi="楷体_GB2312" w:eastAsia="楷体_GB2312" w:cs="楷体_GB2312"/>
          <w:sz w:val="32"/>
          <w:szCs w:val="32"/>
        </w:rPr>
      </w:pPr>
      <w:r>
        <w:rPr>
          <w:rFonts w:hint="eastAsia" w:ascii="楷体" w:hAnsi="楷体" w:eastAsia="楷体" w:cs="楷体"/>
          <w:b/>
          <w:bCs/>
          <w:sz w:val="32"/>
          <w:szCs w:val="32"/>
        </w:rPr>
        <w:t>总体情况。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2019</w:t>
      </w:r>
      <w:r>
        <w:rPr>
          <w:rFonts w:hint="eastAsia" w:ascii="仿宋_GB2312" w:hAnsi="宋体" w:eastAsia="仿宋_GB2312" w:cs="Courier New"/>
          <w:sz w:val="32"/>
          <w:szCs w:val="32"/>
        </w:rPr>
        <w:t>年一般公共预算财政拨款支出</w:t>
      </w:r>
      <w:r>
        <w:rPr>
          <w:rFonts w:ascii="仿宋_GB2312" w:hAnsi="宋体" w:eastAsia="仿宋_GB2312" w:cs="Courier New"/>
          <w:sz w:val="32"/>
          <w:szCs w:val="32"/>
        </w:rPr>
        <w:t>14697.44</w:t>
      </w:r>
      <w:r>
        <w:rPr>
          <w:rFonts w:hint="eastAsia" w:ascii="仿宋_GB2312" w:hAnsi="宋体" w:eastAsia="仿宋_GB2312" w:cs="Courier New"/>
          <w:sz w:val="32"/>
          <w:szCs w:val="32"/>
        </w:rPr>
        <w:t>万元，占本年支出合计的</w:t>
      </w:r>
      <w:r>
        <w:rPr>
          <w:rFonts w:ascii="仿宋_GB2312" w:hAnsi="宋体" w:eastAsia="仿宋_GB2312" w:cs="Courier New"/>
          <w:sz w:val="32"/>
          <w:szCs w:val="32"/>
        </w:rPr>
        <w:t>100%</w:t>
      </w:r>
      <w:r>
        <w:rPr>
          <w:rFonts w:hint="eastAsia" w:ascii="仿宋_GB2312" w:hAnsi="宋体" w:eastAsia="仿宋_GB2312" w:cs="Courier New"/>
          <w:sz w:val="32"/>
          <w:szCs w:val="32"/>
        </w:rPr>
        <w:t>。与上一年度相比，一般公共预算财政拨款支出减少</w:t>
      </w:r>
      <w:r>
        <w:rPr>
          <w:rFonts w:ascii="仿宋_GB2312" w:hAnsi="宋体" w:eastAsia="仿宋_GB2312" w:cs="Courier New"/>
          <w:sz w:val="32"/>
          <w:szCs w:val="32"/>
        </w:rPr>
        <w:t>3588.31</w:t>
      </w:r>
      <w:r>
        <w:rPr>
          <w:rFonts w:hint="eastAsia" w:ascii="仿宋_GB2312" w:hAnsi="宋体" w:eastAsia="仿宋_GB2312" w:cs="Courier New"/>
          <w:sz w:val="32"/>
          <w:szCs w:val="32"/>
        </w:rPr>
        <w:t>万元，较上年下降</w:t>
      </w:r>
      <w:r>
        <w:rPr>
          <w:rFonts w:ascii="仿宋_GB2312" w:hAnsi="宋体" w:eastAsia="仿宋_GB2312" w:cs="Courier New"/>
          <w:sz w:val="32"/>
          <w:szCs w:val="32"/>
        </w:rPr>
        <w:t>19.62%</w:t>
      </w:r>
      <w:r>
        <w:rPr>
          <w:rFonts w:hint="eastAsia" w:ascii="仿宋_GB2312" w:hAnsi="宋体" w:eastAsia="仿宋_GB2312" w:cs="Courier New"/>
          <w:sz w:val="32"/>
          <w:szCs w:val="32"/>
        </w:rPr>
        <w:t>，主要原因是</w:t>
      </w:r>
      <w:r>
        <w:rPr>
          <w:rFonts w:ascii="仿宋_GB2312" w:hAnsi="宋体" w:eastAsia="仿宋_GB2312" w:cs="Courier New"/>
          <w:sz w:val="32"/>
          <w:szCs w:val="32"/>
        </w:rPr>
        <w:t>2018</w:t>
      </w:r>
      <w:r>
        <w:rPr>
          <w:rFonts w:hint="eastAsia" w:ascii="仿宋_GB2312" w:hAnsi="宋体" w:eastAsia="仿宋_GB2312" w:cs="Courier New"/>
          <w:sz w:val="32"/>
          <w:szCs w:val="32"/>
        </w:rPr>
        <w:t>年政府机构改革，退役安置、优抚业务划归退役军人事务局，医疗救助业务划归医保局，造成</w:t>
      </w:r>
      <w:r>
        <w:rPr>
          <w:rFonts w:ascii="仿宋_GB2312" w:hAnsi="宋体" w:eastAsia="仿宋_GB2312" w:cs="Courier New"/>
          <w:sz w:val="32"/>
          <w:szCs w:val="32"/>
        </w:rPr>
        <w:t>2019</w:t>
      </w:r>
      <w:r>
        <w:rPr>
          <w:rFonts w:hint="eastAsia" w:ascii="仿宋_GB2312" w:hAnsi="宋体" w:eastAsia="仿宋_GB2312" w:cs="Courier New"/>
          <w:sz w:val="32"/>
          <w:szCs w:val="32"/>
        </w:rPr>
        <w:t>年度支出相对减少。</w:t>
      </w:r>
    </w:p>
    <w:p>
      <w:pPr>
        <w:numPr>
          <w:ilvl w:val="0"/>
          <w:numId w:val="6"/>
        </w:numPr>
        <w:adjustRightInd w:val="0"/>
        <w:snapToGrid w:val="0"/>
        <w:spacing w:line="360" w:lineRule="auto"/>
        <w:ind w:firstLine="643" w:firstLineChars="200"/>
        <w:rPr>
          <w:rFonts w:ascii="楷体" w:hAnsi="楷体" w:eastAsia="楷体" w:cs="楷体"/>
          <w:b/>
          <w:bCs/>
          <w:sz w:val="32"/>
          <w:szCs w:val="32"/>
        </w:rPr>
      </w:pPr>
      <w:r>
        <w:rPr>
          <w:rFonts w:hint="eastAsia" w:ascii="楷体" w:hAnsi="楷体" w:eastAsia="楷体" w:cs="楷体"/>
          <w:b/>
          <w:bCs/>
          <w:sz w:val="32"/>
          <w:szCs w:val="32"/>
        </w:rPr>
        <w:t>结构情况。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2019</w:t>
      </w:r>
      <w:r>
        <w:rPr>
          <w:rFonts w:hint="eastAsia" w:ascii="仿宋_GB2312" w:hAnsi="宋体" w:eastAsia="仿宋_GB2312" w:cs="Courier New"/>
          <w:sz w:val="32"/>
          <w:szCs w:val="32"/>
        </w:rPr>
        <w:t>年度一般公共预算财政拨款支出</w:t>
      </w:r>
      <w:r>
        <w:rPr>
          <w:rFonts w:ascii="仿宋_GB2312" w:hAnsi="宋体" w:eastAsia="仿宋_GB2312" w:cs="Courier New"/>
          <w:sz w:val="32"/>
          <w:szCs w:val="32"/>
        </w:rPr>
        <w:t>14697.44</w:t>
      </w:r>
      <w:r>
        <w:rPr>
          <w:rFonts w:hint="eastAsia" w:ascii="仿宋_GB2312" w:hAnsi="宋体" w:eastAsia="仿宋_GB2312" w:cs="Courier New"/>
          <w:sz w:val="32"/>
          <w:szCs w:val="32"/>
        </w:rPr>
        <w:t>万元，主要用于以下方面：社会保障和就业</w:t>
      </w:r>
      <w:r>
        <w:rPr>
          <w:rFonts w:ascii="仿宋_GB2312" w:hAnsi="宋体" w:eastAsia="仿宋_GB2312" w:cs="Courier New"/>
          <w:sz w:val="32"/>
          <w:szCs w:val="32"/>
        </w:rPr>
        <w:t>(</w:t>
      </w:r>
      <w:r>
        <w:rPr>
          <w:rFonts w:hint="eastAsia" w:ascii="仿宋_GB2312" w:hAnsi="宋体" w:eastAsia="仿宋_GB2312" w:cs="Courier New"/>
          <w:sz w:val="32"/>
          <w:szCs w:val="32"/>
        </w:rPr>
        <w:t>类）民政管理事务（款）其他民政管理事务（项）支出</w:t>
      </w:r>
      <w:r>
        <w:rPr>
          <w:rFonts w:ascii="仿宋_GB2312" w:hAnsi="宋体" w:eastAsia="仿宋_GB2312" w:cs="Courier New"/>
          <w:sz w:val="32"/>
          <w:szCs w:val="32"/>
        </w:rPr>
        <w:t>14655.37</w:t>
      </w:r>
      <w:r>
        <w:rPr>
          <w:rFonts w:hint="eastAsia" w:ascii="仿宋_GB2312" w:hAnsi="宋体" w:eastAsia="仿宋_GB2312" w:cs="Courier New"/>
          <w:sz w:val="32"/>
          <w:szCs w:val="32"/>
        </w:rPr>
        <w:t>万元，占</w:t>
      </w:r>
      <w:r>
        <w:rPr>
          <w:rFonts w:ascii="仿宋_GB2312" w:hAnsi="宋体" w:eastAsia="仿宋_GB2312" w:cs="Courier New"/>
          <w:sz w:val="32"/>
          <w:szCs w:val="32"/>
        </w:rPr>
        <w:t>99.71%</w:t>
      </w:r>
      <w:r>
        <w:rPr>
          <w:rFonts w:hint="eastAsia" w:ascii="仿宋_GB2312" w:hAnsi="宋体" w:eastAsia="仿宋_GB2312" w:cs="Courier New"/>
          <w:sz w:val="32"/>
          <w:szCs w:val="32"/>
        </w:rPr>
        <w:t>；卫生健康（类）行政事业单位医疗（款）单位医疗（项）支出</w:t>
      </w:r>
      <w:r>
        <w:rPr>
          <w:rFonts w:ascii="仿宋_GB2312" w:hAnsi="宋体" w:eastAsia="仿宋_GB2312" w:cs="Courier New"/>
          <w:sz w:val="32"/>
          <w:szCs w:val="32"/>
        </w:rPr>
        <w:t>17.15</w:t>
      </w:r>
      <w:r>
        <w:rPr>
          <w:rFonts w:hint="eastAsia" w:ascii="仿宋_GB2312" w:hAnsi="宋体" w:eastAsia="仿宋_GB2312" w:cs="Courier New"/>
          <w:sz w:val="32"/>
          <w:szCs w:val="32"/>
        </w:rPr>
        <w:t>万元，占</w:t>
      </w:r>
      <w:r>
        <w:rPr>
          <w:rFonts w:ascii="仿宋_GB2312" w:hAnsi="宋体" w:eastAsia="仿宋_GB2312" w:cs="Courier New"/>
          <w:sz w:val="32"/>
          <w:szCs w:val="32"/>
        </w:rPr>
        <w:t>0.12%</w:t>
      </w:r>
      <w:r>
        <w:rPr>
          <w:rFonts w:hint="eastAsia" w:ascii="仿宋_GB2312" w:hAnsi="宋体" w:eastAsia="仿宋_GB2312" w:cs="Courier New"/>
          <w:sz w:val="32"/>
          <w:szCs w:val="32"/>
        </w:rPr>
        <w:t>；住房保障（类）住房改革（款）住房公积金（项）支出</w:t>
      </w:r>
      <w:r>
        <w:rPr>
          <w:rFonts w:ascii="仿宋_GB2312" w:hAnsi="宋体" w:eastAsia="仿宋_GB2312" w:cs="Courier New"/>
          <w:sz w:val="32"/>
          <w:szCs w:val="32"/>
        </w:rPr>
        <w:t>24.92</w:t>
      </w:r>
      <w:r>
        <w:rPr>
          <w:rFonts w:hint="eastAsia" w:ascii="仿宋_GB2312" w:hAnsi="宋体" w:eastAsia="仿宋_GB2312" w:cs="Courier New"/>
          <w:sz w:val="32"/>
          <w:szCs w:val="32"/>
        </w:rPr>
        <w:t>万元，占</w:t>
      </w:r>
      <w:r>
        <w:rPr>
          <w:rFonts w:ascii="仿宋_GB2312" w:hAnsi="宋体" w:eastAsia="仿宋_GB2312" w:cs="Courier New"/>
          <w:sz w:val="32"/>
          <w:szCs w:val="32"/>
        </w:rPr>
        <w:t>0.17%</w:t>
      </w:r>
      <w:r>
        <w:rPr>
          <w:rFonts w:hint="eastAsia" w:ascii="仿宋_GB2312" w:hAnsi="宋体" w:eastAsia="仿宋_GB2312" w:cs="Courier New"/>
          <w:sz w:val="32"/>
          <w:szCs w:val="32"/>
        </w:rPr>
        <w:t>。</w:t>
      </w:r>
    </w:p>
    <w:p>
      <w:pPr>
        <w:numPr>
          <w:ilvl w:val="0"/>
          <w:numId w:val="6"/>
        </w:numPr>
        <w:adjustRightInd w:val="0"/>
        <w:snapToGrid w:val="0"/>
        <w:spacing w:line="360" w:lineRule="auto"/>
        <w:ind w:firstLine="643" w:firstLineChars="200"/>
        <w:rPr>
          <w:rFonts w:ascii="楷体" w:hAnsi="楷体" w:eastAsia="楷体" w:cs="楷体"/>
          <w:b/>
          <w:bCs/>
          <w:sz w:val="32"/>
          <w:szCs w:val="32"/>
        </w:rPr>
      </w:pPr>
      <w:r>
        <w:rPr>
          <w:rFonts w:hint="eastAsia" w:ascii="楷体" w:hAnsi="楷体" w:eastAsia="楷体" w:cs="楷体"/>
          <w:b/>
          <w:bCs/>
          <w:sz w:val="32"/>
          <w:szCs w:val="32"/>
        </w:rPr>
        <w:t>具体情况。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2019</w:t>
      </w:r>
      <w:r>
        <w:rPr>
          <w:rFonts w:hint="eastAsia" w:ascii="仿宋_GB2312" w:hAnsi="宋体" w:eastAsia="仿宋_GB2312" w:cs="Courier New"/>
          <w:sz w:val="32"/>
          <w:szCs w:val="32"/>
        </w:rPr>
        <w:t>年度一般公共预算财政拨款支出年初预算为</w:t>
      </w:r>
      <w:r>
        <w:rPr>
          <w:rFonts w:ascii="仿宋_GB2312" w:hAnsi="宋体" w:eastAsia="仿宋_GB2312" w:cs="Courier New"/>
          <w:sz w:val="32"/>
          <w:szCs w:val="32"/>
        </w:rPr>
        <w:t>20498.7</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14697.44</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71.7%</w:t>
      </w:r>
      <w:r>
        <w:rPr>
          <w:rFonts w:hint="eastAsia" w:ascii="仿宋_GB2312" w:hAnsi="宋体" w:eastAsia="仿宋_GB2312" w:cs="Courier New"/>
          <w:sz w:val="32"/>
          <w:szCs w:val="32"/>
        </w:rPr>
        <w:t>。其中：</w:t>
      </w:r>
    </w:p>
    <w:p>
      <w:pPr>
        <w:widowControl/>
        <w:spacing w:line="59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w:t>
      </w:r>
      <w:r>
        <w:rPr>
          <w:rFonts w:hint="eastAsia" w:ascii="仿宋_GB2312" w:hAnsi="宋体" w:eastAsia="仿宋_GB2312" w:cs="Courier New"/>
          <w:b/>
          <w:bCs/>
          <w:sz w:val="32"/>
          <w:szCs w:val="32"/>
        </w:rPr>
        <w:t>社会保障和就业</w:t>
      </w:r>
      <w:r>
        <w:rPr>
          <w:rFonts w:ascii="仿宋_GB2312" w:hAnsi="宋体" w:eastAsia="仿宋_GB2312" w:cs="Courier New"/>
          <w:b/>
          <w:bCs/>
          <w:sz w:val="32"/>
          <w:szCs w:val="32"/>
        </w:rPr>
        <w:t>(</w:t>
      </w:r>
      <w:r>
        <w:rPr>
          <w:rFonts w:hint="eastAsia" w:ascii="仿宋_GB2312" w:hAnsi="宋体" w:eastAsia="仿宋_GB2312" w:cs="Courier New"/>
          <w:b/>
          <w:bCs/>
          <w:sz w:val="32"/>
          <w:szCs w:val="32"/>
        </w:rPr>
        <w:t>类）民政管理事务（款）其他民政管理事务（项）支出</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19062.5</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14655.37</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76.88%</w:t>
      </w:r>
      <w:r>
        <w:rPr>
          <w:rFonts w:hint="eastAsia" w:ascii="仿宋_GB2312" w:hAnsi="仿宋_GB2312" w:eastAsia="仿宋_GB2312" w:cs="仿宋_GB2312"/>
          <w:sz w:val="32"/>
          <w:szCs w:val="32"/>
        </w:rPr>
        <w:t>。决算数与年初预算数存在差异的主要原因是</w:t>
      </w:r>
      <w:r>
        <w:rPr>
          <w:rFonts w:ascii="仿宋_GB2312" w:hAnsi="宋体" w:eastAsia="仿宋_GB2312" w:cs="Courier New"/>
          <w:sz w:val="32"/>
          <w:szCs w:val="32"/>
        </w:rPr>
        <w:t>2018</w:t>
      </w:r>
      <w:r>
        <w:rPr>
          <w:rFonts w:hint="eastAsia" w:ascii="仿宋_GB2312" w:hAnsi="宋体" w:eastAsia="仿宋_GB2312" w:cs="Courier New"/>
          <w:sz w:val="32"/>
          <w:szCs w:val="32"/>
        </w:rPr>
        <w:t>年政府机构改革，退役安置、优抚业务划归退役军人事务局，造成</w:t>
      </w:r>
      <w:r>
        <w:rPr>
          <w:rFonts w:ascii="仿宋_GB2312" w:hAnsi="宋体" w:eastAsia="仿宋_GB2312" w:cs="Courier New"/>
          <w:sz w:val="32"/>
          <w:szCs w:val="32"/>
        </w:rPr>
        <w:t>2019</w:t>
      </w:r>
      <w:r>
        <w:rPr>
          <w:rFonts w:hint="eastAsia" w:ascii="仿宋_GB2312" w:hAnsi="宋体" w:eastAsia="仿宋_GB2312" w:cs="Courier New"/>
          <w:sz w:val="32"/>
          <w:szCs w:val="32"/>
        </w:rPr>
        <w:t>年度支出相对减少</w:t>
      </w:r>
      <w:r>
        <w:rPr>
          <w:rFonts w:hint="eastAsia" w:ascii="仿宋_GB2312" w:hAnsi="仿宋_GB2312" w:eastAsia="仿宋_GB2312" w:cs="仿宋_GB2312"/>
          <w:sz w:val="32"/>
          <w:szCs w:val="32"/>
        </w:rPr>
        <w:t>。</w:t>
      </w:r>
    </w:p>
    <w:p>
      <w:pPr>
        <w:widowControl/>
        <w:spacing w:line="59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．卫生健康（类）行政事业单位医疗（款）单位医疗（项）支出。</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1408.3</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17.15</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1.22%</w:t>
      </w:r>
      <w:r>
        <w:rPr>
          <w:rFonts w:hint="eastAsia" w:ascii="仿宋_GB2312" w:hAnsi="仿宋_GB2312" w:eastAsia="仿宋_GB2312" w:cs="仿宋_GB2312"/>
          <w:sz w:val="32"/>
          <w:szCs w:val="32"/>
        </w:rPr>
        <w:t>。决算数与年初预算数存在差异的主要原因是</w:t>
      </w:r>
      <w:r>
        <w:rPr>
          <w:rFonts w:ascii="仿宋_GB2312" w:hAnsi="宋体" w:eastAsia="仿宋_GB2312" w:cs="Courier New"/>
          <w:sz w:val="32"/>
          <w:szCs w:val="32"/>
        </w:rPr>
        <w:t>2018</w:t>
      </w:r>
      <w:r>
        <w:rPr>
          <w:rFonts w:hint="eastAsia" w:ascii="仿宋_GB2312" w:hAnsi="宋体" w:eastAsia="仿宋_GB2312" w:cs="Courier New"/>
          <w:sz w:val="32"/>
          <w:szCs w:val="32"/>
        </w:rPr>
        <w:t>年政府机构改革，医疗救助业务划归医保局，造成</w:t>
      </w:r>
      <w:r>
        <w:rPr>
          <w:rFonts w:ascii="仿宋_GB2312" w:hAnsi="宋体" w:eastAsia="仿宋_GB2312" w:cs="Courier New"/>
          <w:sz w:val="32"/>
          <w:szCs w:val="32"/>
        </w:rPr>
        <w:t>2019</w:t>
      </w:r>
      <w:r>
        <w:rPr>
          <w:rFonts w:hint="eastAsia" w:ascii="仿宋_GB2312" w:hAnsi="宋体" w:eastAsia="仿宋_GB2312" w:cs="Courier New"/>
          <w:sz w:val="32"/>
          <w:szCs w:val="32"/>
        </w:rPr>
        <w:t>年度支出相对减少</w:t>
      </w:r>
      <w:r>
        <w:rPr>
          <w:rFonts w:hint="eastAsia" w:ascii="仿宋_GB2312" w:hAnsi="仿宋_GB2312" w:eastAsia="仿宋_GB2312" w:cs="仿宋_GB2312"/>
          <w:sz w:val="32"/>
          <w:szCs w:val="32"/>
        </w:rPr>
        <w:t>。</w:t>
      </w:r>
    </w:p>
    <w:p>
      <w:pPr>
        <w:widowControl/>
        <w:spacing w:line="59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．住房保障（类）住房改革（款）住房公积金（项）支出。</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27.9</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24.92</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89.32%</w:t>
      </w:r>
      <w:r>
        <w:rPr>
          <w:rFonts w:hint="eastAsia" w:ascii="仿宋_GB2312" w:hAnsi="仿宋_GB2312" w:eastAsia="仿宋_GB2312" w:cs="仿宋_GB2312"/>
          <w:sz w:val="32"/>
          <w:szCs w:val="32"/>
        </w:rPr>
        <w:t>。决算数与年初预算数存在差异的主要原因是人员调动、人员退休。</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一般公共预算财政拨款基本支出决算情况说明</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年度一般公共预算财政拨款基本支出</w:t>
      </w:r>
      <w:r>
        <w:rPr>
          <w:rFonts w:ascii="仿宋_GB2312" w:hAnsi="仿宋_GB2312" w:eastAsia="仿宋_GB2312" w:cs="仿宋_GB2312"/>
          <w:sz w:val="32"/>
          <w:szCs w:val="32"/>
        </w:rPr>
        <w:t>11810.44</w:t>
      </w:r>
      <w:r>
        <w:rPr>
          <w:rFonts w:hint="eastAsia" w:ascii="仿宋_GB2312" w:hAnsi="仿宋_GB2312" w:eastAsia="仿宋_GB2312" w:cs="仿宋_GB2312"/>
          <w:sz w:val="32"/>
          <w:szCs w:val="32"/>
        </w:rPr>
        <w:t>万元。其中：人员经费</w:t>
      </w:r>
      <w:r>
        <w:rPr>
          <w:rFonts w:ascii="仿宋_GB2312" w:hAnsi="仿宋_GB2312" w:eastAsia="仿宋_GB2312" w:cs="仿宋_GB2312"/>
          <w:sz w:val="32"/>
          <w:szCs w:val="32"/>
        </w:rPr>
        <w:t>11670.58</w:t>
      </w:r>
      <w:r>
        <w:rPr>
          <w:rFonts w:hint="eastAsia" w:ascii="仿宋_GB2312" w:hAnsi="仿宋_GB2312" w:eastAsia="仿宋_GB2312" w:cs="仿宋_GB2312"/>
          <w:sz w:val="32"/>
          <w:szCs w:val="32"/>
        </w:rPr>
        <w:t>万元，主要包括：基本工资、津贴补贴、绩效工资、机关事业单位基本养老保险缴费、职工基本医疗保险缴费、住房公积金、其他工资福利支出、离休费、退休费、抚恤金、生活补助、其他对个人和家庭的补助支出；公用经费</w:t>
      </w:r>
      <w:r>
        <w:rPr>
          <w:rFonts w:ascii="仿宋_GB2312" w:hAnsi="仿宋_GB2312" w:eastAsia="仿宋_GB2312" w:cs="仿宋_GB2312"/>
          <w:sz w:val="32"/>
          <w:szCs w:val="32"/>
        </w:rPr>
        <w:t>139.86</w:t>
      </w:r>
      <w:r>
        <w:rPr>
          <w:rFonts w:hint="eastAsia" w:ascii="仿宋_GB2312" w:hAnsi="仿宋_GB2312" w:eastAsia="仿宋_GB2312" w:cs="仿宋_GB2312"/>
          <w:sz w:val="32"/>
          <w:szCs w:val="32"/>
        </w:rPr>
        <w:t>万元，主要包括：办公费、印刷费、水费、电费、邮电费、差旅费、维修（护）费、培训费、公务接待费、工会经费、其他交通费用、税金及附加费用、其他商服务支出、办公设备购置。</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一般公共预算财政拨款“三公”经费支出决算情况说明</w:t>
      </w:r>
    </w:p>
    <w:p>
      <w:pPr>
        <w:numPr>
          <w:ilvl w:val="0"/>
          <w:numId w:val="7"/>
        </w:numPr>
        <w:kinsoku w:val="0"/>
        <w:overflowPunct w:val="0"/>
        <w:autoSpaceDE w:val="0"/>
        <w:autoSpaceDN w:val="0"/>
        <w:adjustRightInd w:val="0"/>
        <w:snapToGrid w:val="0"/>
        <w:spacing w:line="360" w:lineRule="auto"/>
        <w:ind w:firstLine="643" w:firstLineChars="200"/>
        <w:rPr>
          <w:rFonts w:ascii="楷体" w:hAnsi="楷体" w:eastAsia="楷体" w:cs="楷体"/>
          <w:b/>
          <w:bCs/>
          <w:sz w:val="32"/>
          <w:szCs w:val="32"/>
        </w:rPr>
      </w:pPr>
      <w:r>
        <w:rPr>
          <w:rFonts w:hint="eastAsia" w:ascii="楷体" w:hAnsi="楷体" w:eastAsia="楷体" w:cs="楷体"/>
          <w:b/>
          <w:bCs/>
          <w:sz w:val="32"/>
          <w:szCs w:val="32"/>
        </w:rPr>
        <w:t>“三公”经费财政拨款支出决算总体情况说明。</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年度“三公”经费财政拨款支出预算为</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83.33%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年度“三公”经费支出决算数与预算数存在差异的主要原因是本年度严格落实“八项规定”，严格落实三单一票一涵制度，杜绝同城公务接待，压缩公务接待开支。</w:t>
      </w:r>
    </w:p>
    <w:p>
      <w:pPr>
        <w:numPr>
          <w:ilvl w:val="0"/>
          <w:numId w:val="7"/>
        </w:numPr>
        <w:kinsoku w:val="0"/>
        <w:overflowPunct w:val="0"/>
        <w:autoSpaceDE w:val="0"/>
        <w:autoSpaceDN w:val="0"/>
        <w:adjustRightInd w:val="0"/>
        <w:snapToGrid w:val="0"/>
        <w:spacing w:line="360" w:lineRule="auto"/>
        <w:ind w:firstLine="643" w:firstLineChars="200"/>
        <w:rPr>
          <w:rFonts w:ascii="楷体" w:hAnsi="楷体" w:eastAsia="楷体" w:cs="楷体"/>
          <w:b/>
          <w:bCs/>
          <w:sz w:val="32"/>
          <w:szCs w:val="32"/>
        </w:rPr>
      </w:pPr>
      <w:r>
        <w:rPr>
          <w:rFonts w:hint="eastAsia" w:ascii="楷体" w:hAnsi="楷体" w:eastAsia="楷体" w:cs="楷体"/>
          <w:b/>
          <w:bCs/>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2019</w:t>
      </w:r>
      <w:r>
        <w:rPr>
          <w:rFonts w:hint="eastAsia" w:ascii="仿宋_GB2312" w:hAnsi="宋体" w:eastAsia="仿宋_GB2312" w:cs="Courier New"/>
          <w:sz w:val="32"/>
          <w:szCs w:val="32"/>
        </w:rPr>
        <w:t>年度“三公”经费财政拨款支出决算中，因公出国（境）费支出决算</w:t>
      </w:r>
      <w:r>
        <w:rPr>
          <w:rFonts w:ascii="仿宋_GB2312" w:hAnsi="宋体" w:eastAsia="仿宋_GB2312" w:cs="Courier New"/>
          <w:sz w:val="32"/>
          <w:szCs w:val="32"/>
        </w:rPr>
        <w:t>0</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0</w:t>
      </w:r>
      <w:r>
        <w:rPr>
          <w:rFonts w:hint="eastAsia" w:ascii="仿宋_GB2312" w:hAnsi="宋体" w:eastAsia="仿宋_GB2312" w:cs="Courier New"/>
          <w:sz w:val="32"/>
          <w:szCs w:val="32"/>
        </w:rPr>
        <w:t>，占</w:t>
      </w:r>
      <w:r>
        <w:rPr>
          <w:rFonts w:ascii="仿宋_GB2312" w:hAnsi="宋体" w:eastAsia="仿宋_GB2312" w:cs="Courier New"/>
          <w:sz w:val="32"/>
          <w:szCs w:val="32"/>
        </w:rPr>
        <w:t>0</w:t>
      </w:r>
      <w:r>
        <w:rPr>
          <w:rFonts w:hint="eastAsia" w:ascii="仿宋_GB2312" w:hAnsi="宋体" w:eastAsia="仿宋_GB2312" w:cs="Courier New"/>
          <w:sz w:val="32"/>
          <w:szCs w:val="32"/>
        </w:rPr>
        <w:t>；公务用车购置及运行费支出决算</w:t>
      </w:r>
      <w:r>
        <w:rPr>
          <w:rFonts w:ascii="仿宋_GB2312" w:hAnsi="宋体" w:eastAsia="仿宋_GB2312" w:cs="Courier New"/>
          <w:sz w:val="32"/>
          <w:szCs w:val="32"/>
        </w:rPr>
        <w:t>0</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0</w:t>
      </w:r>
      <w:r>
        <w:rPr>
          <w:rFonts w:hint="eastAsia" w:ascii="仿宋_GB2312" w:hAnsi="宋体" w:eastAsia="仿宋_GB2312" w:cs="Courier New"/>
          <w:sz w:val="32"/>
          <w:szCs w:val="32"/>
        </w:rPr>
        <w:t>，占</w:t>
      </w:r>
      <w:r>
        <w:rPr>
          <w:rFonts w:ascii="仿宋_GB2312" w:hAnsi="宋体" w:eastAsia="仿宋_GB2312" w:cs="Courier New"/>
          <w:sz w:val="32"/>
          <w:szCs w:val="32"/>
        </w:rPr>
        <w:t>0</w:t>
      </w:r>
      <w:r>
        <w:rPr>
          <w:rFonts w:hint="eastAsia" w:ascii="仿宋_GB2312" w:hAnsi="宋体" w:eastAsia="仿宋_GB2312" w:cs="Courier New"/>
          <w:sz w:val="32"/>
          <w:szCs w:val="32"/>
        </w:rPr>
        <w:t>；公务接待费支出决算</w:t>
      </w:r>
      <w:r>
        <w:rPr>
          <w:rFonts w:ascii="仿宋_GB2312" w:hAnsi="宋体" w:eastAsia="仿宋_GB2312" w:cs="Courier New"/>
          <w:sz w:val="32"/>
          <w:szCs w:val="32"/>
        </w:rPr>
        <w:t>5</w:t>
      </w:r>
      <w:r>
        <w:rPr>
          <w:rFonts w:hint="eastAsia" w:ascii="仿宋_GB2312" w:hAnsi="宋体" w:eastAsia="仿宋_GB2312" w:cs="Courier New"/>
          <w:sz w:val="32"/>
          <w:szCs w:val="32"/>
        </w:rPr>
        <w:t>万元，完成预算数的</w:t>
      </w:r>
      <w:r>
        <w:rPr>
          <w:rFonts w:ascii="仿宋_GB2312" w:hAnsi="宋体" w:eastAsia="仿宋_GB2312" w:cs="Courier New"/>
          <w:sz w:val="32"/>
          <w:szCs w:val="32"/>
        </w:rPr>
        <w:t>83.33%</w:t>
      </w:r>
      <w:r>
        <w:rPr>
          <w:rFonts w:hint="eastAsia" w:ascii="仿宋_GB2312" w:hAnsi="宋体" w:eastAsia="仿宋_GB2312" w:cs="Courier New"/>
          <w:sz w:val="32"/>
          <w:szCs w:val="32"/>
        </w:rPr>
        <w:t>，占</w:t>
      </w:r>
      <w:r>
        <w:rPr>
          <w:rFonts w:ascii="仿宋_GB2312" w:hAnsi="宋体" w:eastAsia="仿宋_GB2312" w:cs="Courier New"/>
          <w:sz w:val="32"/>
          <w:szCs w:val="32"/>
        </w:rPr>
        <w:t>100%</w:t>
      </w:r>
      <w:r>
        <w:rPr>
          <w:rFonts w:hint="eastAsia" w:ascii="仿宋_GB2312" w:hAnsi="宋体" w:eastAsia="仿宋_GB2312" w:cs="Courier New"/>
          <w:sz w:val="32"/>
          <w:szCs w:val="32"/>
        </w:rPr>
        <w:t>。具体情况如下：</w:t>
      </w:r>
    </w:p>
    <w:p>
      <w:pPr>
        <w:kinsoku w:val="0"/>
        <w:overflowPunct w:val="0"/>
        <w:autoSpaceDE w:val="0"/>
        <w:autoSpaceDN w:val="0"/>
        <w:adjustRightInd w:val="0"/>
        <w:snapToGrid w:val="0"/>
        <w:spacing w:line="360" w:lineRule="auto"/>
        <w:ind w:firstLine="627" w:firstLineChars="196"/>
        <w:rPr>
          <w:rFonts w:ascii="仿宋_GB2312" w:hAnsi="宋体" w:eastAsia="仿宋_GB2312" w:cs="Courier New"/>
          <w:color w:val="000000"/>
          <w:sz w:val="32"/>
          <w:szCs w:val="32"/>
        </w:rPr>
      </w:pPr>
      <w:r>
        <w:rPr>
          <w:rFonts w:ascii="仿宋_GB2312" w:hAnsi="宋体" w:eastAsia="仿宋_GB2312"/>
          <w:bCs/>
          <w:color w:val="000000"/>
          <w:sz w:val="32"/>
          <w:szCs w:val="32"/>
        </w:rPr>
        <w:t>1.</w:t>
      </w:r>
      <w:r>
        <w:rPr>
          <w:rFonts w:hint="eastAsia" w:ascii="仿宋_GB2312" w:hAnsi="宋体" w:eastAsia="仿宋_GB2312"/>
          <w:b/>
          <w:bCs/>
          <w:color w:val="000000"/>
          <w:sz w:val="32"/>
          <w:szCs w:val="32"/>
        </w:rPr>
        <w:t>因公出国（境）费</w:t>
      </w:r>
      <w:r>
        <w:rPr>
          <w:rFonts w:hint="eastAsia" w:ascii="仿宋_GB2312" w:hAnsi="宋体" w:eastAsia="仿宋_GB2312" w:cs="Courier New"/>
          <w:color w:val="000000"/>
          <w:sz w:val="32"/>
          <w:szCs w:val="32"/>
        </w:rPr>
        <w:t>预算为</w:t>
      </w:r>
      <w:r>
        <w:rPr>
          <w:rFonts w:ascii="仿宋_GB2312" w:hAnsi="宋体" w:eastAsia="仿宋_GB2312" w:cs="Courier New"/>
          <w:color w:val="000000"/>
          <w:sz w:val="32"/>
          <w:szCs w:val="32"/>
        </w:rPr>
        <w:t>0</w:t>
      </w:r>
      <w:r>
        <w:rPr>
          <w:rFonts w:hint="eastAsia" w:ascii="仿宋_GB2312" w:hAnsi="宋体" w:eastAsia="仿宋_GB2312" w:cs="Courier New"/>
          <w:color w:val="000000"/>
          <w:sz w:val="32"/>
          <w:szCs w:val="32"/>
        </w:rPr>
        <w:t>万元，支出决算为</w:t>
      </w:r>
      <w:r>
        <w:rPr>
          <w:rFonts w:ascii="仿宋_GB2312" w:hAnsi="宋体" w:eastAsia="仿宋_GB2312" w:cs="Courier New"/>
          <w:color w:val="000000"/>
          <w:sz w:val="32"/>
          <w:szCs w:val="32"/>
        </w:rPr>
        <w:t>0</w:t>
      </w:r>
      <w:r>
        <w:rPr>
          <w:rFonts w:hint="eastAsia" w:ascii="仿宋_GB2312" w:hAnsi="宋体" w:eastAsia="仿宋_GB2312" w:cs="Courier New"/>
          <w:color w:val="000000"/>
          <w:sz w:val="32"/>
          <w:szCs w:val="32"/>
        </w:rPr>
        <w:t>万元。全年因公出国（境）团组0个，累计0人次。</w:t>
      </w:r>
    </w:p>
    <w:p>
      <w:pPr>
        <w:kinsoku w:val="0"/>
        <w:overflowPunct w:val="0"/>
        <w:autoSpaceDE w:val="0"/>
        <w:autoSpaceDN w:val="0"/>
        <w:adjustRightInd w:val="0"/>
        <w:snapToGrid w:val="0"/>
        <w:spacing w:line="360" w:lineRule="auto"/>
        <w:ind w:firstLine="627" w:firstLineChars="196"/>
        <w:rPr>
          <w:rFonts w:ascii="仿宋_GB2312" w:hAnsi="宋体" w:eastAsia="仿宋_GB2312" w:cs="Courier New"/>
          <w:color w:val="000000"/>
          <w:sz w:val="32"/>
          <w:szCs w:val="32"/>
        </w:rPr>
      </w:pPr>
      <w:r>
        <w:rPr>
          <w:rFonts w:ascii="仿宋_GB2312" w:hAnsi="宋体" w:eastAsia="仿宋_GB2312"/>
          <w:bCs/>
          <w:color w:val="000000"/>
          <w:sz w:val="32"/>
          <w:szCs w:val="32"/>
        </w:rPr>
        <w:t>2.</w:t>
      </w:r>
      <w:r>
        <w:rPr>
          <w:rFonts w:hint="eastAsia" w:ascii="仿宋_GB2312" w:hAnsi="宋体" w:eastAsia="仿宋_GB2312"/>
          <w:b/>
          <w:bCs/>
          <w:color w:val="000000"/>
          <w:sz w:val="32"/>
          <w:szCs w:val="32"/>
        </w:rPr>
        <w:t>公务用车购置及运行费</w:t>
      </w:r>
      <w:r>
        <w:rPr>
          <w:rFonts w:hint="eastAsia" w:ascii="仿宋_GB2312" w:hAnsi="宋体" w:eastAsia="仿宋_GB2312" w:cs="Courier New"/>
          <w:color w:val="000000"/>
          <w:sz w:val="32"/>
          <w:szCs w:val="32"/>
        </w:rPr>
        <w:t>预算为</w:t>
      </w:r>
      <w:r>
        <w:rPr>
          <w:rFonts w:ascii="仿宋_GB2312" w:hAnsi="宋体" w:eastAsia="仿宋_GB2312" w:cs="Courier New"/>
          <w:color w:val="000000"/>
          <w:sz w:val="32"/>
          <w:szCs w:val="32"/>
        </w:rPr>
        <w:t>0</w:t>
      </w:r>
      <w:r>
        <w:rPr>
          <w:rFonts w:hint="eastAsia" w:ascii="仿宋_GB2312" w:hAnsi="宋体" w:eastAsia="仿宋_GB2312" w:cs="Courier New"/>
          <w:color w:val="000000"/>
          <w:sz w:val="32"/>
          <w:szCs w:val="32"/>
        </w:rPr>
        <w:t>万元，支出决算为</w:t>
      </w:r>
      <w:r>
        <w:rPr>
          <w:rFonts w:ascii="仿宋_GB2312" w:hAnsi="宋体" w:eastAsia="仿宋_GB2312" w:cs="Courier New"/>
          <w:color w:val="000000"/>
          <w:sz w:val="32"/>
          <w:szCs w:val="32"/>
        </w:rPr>
        <w:t>0</w:t>
      </w:r>
      <w:r>
        <w:rPr>
          <w:rFonts w:hint="eastAsia" w:ascii="仿宋_GB2312" w:hAnsi="宋体" w:eastAsia="仿宋_GB2312" w:cs="Courier New"/>
          <w:color w:val="000000"/>
          <w:sz w:val="32"/>
          <w:szCs w:val="32"/>
        </w:rPr>
        <w:t>万元。</w:t>
      </w:r>
    </w:p>
    <w:p>
      <w:pPr>
        <w:pStyle w:val="6"/>
        <w:autoSpaceDE w:val="0"/>
        <w:spacing w:before="0" w:beforeAutospacing="0" w:line="590" w:lineRule="exact"/>
        <w:ind w:firstLine="643" w:firstLineChars="200"/>
        <w:rPr>
          <w:rFonts w:ascii="仿宋_GB2312" w:eastAsia="仿宋_GB2312"/>
          <w:kern w:val="2"/>
          <w:sz w:val="32"/>
          <w:szCs w:val="32"/>
        </w:rPr>
      </w:pPr>
      <w:r>
        <w:rPr>
          <w:rFonts w:hint="eastAsia" w:ascii="仿宋_GB2312" w:eastAsia="仿宋_GB2312"/>
          <w:b/>
          <w:bCs/>
          <w:color w:val="000000"/>
          <w:sz w:val="32"/>
          <w:szCs w:val="32"/>
        </w:rPr>
        <w:t>公务用车购置支出</w:t>
      </w:r>
      <w:r>
        <w:rPr>
          <w:rFonts w:hint="eastAsia" w:ascii="仿宋_GB2312" w:eastAsia="仿宋_GB2312" w:cs="Courier New"/>
          <w:color w:val="000000"/>
          <w:kern w:val="2"/>
          <w:sz w:val="32"/>
          <w:szCs w:val="32"/>
        </w:rPr>
        <w:t>为</w:t>
      </w:r>
      <w:r>
        <w:rPr>
          <w:rFonts w:ascii="仿宋_GB2312" w:eastAsia="仿宋_GB2312" w:cs="Courier New"/>
          <w:color w:val="000000"/>
          <w:kern w:val="2"/>
          <w:sz w:val="32"/>
          <w:szCs w:val="32"/>
        </w:rPr>
        <w:t>0</w:t>
      </w:r>
      <w:r>
        <w:rPr>
          <w:rFonts w:hint="eastAsia" w:ascii="仿宋_GB2312" w:eastAsia="仿宋_GB2312" w:cs="Courier New"/>
          <w:color w:val="000000"/>
          <w:kern w:val="2"/>
          <w:sz w:val="32"/>
          <w:szCs w:val="32"/>
        </w:rPr>
        <w:t>万元，</w:t>
      </w:r>
      <w:r>
        <w:rPr>
          <w:rFonts w:hint="eastAsia" w:ascii="仿宋_GB2312" w:eastAsia="仿宋_GB2312"/>
          <w:kern w:val="2"/>
          <w:sz w:val="32"/>
          <w:szCs w:val="32"/>
        </w:rPr>
        <w:t>购置车辆</w:t>
      </w:r>
      <w:r>
        <w:rPr>
          <w:rFonts w:ascii="仿宋_GB2312" w:eastAsia="仿宋_GB2312"/>
          <w:kern w:val="2"/>
          <w:sz w:val="32"/>
          <w:szCs w:val="32"/>
        </w:rPr>
        <w:t>0</w:t>
      </w:r>
      <w:r>
        <w:rPr>
          <w:rFonts w:hint="eastAsia" w:ascii="仿宋_GB2312" w:eastAsia="仿宋_GB2312"/>
          <w:kern w:val="2"/>
          <w:sz w:val="32"/>
          <w:szCs w:val="32"/>
        </w:rPr>
        <w:t>辆。</w:t>
      </w:r>
    </w:p>
    <w:p>
      <w:pPr>
        <w:pStyle w:val="6"/>
        <w:autoSpaceDE w:val="0"/>
        <w:spacing w:before="0" w:beforeAutospacing="0" w:line="590" w:lineRule="exact"/>
        <w:ind w:firstLine="643" w:firstLineChars="200"/>
      </w:pPr>
      <w:r>
        <w:rPr>
          <w:rFonts w:hint="eastAsia" w:ascii="仿宋_GB2312" w:eastAsia="仿宋_GB2312"/>
          <w:b/>
          <w:bCs/>
          <w:color w:val="000000"/>
          <w:sz w:val="32"/>
          <w:szCs w:val="32"/>
        </w:rPr>
        <w:t>公务用车运行支出</w:t>
      </w:r>
      <w:r>
        <w:rPr>
          <w:rFonts w:ascii="仿宋_GB2312" w:eastAsia="仿宋_GB2312" w:cs="Courier New"/>
          <w:color w:val="000000"/>
          <w:kern w:val="2"/>
          <w:sz w:val="32"/>
          <w:szCs w:val="32"/>
        </w:rPr>
        <w:t>0</w:t>
      </w:r>
      <w:r>
        <w:rPr>
          <w:rFonts w:hint="eastAsia" w:ascii="仿宋_GB2312" w:eastAsia="仿宋_GB2312" w:cs="Courier New"/>
          <w:color w:val="000000"/>
          <w:kern w:val="2"/>
          <w:sz w:val="32"/>
          <w:szCs w:val="32"/>
        </w:rPr>
        <w:t>万元。</w:t>
      </w:r>
      <w:r>
        <w:rPr>
          <w:rFonts w:ascii="仿宋_GB2312" w:eastAsia="仿宋_GB2312"/>
          <w:kern w:val="2"/>
          <w:sz w:val="32"/>
          <w:szCs w:val="32"/>
        </w:rPr>
        <w:t>2019</w:t>
      </w:r>
      <w:r>
        <w:rPr>
          <w:rFonts w:hint="eastAsia" w:ascii="仿宋_GB2312" w:eastAsia="仿宋_GB2312"/>
          <w:kern w:val="2"/>
          <w:sz w:val="32"/>
          <w:szCs w:val="32"/>
        </w:rPr>
        <w:t>年期末，部门开支财政拨款的公务用车保有量为</w:t>
      </w:r>
      <w:r>
        <w:rPr>
          <w:rFonts w:ascii="仿宋_GB2312" w:eastAsia="仿宋_GB2312"/>
          <w:kern w:val="2"/>
          <w:sz w:val="32"/>
          <w:szCs w:val="32"/>
        </w:rPr>
        <w:t>0</w:t>
      </w:r>
      <w:r>
        <w:rPr>
          <w:rFonts w:hint="eastAsia" w:ascii="仿宋_GB2312" w:eastAsia="仿宋_GB2312"/>
          <w:kern w:val="2"/>
          <w:sz w:val="32"/>
          <w:szCs w:val="32"/>
        </w:rPr>
        <w:t>辆。</w:t>
      </w:r>
    </w:p>
    <w:p>
      <w:pPr>
        <w:kinsoku w:val="0"/>
        <w:overflowPunct w:val="0"/>
        <w:autoSpaceDE w:val="0"/>
        <w:autoSpaceDN w:val="0"/>
        <w:adjustRightInd w:val="0"/>
        <w:snapToGrid w:val="0"/>
        <w:spacing w:line="360" w:lineRule="auto"/>
        <w:ind w:firstLine="627" w:firstLineChars="196"/>
        <w:rPr>
          <w:rFonts w:ascii="仿宋_GB2312" w:hAnsi="仿宋_GB2312" w:eastAsia="仿宋_GB2312" w:cs="仿宋_GB2312"/>
          <w:sz w:val="32"/>
          <w:szCs w:val="32"/>
        </w:rPr>
      </w:pPr>
      <w:r>
        <w:rPr>
          <w:rFonts w:ascii="仿宋_GB2312" w:hAnsi="宋体" w:eastAsia="仿宋_GB2312" w:cs="Courier New"/>
          <w:color w:val="000000"/>
          <w:sz w:val="32"/>
          <w:szCs w:val="32"/>
        </w:rPr>
        <w:t>3.</w:t>
      </w:r>
      <w:r>
        <w:rPr>
          <w:rFonts w:hint="eastAsia" w:ascii="仿宋_GB2312" w:hAnsi="宋体" w:eastAsia="仿宋_GB2312" w:cs="Courier New"/>
          <w:b/>
          <w:bCs/>
          <w:color w:val="000000"/>
          <w:sz w:val="32"/>
          <w:szCs w:val="32"/>
        </w:rPr>
        <w:t>公务接待费</w:t>
      </w:r>
      <w:r>
        <w:rPr>
          <w:rFonts w:hint="eastAsia" w:ascii="仿宋_GB2312" w:hAnsi="宋体" w:eastAsia="仿宋_GB2312" w:cs="Courier New"/>
          <w:color w:val="000000"/>
          <w:sz w:val="32"/>
          <w:szCs w:val="32"/>
        </w:rPr>
        <w:t>预算为</w:t>
      </w:r>
      <w:r>
        <w:rPr>
          <w:rFonts w:ascii="仿宋_GB2312" w:hAnsi="宋体" w:eastAsia="仿宋_GB2312" w:cs="Courier New"/>
          <w:color w:val="000000"/>
          <w:sz w:val="32"/>
          <w:szCs w:val="32"/>
        </w:rPr>
        <w:t>6</w:t>
      </w:r>
      <w:r>
        <w:rPr>
          <w:rFonts w:hint="eastAsia" w:ascii="仿宋_GB2312" w:hAnsi="宋体" w:eastAsia="仿宋_GB2312" w:cs="Courier New"/>
          <w:color w:val="000000"/>
          <w:sz w:val="32"/>
          <w:szCs w:val="32"/>
        </w:rPr>
        <w:t>万元，支出决算为</w:t>
      </w:r>
      <w:r>
        <w:rPr>
          <w:rFonts w:ascii="仿宋_GB2312" w:hAnsi="宋体" w:eastAsia="仿宋_GB2312" w:cs="Courier New"/>
          <w:color w:val="000000"/>
          <w:sz w:val="32"/>
          <w:szCs w:val="32"/>
        </w:rPr>
        <w:t>5</w:t>
      </w:r>
      <w:r>
        <w:rPr>
          <w:rFonts w:hint="eastAsia" w:ascii="仿宋_GB2312" w:hAnsi="宋体" w:eastAsia="仿宋_GB2312" w:cs="Courier New"/>
          <w:color w:val="000000"/>
          <w:sz w:val="32"/>
          <w:szCs w:val="32"/>
        </w:rPr>
        <w:t>万元，完成年初预算数的</w:t>
      </w:r>
      <w:r>
        <w:rPr>
          <w:rFonts w:ascii="仿宋_GB2312" w:hAnsi="宋体" w:eastAsia="仿宋_GB2312" w:cs="Courier New"/>
          <w:color w:val="000000"/>
          <w:sz w:val="32"/>
          <w:szCs w:val="32"/>
        </w:rPr>
        <w:t>83.33%</w:t>
      </w:r>
      <w:r>
        <w:rPr>
          <w:rFonts w:hint="eastAsia" w:ascii="仿宋_GB2312" w:hAnsi="宋体" w:eastAsia="仿宋_GB2312" w:cs="Courier New"/>
          <w:color w:val="000000"/>
          <w:sz w:val="32"/>
          <w:szCs w:val="32"/>
        </w:rPr>
        <w:t>。</w:t>
      </w:r>
      <w:r>
        <w:rPr>
          <w:rFonts w:hint="eastAsia" w:ascii="仿宋_GB2312" w:hAnsi="仿宋_GB2312" w:eastAsia="仿宋_GB2312" w:cs="仿宋_GB2312"/>
          <w:color w:val="000000"/>
          <w:sz w:val="32"/>
          <w:szCs w:val="32"/>
        </w:rPr>
        <w:t>决算数与预算数存在差异的</w:t>
      </w:r>
      <w:r>
        <w:rPr>
          <w:rFonts w:hint="eastAsia" w:ascii="仿宋_GB2312" w:hAnsi="仿宋_GB2312" w:eastAsia="仿宋_GB2312" w:cs="仿宋_GB2312"/>
          <w:sz w:val="32"/>
          <w:szCs w:val="32"/>
        </w:rPr>
        <w:t>主要原因是本年度严格落实“八项规定”，严格落实三单一票一涵制度，杜绝同城公务接待，压缩公务接待开支。其中：</w:t>
      </w:r>
    </w:p>
    <w:p>
      <w:pPr>
        <w:pStyle w:val="6"/>
        <w:autoSpaceDE w:val="0"/>
        <w:spacing w:before="0" w:beforeAutospacing="0" w:line="590" w:lineRule="exact"/>
        <w:ind w:firstLine="643" w:firstLineChars="200"/>
        <w:rPr>
          <w:rFonts w:ascii="仿宋_GB2312" w:eastAsia="仿宋_GB2312"/>
          <w:kern w:val="2"/>
          <w:sz w:val="32"/>
          <w:szCs w:val="32"/>
        </w:rPr>
      </w:pPr>
      <w:r>
        <w:rPr>
          <w:rFonts w:hint="eastAsia" w:ascii="仿宋_GB2312" w:eastAsia="仿宋_GB2312" w:cs="Courier New"/>
          <w:b/>
          <w:bCs/>
          <w:color w:val="000000"/>
          <w:sz w:val="32"/>
          <w:szCs w:val="32"/>
        </w:rPr>
        <w:t>外宾接待支出</w:t>
      </w:r>
      <w:r>
        <w:rPr>
          <w:rFonts w:ascii="仿宋_GB2312" w:eastAsia="仿宋_GB2312" w:cs="Courier New"/>
          <w:b/>
          <w:bCs/>
          <w:color w:val="000000"/>
          <w:sz w:val="32"/>
          <w:szCs w:val="32"/>
        </w:rPr>
        <w:t>0</w:t>
      </w:r>
      <w:r>
        <w:rPr>
          <w:rFonts w:hint="eastAsia" w:ascii="仿宋_GB2312" w:eastAsia="仿宋_GB2312" w:cs="Courier New"/>
          <w:b/>
          <w:bCs/>
          <w:color w:val="000000"/>
          <w:sz w:val="32"/>
          <w:szCs w:val="32"/>
        </w:rPr>
        <w:t>万元</w:t>
      </w:r>
      <w:r>
        <w:rPr>
          <w:rFonts w:hint="eastAsia" w:ascii="仿宋_GB2312" w:eastAsia="仿宋_GB2312" w:cs="Courier New"/>
          <w:color w:val="000000"/>
          <w:sz w:val="32"/>
          <w:szCs w:val="32"/>
        </w:rPr>
        <w:t>。</w:t>
      </w:r>
      <w:r>
        <w:rPr>
          <w:rFonts w:ascii="仿宋_GB2312" w:eastAsia="仿宋_GB2312"/>
          <w:kern w:val="2"/>
          <w:sz w:val="32"/>
          <w:szCs w:val="32"/>
        </w:rPr>
        <w:t>2019</w:t>
      </w:r>
      <w:r>
        <w:rPr>
          <w:rFonts w:hint="eastAsia" w:ascii="仿宋_GB2312" w:eastAsia="仿宋_GB2312"/>
          <w:kern w:val="2"/>
          <w:sz w:val="32"/>
          <w:szCs w:val="32"/>
        </w:rPr>
        <w:t>年共接待国（境）外来访团组</w:t>
      </w:r>
      <w:r>
        <w:rPr>
          <w:rFonts w:ascii="仿宋_GB2312" w:eastAsia="仿宋_GB2312"/>
          <w:kern w:val="2"/>
          <w:sz w:val="32"/>
          <w:szCs w:val="32"/>
        </w:rPr>
        <w:t>0</w:t>
      </w:r>
      <w:r>
        <w:rPr>
          <w:rFonts w:hint="eastAsia" w:ascii="仿宋_GB2312" w:eastAsia="仿宋_GB2312"/>
          <w:kern w:val="2"/>
          <w:sz w:val="32"/>
          <w:szCs w:val="32"/>
        </w:rPr>
        <w:t>个、来访外宾</w:t>
      </w:r>
      <w:r>
        <w:rPr>
          <w:rFonts w:ascii="仿宋_GB2312" w:eastAsia="仿宋_GB2312"/>
          <w:kern w:val="2"/>
          <w:sz w:val="32"/>
          <w:szCs w:val="32"/>
        </w:rPr>
        <w:t>0</w:t>
      </w:r>
      <w:r>
        <w:rPr>
          <w:rFonts w:hint="eastAsia" w:ascii="仿宋_GB2312" w:eastAsia="仿宋_GB2312"/>
          <w:kern w:val="2"/>
          <w:sz w:val="32"/>
          <w:szCs w:val="32"/>
        </w:rPr>
        <w:t>人次（不包括陪同人员）。</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color w:val="000000"/>
          <w:sz w:val="32"/>
          <w:szCs w:val="32"/>
        </w:rPr>
      </w:pPr>
      <w:r>
        <w:rPr>
          <w:rFonts w:hint="eastAsia" w:ascii="仿宋_GB2312" w:hAnsi="宋体" w:eastAsia="仿宋_GB2312" w:cs="Courier New"/>
          <w:b/>
          <w:bCs/>
          <w:color w:val="000000"/>
          <w:sz w:val="32"/>
          <w:szCs w:val="32"/>
        </w:rPr>
        <w:t>其他国内公务接待支出</w:t>
      </w:r>
      <w:r>
        <w:rPr>
          <w:rFonts w:ascii="仿宋_GB2312" w:hAnsi="宋体" w:eastAsia="仿宋_GB2312" w:cs="Courier New"/>
          <w:color w:val="000000"/>
          <w:sz w:val="32"/>
          <w:szCs w:val="32"/>
        </w:rPr>
        <w:t>5</w:t>
      </w:r>
      <w:r>
        <w:rPr>
          <w:rFonts w:hint="eastAsia" w:ascii="仿宋_GB2312" w:hAnsi="宋体" w:eastAsia="仿宋_GB2312" w:cs="Courier New"/>
          <w:color w:val="000000"/>
          <w:sz w:val="32"/>
          <w:szCs w:val="32"/>
        </w:rPr>
        <w:t>万元。主要用于接待省厅督查检查工作和兄弟市县业务交流学习。</w:t>
      </w:r>
      <w:r>
        <w:rPr>
          <w:rFonts w:ascii="仿宋_GB2312" w:hAnsi="宋体" w:eastAsia="仿宋_GB2312" w:cs="Courier New"/>
          <w:color w:val="000000"/>
          <w:sz w:val="32"/>
          <w:szCs w:val="32"/>
        </w:rPr>
        <w:t>2019</w:t>
      </w:r>
      <w:r>
        <w:rPr>
          <w:rFonts w:hint="eastAsia" w:ascii="仿宋_GB2312" w:hAnsi="宋体" w:eastAsia="仿宋_GB2312" w:cs="Courier New"/>
          <w:color w:val="000000"/>
          <w:sz w:val="32"/>
          <w:szCs w:val="32"/>
        </w:rPr>
        <w:t>年度共接待国内来访团组</w:t>
      </w:r>
      <w:r>
        <w:rPr>
          <w:rFonts w:ascii="仿宋_GB2312" w:hAnsi="宋体" w:eastAsia="仿宋_GB2312" w:cs="Courier New"/>
          <w:color w:val="000000"/>
          <w:sz w:val="32"/>
          <w:szCs w:val="32"/>
        </w:rPr>
        <w:t>29</w:t>
      </w:r>
      <w:r>
        <w:rPr>
          <w:rFonts w:hint="eastAsia" w:ascii="仿宋_GB2312" w:hAnsi="宋体" w:eastAsia="仿宋_GB2312" w:cs="Courier New"/>
          <w:color w:val="000000"/>
          <w:sz w:val="32"/>
          <w:szCs w:val="32"/>
        </w:rPr>
        <w:t>个、接待来访</w:t>
      </w:r>
      <w:r>
        <w:rPr>
          <w:rFonts w:ascii="仿宋_GB2312" w:hAnsi="宋体" w:eastAsia="仿宋_GB2312" w:cs="Courier New"/>
          <w:color w:val="000000"/>
          <w:sz w:val="32"/>
          <w:szCs w:val="32"/>
        </w:rPr>
        <w:t>735</w:t>
      </w:r>
      <w:r>
        <w:rPr>
          <w:rFonts w:hint="eastAsia" w:ascii="仿宋_GB2312" w:hAnsi="宋体" w:eastAsia="仿宋_GB2312" w:cs="Courier New"/>
          <w:color w:val="000000"/>
          <w:sz w:val="32"/>
          <w:szCs w:val="32"/>
        </w:rPr>
        <w:t>人次（不包括陪同人员）。</w:t>
      </w:r>
    </w:p>
    <w:p>
      <w:pPr>
        <w:numPr>
          <w:ilvl w:val="0"/>
          <w:numId w:val="5"/>
        </w:numPr>
        <w:adjustRightInd w:val="0"/>
        <w:snapToGrid w:val="0"/>
        <w:spacing w:line="360" w:lineRule="auto"/>
        <w:ind w:firstLine="640" w:firstLineChars="200"/>
        <w:outlineLvl w:val="1"/>
        <w:rPr>
          <w:rFonts w:ascii="黑体" w:hAnsi="黑体" w:eastAsia="黑体"/>
          <w:color w:val="000000"/>
          <w:sz w:val="32"/>
          <w:szCs w:val="32"/>
        </w:rPr>
      </w:pPr>
      <w:r>
        <w:rPr>
          <w:rFonts w:hint="eastAsia" w:ascii="黑体" w:hAnsi="黑体" w:eastAsia="黑体"/>
          <w:color w:val="000000"/>
          <w:sz w:val="32"/>
          <w:szCs w:val="32"/>
        </w:rPr>
        <w:t>关于预算绩效情况说明</w:t>
      </w:r>
    </w:p>
    <w:p>
      <w:pPr>
        <w:numPr>
          <w:ilvl w:val="0"/>
          <w:numId w:val="8"/>
        </w:numPr>
        <w:kinsoku w:val="0"/>
        <w:overflowPunct w:val="0"/>
        <w:autoSpaceDE w:val="0"/>
        <w:autoSpaceDN w:val="0"/>
        <w:adjustRightInd w:val="0"/>
        <w:snapToGrid w:val="0"/>
        <w:spacing w:line="360" w:lineRule="auto"/>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000000"/>
          <w:sz w:val="32"/>
          <w:szCs w:val="32"/>
        </w:rPr>
      </w:pPr>
      <w:r>
        <w:rPr>
          <w:rFonts w:hint="eastAsia" w:ascii="仿宋_GB2312" w:hAnsi="宋体" w:eastAsia="仿宋_GB2312" w:cs="Courier New"/>
          <w:color w:val="000000"/>
          <w:sz w:val="32"/>
          <w:szCs w:val="32"/>
        </w:rPr>
        <w:t>根据财政预算管理要求，浉河区民政局对</w:t>
      </w:r>
      <w:r>
        <w:rPr>
          <w:rFonts w:ascii="仿宋_GB2312" w:hAnsi="宋体" w:eastAsia="仿宋_GB2312" w:cs="Courier New"/>
          <w:color w:val="000000"/>
          <w:sz w:val="32"/>
          <w:szCs w:val="32"/>
        </w:rPr>
        <w:t>2019</w:t>
      </w:r>
      <w:r>
        <w:rPr>
          <w:rFonts w:hint="eastAsia" w:ascii="仿宋_GB2312" w:hAnsi="宋体" w:eastAsia="仿宋_GB2312" w:cs="Courier New"/>
          <w:color w:val="000000"/>
          <w:sz w:val="32"/>
          <w:szCs w:val="32"/>
        </w:rPr>
        <w:t>年度一般公共预算项目支出全面开展绩效自评。其中，共涉及上级项目指标</w:t>
      </w:r>
      <w:r>
        <w:rPr>
          <w:rFonts w:ascii="仿宋_GB2312" w:hAnsi="宋体" w:eastAsia="仿宋_GB2312" w:cs="Courier New"/>
          <w:color w:val="000000"/>
          <w:sz w:val="32"/>
          <w:szCs w:val="32"/>
        </w:rPr>
        <w:t>17</w:t>
      </w:r>
      <w:r>
        <w:rPr>
          <w:rFonts w:hint="eastAsia" w:ascii="仿宋_GB2312" w:hAnsi="宋体" w:eastAsia="仿宋_GB2312" w:cs="Courier New"/>
          <w:color w:val="000000"/>
          <w:sz w:val="32"/>
          <w:szCs w:val="32"/>
        </w:rPr>
        <w:t>个，本级指标</w:t>
      </w:r>
      <w:r>
        <w:rPr>
          <w:rFonts w:ascii="仿宋_GB2312" w:hAnsi="宋体" w:eastAsia="仿宋_GB2312" w:cs="Courier New"/>
          <w:color w:val="000000"/>
          <w:sz w:val="32"/>
          <w:szCs w:val="32"/>
        </w:rPr>
        <w:t>2</w:t>
      </w:r>
      <w:r>
        <w:rPr>
          <w:rFonts w:hint="eastAsia" w:ascii="仿宋_GB2312" w:hAnsi="宋体" w:eastAsia="仿宋_GB2312" w:cs="Courier New"/>
          <w:color w:val="000000"/>
          <w:sz w:val="32"/>
          <w:szCs w:val="32"/>
        </w:rPr>
        <w:t>个，共涉及指标资金</w:t>
      </w:r>
      <w:r>
        <w:rPr>
          <w:rFonts w:ascii="仿宋_GB2312" w:hAnsi="宋体" w:eastAsia="仿宋_GB2312" w:cs="Courier New"/>
          <w:color w:val="000000"/>
          <w:sz w:val="32"/>
          <w:szCs w:val="32"/>
        </w:rPr>
        <w:t>11316.43</w:t>
      </w:r>
      <w:r>
        <w:rPr>
          <w:rFonts w:hint="eastAsia" w:ascii="仿宋_GB2312" w:hAnsi="宋体" w:eastAsia="仿宋_GB2312" w:cs="Courier New"/>
          <w:color w:val="000000"/>
          <w:sz w:val="32"/>
          <w:szCs w:val="32"/>
        </w:rPr>
        <w:t>万元，自评覆盖率达到</w:t>
      </w:r>
      <w:r>
        <w:rPr>
          <w:rFonts w:ascii="仿宋_GB2312" w:hAnsi="宋体" w:eastAsia="仿宋_GB2312" w:cs="Courier New"/>
          <w:color w:val="000000"/>
          <w:sz w:val="32"/>
          <w:szCs w:val="32"/>
        </w:rPr>
        <w:t>86.2%</w:t>
      </w:r>
      <w:r>
        <w:rPr>
          <w:rFonts w:hint="eastAsia" w:ascii="仿宋_GB2312" w:hAnsi="宋体" w:eastAsia="仿宋_GB2312" w:cs="Courier New"/>
          <w:color w:val="000000"/>
          <w:sz w:val="32"/>
          <w:szCs w:val="32"/>
        </w:rPr>
        <w:t>。</w:t>
      </w:r>
    </w:p>
    <w:p>
      <w:pPr>
        <w:numPr>
          <w:ilvl w:val="0"/>
          <w:numId w:val="8"/>
        </w:numPr>
        <w:kinsoku w:val="0"/>
        <w:overflowPunct w:val="0"/>
        <w:autoSpaceDE w:val="0"/>
        <w:autoSpaceDN w:val="0"/>
        <w:adjustRightInd w:val="0"/>
        <w:snapToGrid w:val="0"/>
        <w:spacing w:line="360" w:lineRule="auto"/>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000000"/>
          <w:sz w:val="32"/>
          <w:szCs w:val="32"/>
        </w:rPr>
      </w:pPr>
      <w:r>
        <w:rPr>
          <w:rFonts w:hint="eastAsia" w:ascii="仿宋_GB2312" w:hAnsi="宋体" w:eastAsia="仿宋_GB2312" w:cs="Courier New"/>
          <w:color w:val="000000"/>
          <w:sz w:val="32"/>
          <w:szCs w:val="32"/>
        </w:rPr>
        <w:t>根据</w:t>
      </w:r>
      <w:r>
        <w:rPr>
          <w:rFonts w:ascii="仿宋_GB2312" w:hAnsi="宋体" w:eastAsia="仿宋_GB2312" w:cs="Courier New"/>
          <w:color w:val="000000"/>
          <w:sz w:val="32"/>
          <w:szCs w:val="32"/>
        </w:rPr>
        <w:t>2019</w:t>
      </w:r>
      <w:r>
        <w:rPr>
          <w:rFonts w:hint="eastAsia" w:ascii="仿宋_GB2312" w:hAnsi="宋体" w:eastAsia="仿宋_GB2312" w:cs="Courier New"/>
          <w:color w:val="000000"/>
          <w:sz w:val="32"/>
          <w:szCs w:val="32"/>
        </w:rPr>
        <w:t>年年初设定的绩效目标，我局绩效自评为较好。发现的主要问题：资金拨付时效性和资金使用效率需要提高。</w:t>
      </w:r>
    </w:p>
    <w:p>
      <w:pPr>
        <w:numPr>
          <w:ilvl w:val="0"/>
          <w:numId w:val="8"/>
        </w:numPr>
        <w:kinsoku w:val="0"/>
        <w:overflowPunct w:val="0"/>
        <w:autoSpaceDE w:val="0"/>
        <w:autoSpaceDN w:val="0"/>
        <w:adjustRightInd w:val="0"/>
        <w:snapToGrid w:val="0"/>
        <w:spacing w:line="360" w:lineRule="auto"/>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重点绩效评价结果。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000000"/>
          <w:sz w:val="32"/>
          <w:szCs w:val="32"/>
        </w:rPr>
      </w:pPr>
      <w:r>
        <w:rPr>
          <w:rFonts w:hint="eastAsia" w:ascii="仿宋_GB2312" w:hAnsi="宋体" w:eastAsia="仿宋_GB2312" w:cs="Courier New"/>
          <w:color w:val="000000"/>
          <w:sz w:val="32"/>
          <w:szCs w:val="32"/>
        </w:rPr>
        <w:t>按照财政部门要求，</w:t>
      </w:r>
      <w:r>
        <w:rPr>
          <w:rFonts w:ascii="仿宋_GB2312" w:hAnsi="宋体" w:eastAsia="仿宋_GB2312" w:cs="Courier New"/>
          <w:color w:val="000000"/>
          <w:sz w:val="32"/>
          <w:szCs w:val="32"/>
        </w:rPr>
        <w:t>2019</w:t>
      </w:r>
      <w:r>
        <w:rPr>
          <w:rFonts w:hint="eastAsia" w:ascii="仿宋_GB2312" w:hAnsi="宋体" w:eastAsia="仿宋_GB2312" w:cs="Courier New"/>
          <w:color w:val="000000"/>
          <w:sz w:val="32"/>
          <w:szCs w:val="32"/>
        </w:rPr>
        <w:t>年度我局重点对困难群众基本生活救助补助资金指标</w:t>
      </w:r>
      <w:r>
        <w:rPr>
          <w:rFonts w:ascii="仿宋_GB2312" w:hAnsi="宋体" w:eastAsia="仿宋_GB2312" w:cs="Courier New"/>
          <w:color w:val="000000"/>
          <w:sz w:val="32"/>
          <w:szCs w:val="32"/>
        </w:rPr>
        <w:t>6974.75</w:t>
      </w:r>
      <w:r>
        <w:rPr>
          <w:rFonts w:hint="eastAsia" w:ascii="仿宋_GB2312" w:hAnsi="宋体" w:eastAsia="仿宋_GB2312" w:cs="Courier New"/>
          <w:color w:val="000000"/>
          <w:sz w:val="32"/>
          <w:szCs w:val="32"/>
        </w:rPr>
        <w:t>万元、残疾人两补资金指标</w:t>
      </w:r>
      <w:r>
        <w:rPr>
          <w:rFonts w:ascii="仿宋_GB2312" w:hAnsi="宋体" w:eastAsia="仿宋_GB2312" w:cs="Courier New"/>
          <w:color w:val="000000"/>
          <w:sz w:val="32"/>
          <w:szCs w:val="32"/>
        </w:rPr>
        <w:t>835.78</w:t>
      </w:r>
      <w:r>
        <w:rPr>
          <w:rFonts w:hint="eastAsia" w:ascii="仿宋_GB2312" w:hAnsi="宋体" w:eastAsia="仿宋_GB2312" w:cs="Courier New"/>
          <w:color w:val="000000"/>
          <w:sz w:val="32"/>
          <w:szCs w:val="32"/>
        </w:rPr>
        <w:t>万元进行绩效评价。发现的主要问题：群众对政策的知晓率和工作满意度需要提高，资金拨付时效性和资金使用效率需要提高。</w:t>
      </w:r>
    </w:p>
    <w:p>
      <w:pPr>
        <w:numPr>
          <w:ilvl w:val="0"/>
          <w:numId w:val="5"/>
        </w:numPr>
        <w:adjustRightInd w:val="0"/>
        <w:snapToGrid w:val="0"/>
        <w:spacing w:line="360" w:lineRule="auto"/>
        <w:ind w:firstLine="640" w:firstLineChars="200"/>
        <w:outlineLvl w:val="1"/>
        <w:rPr>
          <w:rFonts w:ascii="黑体" w:hAnsi="黑体" w:eastAsia="黑体"/>
          <w:color w:val="000000"/>
          <w:sz w:val="32"/>
          <w:szCs w:val="32"/>
        </w:rPr>
      </w:pPr>
      <w:r>
        <w:rPr>
          <w:rFonts w:hint="eastAsia" w:ascii="黑体" w:hAnsi="黑体" w:eastAsia="黑体"/>
          <w:color w:val="000000"/>
          <w:sz w:val="32"/>
          <w:szCs w:val="32"/>
        </w:rPr>
        <w:t>政府性基金预算财政拨款支出决算情况说明</w:t>
      </w:r>
    </w:p>
    <w:p>
      <w:pPr>
        <w:widowControl/>
        <w:spacing w:line="59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我部门</w:t>
      </w:r>
      <w:r>
        <w:rPr>
          <w:rFonts w:ascii="仿宋" w:hAnsi="仿宋" w:eastAsia="仿宋" w:cs="仿宋"/>
          <w:sz w:val="32"/>
          <w:szCs w:val="32"/>
        </w:rPr>
        <w:t>2019</w:t>
      </w:r>
      <w:r>
        <w:rPr>
          <w:rFonts w:hint="eastAsia" w:ascii="仿宋" w:hAnsi="仿宋" w:eastAsia="仿宋" w:cs="仿宋"/>
          <w:sz w:val="32"/>
          <w:szCs w:val="32"/>
        </w:rPr>
        <w:t>年度没有政府性基金收入，也没有使用政府性基金安排的支出。</w:t>
      </w:r>
    </w:p>
    <w:p>
      <w:pPr>
        <w:kinsoku w:val="0"/>
        <w:overflowPunct w:val="0"/>
        <w:autoSpaceDE w:val="0"/>
        <w:autoSpaceDN w:val="0"/>
        <w:adjustRightInd w:val="0"/>
        <w:snapToGrid w:val="0"/>
        <w:spacing w:line="360" w:lineRule="auto"/>
        <w:ind w:left="420" w:leftChars="200" w:firstLine="320" w:firstLineChars="100"/>
        <w:rPr>
          <w:rFonts w:ascii="黑体" w:hAnsi="黑体" w:eastAsia="黑体" w:cs="黑体"/>
          <w:bCs/>
          <w:color w:val="ED7D31"/>
          <w:kern w:val="0"/>
          <w:sz w:val="32"/>
          <w:szCs w:val="32"/>
        </w:rPr>
      </w:pPr>
      <w:r>
        <w:rPr>
          <w:rFonts w:hint="eastAsia" w:ascii="黑体" w:hAnsi="黑体" w:eastAsia="黑体" w:cs="黑体"/>
          <w:bCs/>
          <w:color w:val="000000"/>
          <w:kern w:val="0"/>
          <w:sz w:val="32"/>
          <w:szCs w:val="32"/>
        </w:rPr>
        <w:t>十、机关运行经费支出情况说明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ED7D31"/>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年度机关运行经费年初预算为</w:t>
      </w:r>
      <w:r>
        <w:rPr>
          <w:rFonts w:ascii="仿宋_GB2312" w:hAnsi="仿宋_GB2312" w:eastAsia="仿宋_GB2312" w:cs="仿宋_GB2312"/>
          <w:sz w:val="32"/>
          <w:szCs w:val="32"/>
        </w:rPr>
        <w:t>99</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109.61</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110.72%</w:t>
      </w:r>
      <w:r>
        <w:rPr>
          <w:rFonts w:hint="eastAsia" w:ascii="仿宋_GB2312" w:hAnsi="仿宋_GB2312" w:eastAsia="仿宋_GB2312" w:cs="仿宋_GB2312"/>
          <w:sz w:val="32"/>
          <w:szCs w:val="32"/>
        </w:rPr>
        <w:t>。决算数与年初预算数存在差异的主要原因是年初预算人员公用经费测算基数低，文明城市、卫生城市创建宣传活动开支年初未纳入预算计划</w:t>
      </w:r>
      <w:r>
        <w:rPr>
          <w:rFonts w:hint="eastAsia" w:ascii="仿宋_GB2312" w:hAnsi="宋体" w:eastAsia="仿宋_GB2312" w:cs="Courier New"/>
          <w:color w:val="ED7D31"/>
          <w:sz w:val="32"/>
          <w:szCs w:val="32"/>
        </w:rPr>
        <w:t>。</w:t>
      </w:r>
    </w:p>
    <w:p>
      <w:pPr>
        <w:kinsoku w:val="0"/>
        <w:overflowPunct w:val="0"/>
        <w:autoSpaceDE w:val="0"/>
        <w:autoSpaceDN w:val="0"/>
        <w:adjustRightInd w:val="0"/>
        <w:snapToGrid w:val="0"/>
        <w:spacing w:line="360" w:lineRule="auto"/>
        <w:ind w:left="420" w:leftChars="20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十一、政府采购支出情况说明</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年度政府采购支出总额</w:t>
      </w:r>
      <w:r>
        <w:rPr>
          <w:rFonts w:ascii="仿宋_GB2312" w:hAnsi="仿宋_GB2312" w:eastAsia="仿宋_GB2312" w:cs="仿宋_GB2312"/>
          <w:sz w:val="32"/>
          <w:szCs w:val="32"/>
        </w:rPr>
        <w:t>18.99</w:t>
      </w:r>
      <w:r>
        <w:rPr>
          <w:rFonts w:hint="eastAsia" w:ascii="仿宋_GB2312" w:hAnsi="仿宋_GB2312" w:eastAsia="仿宋_GB2312" w:cs="仿宋_GB2312"/>
          <w:sz w:val="32"/>
          <w:szCs w:val="32"/>
        </w:rPr>
        <w:t>万元，其中：春节期间慰问采购棉衣棉被，政府采购货物支出</w:t>
      </w:r>
      <w:r>
        <w:rPr>
          <w:rFonts w:ascii="仿宋_GB2312" w:hAnsi="仿宋_GB2312" w:eastAsia="仿宋_GB2312" w:cs="仿宋_GB2312"/>
          <w:sz w:val="32"/>
          <w:szCs w:val="32"/>
        </w:rPr>
        <w:t>18.99</w:t>
      </w:r>
      <w:r>
        <w:rPr>
          <w:rFonts w:hint="eastAsia" w:ascii="仿宋_GB2312" w:hAnsi="仿宋_GB2312" w:eastAsia="仿宋_GB2312" w:cs="仿宋_GB2312"/>
          <w:sz w:val="32"/>
          <w:szCs w:val="32"/>
        </w:rPr>
        <w:t>万元、无政府采购工程支出、无政府采购服务支出。授予中小企业合同金额</w:t>
      </w:r>
      <w:r>
        <w:rPr>
          <w:rFonts w:ascii="仿宋_GB2312" w:hAnsi="仿宋_GB2312" w:eastAsia="仿宋_GB2312" w:cs="仿宋_GB2312"/>
          <w:sz w:val="32"/>
          <w:szCs w:val="32"/>
        </w:rPr>
        <w:t>18.99</w:t>
      </w:r>
      <w:r>
        <w:rPr>
          <w:rFonts w:hint="eastAsia" w:ascii="仿宋_GB2312" w:hAnsi="仿宋_GB2312" w:eastAsia="仿宋_GB2312" w:cs="仿宋_GB2312"/>
          <w:sz w:val="32"/>
          <w:szCs w:val="32"/>
        </w:rPr>
        <w:t>万元，占政府采购支出总额的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，其中：授予小微企业合同金额</w:t>
      </w:r>
      <w:r>
        <w:rPr>
          <w:rFonts w:ascii="仿宋_GB2312" w:hAnsi="仿宋_GB2312" w:eastAsia="仿宋_GB2312" w:cs="仿宋_GB2312"/>
          <w:sz w:val="32"/>
          <w:szCs w:val="32"/>
        </w:rPr>
        <w:t>18.99</w:t>
      </w:r>
      <w:r>
        <w:rPr>
          <w:rFonts w:hint="eastAsia" w:ascii="仿宋_GB2312" w:hAnsi="仿宋_GB2312" w:eastAsia="仿宋_GB2312" w:cs="仿宋_GB2312"/>
          <w:sz w:val="32"/>
          <w:szCs w:val="32"/>
        </w:rPr>
        <w:t>万元，占政府采购支出总额的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kinsoku w:val="0"/>
        <w:overflowPunct w:val="0"/>
        <w:autoSpaceDE w:val="0"/>
        <w:autoSpaceDN w:val="0"/>
        <w:adjustRightInd w:val="0"/>
        <w:snapToGrid w:val="0"/>
        <w:spacing w:line="360" w:lineRule="auto"/>
        <w:ind w:left="420" w:leftChars="200"/>
        <w:rPr>
          <w:rFonts w:ascii="黑体" w:hAnsi="黑体" w:eastAsia="黑体" w:cs="黑体"/>
          <w:color w:val="000000"/>
          <w:sz w:val="32"/>
          <w:szCs w:val="32"/>
        </w:rPr>
      </w:pPr>
      <w:r>
        <w:rPr>
          <w:rFonts w:hint="eastAsia" w:ascii="黑体" w:hAnsi="黑体" w:eastAsia="黑体" w:cs="黑体"/>
          <w:bCs/>
          <w:color w:val="000000"/>
          <w:kern w:val="0"/>
          <w:sz w:val="32"/>
          <w:szCs w:val="32"/>
        </w:rPr>
        <w:t>十二、国有资产占用情况说明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2019年期末，我部门共有车辆</w:t>
      </w:r>
      <w:r>
        <w:rPr>
          <w:rFonts w:hint="eastAsia" w:ascii="仿宋_GB2312" w:eastAsia="仿宋_GB2312"/>
          <w:sz w:val="32"/>
          <w:szCs w:val="32"/>
          <w:lang w:val="en-US" w:eastAsia="zh-CN"/>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辆、应急保障车</w:t>
      </w:r>
      <w:r>
        <w:rPr>
          <w:rFonts w:hint="eastAsia" w:ascii="仿宋_GB2312" w:eastAsia="仿宋_GB2312"/>
          <w:sz w:val="32"/>
          <w:szCs w:val="32"/>
          <w:lang w:val="en-US" w:eastAsia="zh-CN"/>
        </w:rPr>
        <w:t>0</w:t>
      </w:r>
      <w:r>
        <w:rPr>
          <w:rFonts w:hint="eastAsia" w:ascii="仿宋_GB2312" w:eastAsia="仿宋_GB2312"/>
          <w:sz w:val="32"/>
          <w:szCs w:val="32"/>
        </w:rPr>
        <w:t>辆、执法执勤用车</w:t>
      </w:r>
      <w:r>
        <w:rPr>
          <w:rFonts w:hint="eastAsia" w:ascii="仿宋_GB2312" w:eastAsia="仿宋_GB2312"/>
          <w:sz w:val="32"/>
          <w:szCs w:val="32"/>
          <w:lang w:val="en-US" w:eastAsia="zh-CN"/>
        </w:rPr>
        <w:t>0</w:t>
      </w:r>
      <w:r>
        <w:rPr>
          <w:rFonts w:hint="eastAsia" w:ascii="仿宋_GB2312" w:eastAsia="仿宋_GB2312"/>
          <w:sz w:val="32"/>
          <w:szCs w:val="32"/>
        </w:rPr>
        <w:t>辆、特种专业技术用车</w:t>
      </w:r>
      <w:r>
        <w:rPr>
          <w:rFonts w:hint="eastAsia" w:ascii="仿宋_GB2312" w:eastAsia="仿宋_GB2312"/>
          <w:sz w:val="32"/>
          <w:szCs w:val="32"/>
          <w:lang w:val="en-US" w:eastAsia="zh-CN"/>
        </w:rPr>
        <w:t>0</w:t>
      </w:r>
      <w:r>
        <w:rPr>
          <w:rFonts w:hint="eastAsia" w:ascii="仿宋_GB2312" w:eastAsia="仿宋_GB2312"/>
          <w:sz w:val="32"/>
          <w:szCs w:val="32"/>
        </w:rPr>
        <w:t>辆、离退休干部用车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辆；单位价值50万元以上通用设备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widowControl/>
        <w:jc w:val="left"/>
        <w:rPr>
          <w:rFonts w:hint="eastAsia" w:ascii="黑体" w:hAnsi="宋体" w:eastAsia="黑体" w:cs="宋体"/>
          <w:kern w:val="0"/>
          <w:sz w:val="28"/>
          <w:szCs w:val="28"/>
        </w:rPr>
      </w:pPr>
    </w:p>
    <w:p>
      <w:pPr>
        <w:jc w:val="left"/>
        <w:rPr>
          <w:rFonts w:ascii="黑体" w:hAnsi="黑体" w:eastAsia="黑体" w:cs="黑体"/>
          <w:color w:val="ED7D31"/>
          <w:sz w:val="32"/>
          <w:szCs w:val="32"/>
        </w:rPr>
      </w:pPr>
    </w:p>
    <w:p>
      <w:pPr>
        <w:jc w:val="left"/>
        <w:rPr>
          <w:rFonts w:ascii="黑体" w:hAnsi="黑体" w:eastAsia="黑体" w:cs="黑体"/>
          <w:color w:val="ED7D31"/>
          <w:sz w:val="32"/>
          <w:szCs w:val="32"/>
        </w:rPr>
      </w:pPr>
    </w:p>
    <w:p>
      <w:pPr>
        <w:jc w:val="center"/>
        <w:outlineLvl w:val="0"/>
        <w:rPr>
          <w:rFonts w:ascii="黑体" w:hAnsi="黑体" w:eastAsia="黑体" w:cs="黑体"/>
          <w:color w:val="000000"/>
          <w:sz w:val="48"/>
          <w:szCs w:val="48"/>
        </w:rPr>
      </w:pPr>
    </w:p>
    <w:p>
      <w:pPr>
        <w:jc w:val="center"/>
        <w:outlineLvl w:val="0"/>
        <w:rPr>
          <w:rFonts w:ascii="黑体" w:hAnsi="黑体" w:eastAsia="黑体" w:cs="黑体"/>
          <w:color w:val="000000"/>
          <w:sz w:val="48"/>
          <w:szCs w:val="48"/>
        </w:rPr>
      </w:pPr>
    </w:p>
    <w:p>
      <w:pPr>
        <w:jc w:val="center"/>
        <w:outlineLvl w:val="0"/>
        <w:rPr>
          <w:rFonts w:ascii="黑体" w:hAnsi="黑体" w:eastAsia="黑体" w:cs="黑体"/>
          <w:color w:val="000000"/>
          <w:sz w:val="48"/>
          <w:szCs w:val="48"/>
        </w:rPr>
      </w:pPr>
    </w:p>
    <w:p>
      <w:pPr>
        <w:outlineLvl w:val="0"/>
        <w:rPr>
          <w:rFonts w:ascii="黑体" w:hAnsi="黑体" w:eastAsia="黑体" w:cs="黑体"/>
          <w:color w:val="000000"/>
          <w:sz w:val="48"/>
          <w:szCs w:val="48"/>
        </w:rPr>
      </w:pPr>
    </w:p>
    <w:p>
      <w:pPr>
        <w:jc w:val="center"/>
        <w:outlineLvl w:val="0"/>
        <w:rPr>
          <w:rFonts w:ascii="黑体" w:hAnsi="黑体" w:eastAsia="黑体" w:cs="黑体"/>
          <w:color w:val="000000"/>
          <w:sz w:val="48"/>
          <w:szCs w:val="48"/>
        </w:rPr>
      </w:pPr>
    </w:p>
    <w:p>
      <w:pPr>
        <w:jc w:val="center"/>
        <w:outlineLvl w:val="0"/>
        <w:rPr>
          <w:rFonts w:ascii="黑体" w:hAnsi="黑体" w:eastAsia="黑体" w:cs="黑体"/>
          <w:color w:val="000000"/>
          <w:sz w:val="48"/>
          <w:szCs w:val="48"/>
        </w:rPr>
      </w:pPr>
    </w:p>
    <w:p>
      <w:pPr>
        <w:jc w:val="center"/>
        <w:outlineLvl w:val="0"/>
        <w:rPr>
          <w:rFonts w:ascii="黑体" w:hAnsi="黑体" w:eastAsia="黑体" w:cs="黑体"/>
          <w:color w:val="000000"/>
          <w:sz w:val="48"/>
          <w:szCs w:val="48"/>
        </w:rPr>
      </w:pPr>
    </w:p>
    <w:p>
      <w:pPr>
        <w:jc w:val="center"/>
        <w:outlineLvl w:val="0"/>
        <w:rPr>
          <w:rFonts w:ascii="黑体" w:hAnsi="黑体" w:eastAsia="黑体" w:cs="黑体"/>
          <w:color w:val="000000"/>
          <w:sz w:val="48"/>
          <w:szCs w:val="48"/>
        </w:rPr>
      </w:pPr>
      <w:r>
        <w:rPr>
          <w:rFonts w:hint="eastAsia" w:ascii="黑体" w:hAnsi="黑体" w:eastAsia="黑体" w:cs="黑体"/>
          <w:color w:val="000000"/>
          <w:sz w:val="48"/>
          <w:szCs w:val="48"/>
        </w:rPr>
        <w:t>第三部分　名词解释</w:t>
      </w:r>
    </w:p>
    <w:p>
      <w:pPr>
        <w:outlineLvl w:val="0"/>
        <w:rPr>
          <w:rFonts w:ascii="黑体" w:hAnsi="黑体" w:eastAsia="黑体" w:cs="黑体"/>
          <w:color w:val="000000"/>
          <w:sz w:val="48"/>
          <w:szCs w:val="48"/>
        </w:rPr>
      </w:pPr>
    </w:p>
    <w:p>
      <w:pPr>
        <w:outlineLvl w:val="0"/>
        <w:rPr>
          <w:rFonts w:ascii="黑体" w:hAnsi="黑体" w:eastAsia="黑体" w:cs="黑体"/>
          <w:color w:val="000000"/>
          <w:sz w:val="48"/>
          <w:szCs w:val="48"/>
        </w:rPr>
      </w:pPr>
    </w:p>
    <w:p>
      <w:pPr>
        <w:outlineLvl w:val="0"/>
        <w:rPr>
          <w:rFonts w:ascii="黑体" w:hAnsi="黑体" w:eastAsia="黑体" w:cs="黑体"/>
          <w:color w:val="000000"/>
          <w:sz w:val="48"/>
          <w:szCs w:val="48"/>
        </w:rPr>
      </w:pPr>
    </w:p>
    <w:p>
      <w:pPr>
        <w:outlineLvl w:val="0"/>
        <w:rPr>
          <w:rFonts w:ascii="黑体" w:hAnsi="黑体" w:eastAsia="黑体" w:cs="黑体"/>
          <w:color w:val="000000"/>
          <w:sz w:val="48"/>
          <w:szCs w:val="48"/>
        </w:rPr>
      </w:pPr>
    </w:p>
    <w:p>
      <w:pPr>
        <w:outlineLvl w:val="0"/>
        <w:rPr>
          <w:rFonts w:ascii="黑体" w:hAnsi="黑体" w:eastAsia="黑体" w:cs="黑体"/>
          <w:color w:val="000000"/>
          <w:sz w:val="48"/>
          <w:szCs w:val="48"/>
        </w:rPr>
      </w:pPr>
    </w:p>
    <w:p>
      <w:pPr>
        <w:outlineLvl w:val="0"/>
        <w:rPr>
          <w:rFonts w:ascii="黑体" w:hAnsi="黑体" w:eastAsia="黑体" w:cs="黑体"/>
          <w:color w:val="000000"/>
          <w:sz w:val="48"/>
          <w:szCs w:val="48"/>
        </w:rPr>
      </w:pPr>
    </w:p>
    <w:p>
      <w:pPr>
        <w:outlineLvl w:val="0"/>
        <w:rPr>
          <w:rFonts w:ascii="黑体" w:hAnsi="黑体" w:eastAsia="黑体" w:cs="黑体"/>
          <w:color w:val="000000"/>
          <w:sz w:val="48"/>
          <w:szCs w:val="48"/>
        </w:rPr>
      </w:pPr>
    </w:p>
    <w:p>
      <w:pPr>
        <w:outlineLvl w:val="0"/>
        <w:rPr>
          <w:rFonts w:ascii="黑体" w:hAnsi="黑体" w:eastAsia="黑体" w:cs="黑体"/>
          <w:color w:val="000000"/>
          <w:sz w:val="48"/>
          <w:szCs w:val="48"/>
        </w:rPr>
      </w:pPr>
    </w:p>
    <w:p>
      <w:pPr>
        <w:outlineLvl w:val="0"/>
        <w:rPr>
          <w:rFonts w:ascii="黑体" w:hAnsi="黑体" w:eastAsia="黑体" w:cs="黑体"/>
          <w:color w:val="000000"/>
          <w:sz w:val="48"/>
          <w:szCs w:val="48"/>
        </w:rPr>
      </w:pPr>
    </w:p>
    <w:p>
      <w:pPr>
        <w:outlineLvl w:val="0"/>
        <w:rPr>
          <w:rFonts w:ascii="黑体" w:hAnsi="黑体" w:eastAsia="黑体" w:cs="黑体"/>
          <w:color w:val="000000"/>
          <w:sz w:val="48"/>
          <w:szCs w:val="48"/>
        </w:rPr>
      </w:pPr>
    </w:p>
    <w:p>
      <w:pPr>
        <w:outlineLvl w:val="0"/>
        <w:rPr>
          <w:rFonts w:ascii="黑体" w:hAnsi="黑体" w:eastAsia="黑体" w:cs="黑体"/>
          <w:color w:val="000000"/>
          <w:sz w:val="48"/>
          <w:szCs w:val="48"/>
        </w:rPr>
      </w:pP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bookmarkStart w:id="0" w:name="_GoBack"/>
      <w:bookmarkEnd w:id="0"/>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color w:val="auto"/>
          <w:sz w:val="48"/>
          <w:szCs w:val="48"/>
        </w:rPr>
      </w:pPr>
      <w:r>
        <w:rPr>
          <w:rFonts w:hint="eastAsia" w:ascii="黑体" w:hAnsi="黑体" w:eastAsia="黑体" w:cs="黑体"/>
          <w:sz w:val="48"/>
          <w:szCs w:val="48"/>
        </w:rPr>
        <w:t>第四部分</w:t>
      </w:r>
      <w:r>
        <w:rPr>
          <w:rFonts w:hint="eastAsia" w:ascii="黑体" w:hAnsi="黑体" w:eastAsia="黑体" w:cs="黑体"/>
          <w:color w:val="auto"/>
          <w:sz w:val="48"/>
          <w:szCs w:val="48"/>
        </w:rPr>
        <w:t>（</w:t>
      </w:r>
      <w:r>
        <w:rPr>
          <w:rFonts w:ascii="黑体" w:hAnsi="黑体" w:eastAsia="黑体" w:cs="黑体"/>
          <w:color w:val="auto"/>
          <w:sz w:val="48"/>
          <w:szCs w:val="48"/>
        </w:rPr>
        <w:t>Excel</w:t>
      </w:r>
      <w:r>
        <w:rPr>
          <w:rFonts w:hint="eastAsia" w:ascii="黑体" w:hAnsi="黑体" w:eastAsia="黑体" w:cs="黑体"/>
          <w:color w:val="auto"/>
          <w:sz w:val="48"/>
          <w:szCs w:val="48"/>
        </w:rPr>
        <w:t>表格）</w:t>
      </w:r>
    </w:p>
    <w:p>
      <w:pPr>
        <w:jc w:val="center"/>
        <w:rPr>
          <w:rFonts w:ascii="黑体" w:hAnsi="黑体" w:eastAsia="黑体" w:cs="黑体"/>
          <w:sz w:val="48"/>
          <w:szCs w:val="48"/>
        </w:rPr>
      </w:pPr>
      <w:r>
        <w:rPr>
          <w:rFonts w:hint="eastAsia" w:ascii="黑体" w:hAnsi="黑体" w:eastAsia="黑体" w:cs="黑体"/>
          <w:sz w:val="48"/>
          <w:szCs w:val="48"/>
        </w:rPr>
        <w:t>信阳市浉河区民政局</w:t>
      </w:r>
      <w:r>
        <w:rPr>
          <w:rFonts w:ascii="黑体" w:hAnsi="黑体" w:eastAsia="黑体" w:cs="黑体"/>
          <w:sz w:val="48"/>
          <w:szCs w:val="48"/>
        </w:rPr>
        <w:t>2019</w:t>
      </w:r>
      <w:r>
        <w:rPr>
          <w:rFonts w:hint="eastAsia" w:ascii="黑体" w:hAnsi="黑体" w:eastAsia="黑体" w:cs="黑体"/>
          <w:sz w:val="48"/>
          <w:szCs w:val="48"/>
        </w:rPr>
        <w:t>年度部门决算公开表</w:t>
      </w: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仿宋_GB2312" w:hAnsi="仿宋_GB2312" w:eastAsia="仿宋_GB2312" w:cs="仿宋_GB2312"/>
          <w:sz w:val="32"/>
          <w:szCs w:val="32"/>
        </w:rPr>
      </w:pPr>
      <w:r>
        <w:rPr>
          <w:rFonts w:hint="eastAsia" w:ascii="黑体" w:hAnsi="宋体" w:eastAsia="黑体" w:cs="宋体"/>
          <w:color w:val="000000"/>
          <w:kern w:val="0"/>
          <w:sz w:val="28"/>
          <w:szCs w:val="28"/>
        </w:rPr>
        <w:t>说明：表中单元格数据为空时，表示该单元格数据为零；整张表数据为空时，表示部门该表中所有数据均为零，当年无表中相关收支</w:t>
      </w:r>
      <w:r>
        <w:rPr>
          <w:rFonts w:hint="eastAsia" w:ascii="仿宋_GB2312" w:hAnsi="仿宋_GB2312" w:eastAsia="仿宋_GB2312" w:cs="仿宋_GB2312"/>
          <w:sz w:val="32"/>
          <w:szCs w:val="32"/>
        </w:rPr>
        <w:t>。</w:t>
      </w:r>
    </w:p>
    <w:p>
      <w:pPr>
        <w:rPr>
          <w:rFonts w:ascii="隶书" w:hAnsi="隶书" w:eastAsia="隶书" w:cs="隶书"/>
          <w:color w:val="ED7D31"/>
          <w:sz w:val="48"/>
          <w:szCs w:val="48"/>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- 17 -</w:t>
                </w:r>
                <w:r>
                  <w:rPr>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C8037"/>
    <w:multiLevelType w:val="singleLevel"/>
    <w:tmpl w:val="FDDC8037"/>
    <w:lvl w:ilvl="0" w:tentative="0">
      <w:start w:val="1"/>
      <w:numFmt w:val="chineseCounting"/>
      <w:suff w:val="nothing"/>
      <w:lvlText w:val="第%1部分　"/>
      <w:lvlJc w:val="left"/>
      <w:rPr>
        <w:rFonts w:hint="eastAsia" w:cs="Times New Roman"/>
      </w:r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BF59"/>
    <w:multiLevelType w:val="singleLevel"/>
    <w:tmpl w:val="5971BF59"/>
    <w:lvl w:ilvl="0" w:tentative="0">
      <w:start w:val="1"/>
      <w:numFmt w:val="chineseCounting"/>
      <w:suff w:val="nothing"/>
      <w:lvlText w:val="%1、"/>
      <w:lvlJc w:val="left"/>
      <w:pPr>
        <w:ind w:firstLine="420"/>
      </w:pPr>
      <w:rPr>
        <w:rFonts w:hint="eastAsia" w:cs="Times New Roman"/>
      </w:rPr>
    </w:lvl>
  </w:abstractNum>
  <w:abstractNum w:abstractNumId="3">
    <w:nsid w:val="5971C193"/>
    <w:multiLevelType w:val="singleLevel"/>
    <w:tmpl w:val="5971C193"/>
    <w:lvl w:ilvl="0" w:tentative="0">
      <w:start w:val="2"/>
      <w:numFmt w:val="chineseCounting"/>
      <w:suff w:val="nothing"/>
      <w:lvlText w:val="%1、"/>
      <w:lvlJc w:val="left"/>
      <w:rPr>
        <w:rFonts w:cs="Times New Roman"/>
      </w:rPr>
    </w:lvl>
  </w:abstractNum>
  <w:abstractNum w:abstractNumId="4">
    <w:nsid w:val="5971DAC2"/>
    <w:multiLevelType w:val="singleLevel"/>
    <w:tmpl w:val="5971DAC2"/>
    <w:lvl w:ilvl="0" w:tentative="0">
      <w:start w:val="1"/>
      <w:numFmt w:val="chineseCounting"/>
      <w:suff w:val="nothing"/>
      <w:lvlText w:val="%1、"/>
      <w:lvlJc w:val="left"/>
      <w:pPr>
        <w:ind w:firstLine="420"/>
      </w:pPr>
      <w:rPr>
        <w:rFonts w:hint="eastAsia" w:cs="Times New Roman"/>
      </w:rPr>
    </w:lvl>
  </w:abstractNum>
  <w:abstractNum w:abstractNumId="5">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6">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7">
    <w:nsid w:val="5971E776"/>
    <w:multiLevelType w:val="singleLevel"/>
    <w:tmpl w:val="5971E776"/>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03430"/>
    <w:rsid w:val="00131497"/>
    <w:rsid w:val="00172A27"/>
    <w:rsid w:val="001D694C"/>
    <w:rsid w:val="0020271F"/>
    <w:rsid w:val="002100EC"/>
    <w:rsid w:val="00227C52"/>
    <w:rsid w:val="002430AD"/>
    <w:rsid w:val="0024776C"/>
    <w:rsid w:val="00335A3F"/>
    <w:rsid w:val="003820D8"/>
    <w:rsid w:val="003B78D6"/>
    <w:rsid w:val="00405B94"/>
    <w:rsid w:val="004F38C4"/>
    <w:rsid w:val="00606461"/>
    <w:rsid w:val="00630D31"/>
    <w:rsid w:val="00631871"/>
    <w:rsid w:val="006C4403"/>
    <w:rsid w:val="006C57F9"/>
    <w:rsid w:val="006E22BE"/>
    <w:rsid w:val="006E4E7F"/>
    <w:rsid w:val="006F6B63"/>
    <w:rsid w:val="008327E6"/>
    <w:rsid w:val="00856771"/>
    <w:rsid w:val="009E53FF"/>
    <w:rsid w:val="00A205EA"/>
    <w:rsid w:val="00A2356F"/>
    <w:rsid w:val="00A37C3B"/>
    <w:rsid w:val="00A703F0"/>
    <w:rsid w:val="00B54309"/>
    <w:rsid w:val="00B753CA"/>
    <w:rsid w:val="00B84FB0"/>
    <w:rsid w:val="00BF2A05"/>
    <w:rsid w:val="00BF7BC9"/>
    <w:rsid w:val="00C82C4A"/>
    <w:rsid w:val="00D00E1E"/>
    <w:rsid w:val="00D17E52"/>
    <w:rsid w:val="00D2789C"/>
    <w:rsid w:val="00DA4AAC"/>
    <w:rsid w:val="00DC0C55"/>
    <w:rsid w:val="00DC74F4"/>
    <w:rsid w:val="00E01652"/>
    <w:rsid w:val="00EB46CB"/>
    <w:rsid w:val="00EF0145"/>
    <w:rsid w:val="00F4555E"/>
    <w:rsid w:val="00F555F1"/>
    <w:rsid w:val="00F7761E"/>
    <w:rsid w:val="00F93E4F"/>
    <w:rsid w:val="00F97F89"/>
    <w:rsid w:val="00FA1244"/>
    <w:rsid w:val="01064770"/>
    <w:rsid w:val="04453648"/>
    <w:rsid w:val="07751BF5"/>
    <w:rsid w:val="08057585"/>
    <w:rsid w:val="0822314B"/>
    <w:rsid w:val="09BB2134"/>
    <w:rsid w:val="0D512CAE"/>
    <w:rsid w:val="12C55BA5"/>
    <w:rsid w:val="13DA4090"/>
    <w:rsid w:val="15492582"/>
    <w:rsid w:val="15927F6F"/>
    <w:rsid w:val="15E329CF"/>
    <w:rsid w:val="161D60C4"/>
    <w:rsid w:val="175043A6"/>
    <w:rsid w:val="186B0EC8"/>
    <w:rsid w:val="18BC3384"/>
    <w:rsid w:val="1ACC00B9"/>
    <w:rsid w:val="1AE955B9"/>
    <w:rsid w:val="1BB26345"/>
    <w:rsid w:val="1C5A3346"/>
    <w:rsid w:val="1E7D3B34"/>
    <w:rsid w:val="209C4FF0"/>
    <w:rsid w:val="20FB68C0"/>
    <w:rsid w:val="258F34D6"/>
    <w:rsid w:val="275E7A77"/>
    <w:rsid w:val="2BA4769A"/>
    <w:rsid w:val="2CD06EF4"/>
    <w:rsid w:val="2EA67F62"/>
    <w:rsid w:val="2EC87334"/>
    <w:rsid w:val="31CA620A"/>
    <w:rsid w:val="32EF40CE"/>
    <w:rsid w:val="33540EF7"/>
    <w:rsid w:val="372974AC"/>
    <w:rsid w:val="38F74ECD"/>
    <w:rsid w:val="3A570BE2"/>
    <w:rsid w:val="3BA17942"/>
    <w:rsid w:val="3CE47224"/>
    <w:rsid w:val="3E534FAC"/>
    <w:rsid w:val="3FC11868"/>
    <w:rsid w:val="41320287"/>
    <w:rsid w:val="41C91B48"/>
    <w:rsid w:val="42271DDB"/>
    <w:rsid w:val="42392BF1"/>
    <w:rsid w:val="44A777D4"/>
    <w:rsid w:val="455A6AE8"/>
    <w:rsid w:val="48036E61"/>
    <w:rsid w:val="48B52937"/>
    <w:rsid w:val="48EE3EF3"/>
    <w:rsid w:val="4B69294F"/>
    <w:rsid w:val="4C1E2F28"/>
    <w:rsid w:val="4C6771ED"/>
    <w:rsid w:val="4C745106"/>
    <w:rsid w:val="4D9050DD"/>
    <w:rsid w:val="4F5343F4"/>
    <w:rsid w:val="50FA222F"/>
    <w:rsid w:val="515C6CAE"/>
    <w:rsid w:val="51AD42DE"/>
    <w:rsid w:val="53E9756D"/>
    <w:rsid w:val="5651051D"/>
    <w:rsid w:val="57402A87"/>
    <w:rsid w:val="576D7750"/>
    <w:rsid w:val="57BB5F84"/>
    <w:rsid w:val="57E961A8"/>
    <w:rsid w:val="581E77CF"/>
    <w:rsid w:val="58B06254"/>
    <w:rsid w:val="59E3092F"/>
    <w:rsid w:val="5AF25131"/>
    <w:rsid w:val="5DDE6E6D"/>
    <w:rsid w:val="5F3A0145"/>
    <w:rsid w:val="600176AC"/>
    <w:rsid w:val="61727E89"/>
    <w:rsid w:val="627358F6"/>
    <w:rsid w:val="62B63D7C"/>
    <w:rsid w:val="6431638A"/>
    <w:rsid w:val="64901AA6"/>
    <w:rsid w:val="664A46E0"/>
    <w:rsid w:val="674E08EC"/>
    <w:rsid w:val="6A2415C4"/>
    <w:rsid w:val="6B0C3B18"/>
    <w:rsid w:val="6C2F3976"/>
    <w:rsid w:val="6C522640"/>
    <w:rsid w:val="6C62285D"/>
    <w:rsid w:val="6D007227"/>
    <w:rsid w:val="6D0F641C"/>
    <w:rsid w:val="6D3702C7"/>
    <w:rsid w:val="705D2EE7"/>
    <w:rsid w:val="72B1272D"/>
    <w:rsid w:val="737A5BE5"/>
    <w:rsid w:val="73F1196C"/>
    <w:rsid w:val="75531EF6"/>
    <w:rsid w:val="75D0003D"/>
    <w:rsid w:val="771752DA"/>
    <w:rsid w:val="779E3F57"/>
    <w:rsid w:val="77C441EE"/>
    <w:rsid w:val="79960645"/>
    <w:rsid w:val="7CB13041"/>
    <w:rsid w:val="7D0D382E"/>
    <w:rsid w:val="7DBB501C"/>
    <w:rsid w:val="7F39282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99"/>
    <w:pPr>
      <w:jc w:val="left"/>
    </w:pPr>
  </w:style>
  <w:style w:type="paragraph" w:styleId="3">
    <w:name w:val="footer"/>
    <w:basedOn w:val="1"/>
    <w:link w:val="11"/>
    <w:qFormat/>
    <w:uiPriority w:val="99"/>
    <w:pPr>
      <w:tabs>
        <w:tab w:val="center" w:pos="4153"/>
        <w:tab w:val="right" w:pos="8306"/>
      </w:tabs>
      <w:snapToGrid w:val="0"/>
      <w:jc w:val="left"/>
    </w:pPr>
    <w:rPr>
      <w:sz w:val="18"/>
    </w:rPr>
  </w:style>
  <w:style w:type="paragraph" w:styleId="4">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note text"/>
    <w:basedOn w:val="1"/>
    <w:link w:val="13"/>
    <w:qFormat/>
    <w:uiPriority w:val="99"/>
    <w:pPr>
      <w:snapToGrid w:val="0"/>
      <w:jc w:val="left"/>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footnote reference"/>
    <w:basedOn w:val="8"/>
    <w:qFormat/>
    <w:uiPriority w:val="99"/>
    <w:rPr>
      <w:rFonts w:cs="Times New Roman"/>
      <w:vertAlign w:val="superscript"/>
    </w:rPr>
  </w:style>
  <w:style w:type="character" w:customStyle="1" w:styleId="10">
    <w:name w:val="Comment Text Char"/>
    <w:basedOn w:val="8"/>
    <w:link w:val="2"/>
    <w:semiHidden/>
    <w:qFormat/>
    <w:locked/>
    <w:uiPriority w:val="99"/>
    <w:rPr>
      <w:rFonts w:ascii="Calibri" w:hAnsi="Calibri" w:cs="Times New Roman"/>
      <w:sz w:val="24"/>
      <w:szCs w:val="24"/>
    </w:rPr>
  </w:style>
  <w:style w:type="character" w:customStyle="1" w:styleId="11">
    <w:name w:val="Footer Char"/>
    <w:basedOn w:val="8"/>
    <w:link w:val="3"/>
    <w:semiHidden/>
    <w:qFormat/>
    <w:locked/>
    <w:uiPriority w:val="99"/>
    <w:rPr>
      <w:rFonts w:ascii="Calibri" w:hAnsi="Calibri" w:cs="Times New Roman"/>
      <w:sz w:val="18"/>
      <w:szCs w:val="18"/>
    </w:rPr>
  </w:style>
  <w:style w:type="character" w:customStyle="1" w:styleId="12">
    <w:name w:val="Header Char"/>
    <w:basedOn w:val="8"/>
    <w:link w:val="4"/>
    <w:semiHidden/>
    <w:qFormat/>
    <w:locked/>
    <w:uiPriority w:val="99"/>
    <w:rPr>
      <w:rFonts w:ascii="Calibri" w:hAnsi="Calibri" w:cs="Times New Roman"/>
      <w:sz w:val="18"/>
      <w:szCs w:val="18"/>
    </w:rPr>
  </w:style>
  <w:style w:type="character" w:customStyle="1" w:styleId="13">
    <w:name w:val="Footnote Text Char"/>
    <w:basedOn w:val="8"/>
    <w:link w:val="5"/>
    <w:semiHidden/>
    <w:qFormat/>
    <w:locked/>
    <w:uiPriority w:val="99"/>
    <w:rPr>
      <w:rFonts w:ascii="Calibri" w:hAnsi="Calibri" w:cs="Times New Roman"/>
      <w:sz w:val="18"/>
      <w:szCs w:val="18"/>
    </w:rPr>
  </w:style>
  <w:style w:type="character" w:customStyle="1" w:styleId="14">
    <w:name w:val="font31"/>
    <w:basedOn w:val="8"/>
    <w:qFormat/>
    <w:uiPriority w:val="99"/>
    <w:rPr>
      <w:rFonts w:ascii="Arial" w:hAnsi="Arial" w:cs="Arial"/>
      <w:color w:val="000000"/>
      <w:sz w:val="16"/>
      <w:szCs w:val="16"/>
      <w:u w:val="none"/>
    </w:rPr>
  </w:style>
  <w:style w:type="character" w:customStyle="1" w:styleId="15">
    <w:name w:val="font01"/>
    <w:basedOn w:val="8"/>
    <w:qFormat/>
    <w:uiPriority w:val="99"/>
    <w:rPr>
      <w:rFonts w:ascii="Arial" w:hAnsi="Arial" w:cs="Arial"/>
      <w:color w:val="000000"/>
      <w:sz w:val="16"/>
      <w:szCs w:val="16"/>
      <w:u w:val="none"/>
    </w:rPr>
  </w:style>
  <w:style w:type="character" w:customStyle="1" w:styleId="16">
    <w:name w:val="font41"/>
    <w:basedOn w:val="8"/>
    <w:qFormat/>
    <w:uiPriority w:val="99"/>
    <w:rPr>
      <w:rFonts w:ascii="宋体" w:hAnsi="宋体" w:eastAsia="宋体" w:cs="宋体"/>
      <w:color w:val="000000"/>
      <w:sz w:val="16"/>
      <w:szCs w:val="16"/>
      <w:u w:val="none"/>
    </w:rPr>
  </w:style>
  <w:style w:type="paragraph" w:customStyle="1" w:styleId="17">
    <w:name w:val="_Style 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17</Pages>
  <Words>752</Words>
  <Characters>4292</Characters>
  <Lines>0</Lines>
  <Paragraphs>0</Paragraphs>
  <TotalTime>37</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2020-10-16T03:44:00Z</dcterms:created>
  <dc:creator>wsj</dc:creator>
  <cp:lastModifiedBy>棒棒糖</cp:lastModifiedBy>
  <cp:lastPrinted>2017-07-25T02:47:00Z</cp:lastPrinted>
  <dcterms:modified xsi:type="dcterms:W3CDTF">2021-06-20T05:15:31Z</dcterms:modified>
  <dc:title>信阳市浉河区民政局</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8F2C9B1264A349D5B36E13213019B588</vt:lpwstr>
  </property>
</Properties>
</file>