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both"/>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r>
        <w:rPr>
          <w:rFonts w:hint="eastAsia" w:ascii="黑体" w:hAnsi="黑体" w:eastAsia="黑体" w:cs="黑体"/>
          <w:sz w:val="52"/>
          <w:szCs w:val="52"/>
        </w:rPr>
        <w:t>2019年度</w:t>
      </w:r>
    </w:p>
    <w:p>
      <w:pPr>
        <w:jc w:val="center"/>
        <w:rPr>
          <w:rFonts w:hint="eastAsia" w:ascii="黑体" w:hAnsi="黑体" w:eastAsia="黑体" w:cs="黑体"/>
          <w:sz w:val="52"/>
          <w:szCs w:val="52"/>
        </w:rPr>
      </w:pPr>
      <w:r>
        <w:rPr>
          <w:rFonts w:hint="eastAsia" w:ascii="黑体" w:hAnsi="黑体" w:eastAsia="黑体" w:cs="黑体"/>
          <w:sz w:val="52"/>
          <w:szCs w:val="52"/>
        </w:rPr>
        <w:t>信阳市浉河区审计局部门决算</w:t>
      </w: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52"/>
          <w:szCs w:val="52"/>
        </w:rPr>
      </w:pPr>
    </w:p>
    <w:p>
      <w:pPr>
        <w:jc w:val="center"/>
        <w:rPr>
          <w:rFonts w:hint="eastAsia" w:ascii="黑体" w:hAnsi="黑体" w:eastAsia="黑体" w:cs="黑体"/>
          <w:sz w:val="32"/>
          <w:szCs w:val="32"/>
        </w:rPr>
        <w:sectPr>
          <w:pgSz w:w="11906" w:h="16838"/>
          <w:pgMar w:top="1440" w:right="1531" w:bottom="1440" w:left="1587" w:header="850" w:footer="992" w:gutter="0"/>
          <w:pgNumType w:fmt="numberInDash" w:start="1"/>
          <w:cols w:space="720" w:num="1"/>
          <w:docGrid w:type="lines" w:linePitch="317" w:charSpace="0"/>
        </w:sectPr>
      </w:pPr>
      <w:r>
        <w:rPr>
          <w:rFonts w:ascii="黑体" w:hAnsi="黑体" w:eastAsia="黑体" w:cs="黑体"/>
          <w:sz w:val="32"/>
          <w:szCs w:val="32"/>
        </w:rPr>
        <w:t>2020年9月</w:t>
      </w: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信阳市浉河区审计局概况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第二部分　　2019年度部门决算情况说明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十、国有资本经营预算收支决算情况说明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十三、国有资产占用情况说明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2019年度部门决算表（Excel表格形式）</w:t>
      </w:r>
    </w:p>
    <w:p>
      <w:pPr>
        <w:ind w:firstLine="640" w:firstLineChars="200"/>
        <w:jc w:val="left"/>
        <w:rPr>
          <w:rFonts w:hint="eastAsia" w:ascii="宋体" w:hAnsi="宋体" w:cs="宋体"/>
          <w:sz w:val="32"/>
          <w:szCs w:val="32"/>
        </w:rPr>
      </w:pP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hint="eastAsia" w:ascii="宋体" w:hAnsi="宋体" w:cs="宋体"/>
          <w:sz w:val="32"/>
          <w:szCs w:val="32"/>
        </w:rPr>
      </w:pPr>
      <w:r>
        <w:rPr>
          <w:rFonts w:hint="eastAsia" w:ascii="宋体" w:hAnsi="宋体" w:cs="宋体"/>
          <w:sz w:val="32"/>
          <w:szCs w:val="32"/>
        </w:rPr>
        <w:t>八、政府性基金预算财政拨款收入支出决算表</w:t>
      </w:r>
    </w:p>
    <w:p>
      <w:pPr>
        <w:ind w:firstLine="640" w:firstLineChars="200"/>
        <w:jc w:val="left"/>
        <w:rPr>
          <w:rFonts w:hint="eastAsia" w:ascii="宋体" w:hAnsi="宋体" w:cs="宋体"/>
          <w:sz w:val="32"/>
          <w:szCs w:val="32"/>
        </w:rPr>
      </w:pPr>
      <w:r>
        <w:rPr>
          <w:rFonts w:hint="eastAsia" w:ascii="宋体" w:hAnsi="宋体" w:cs="宋体"/>
          <w:sz w:val="32"/>
          <w:szCs w:val="32"/>
        </w:rPr>
        <w:t>九、政府采购支出情况表</w:t>
      </w:r>
    </w:p>
    <w:p>
      <w:pPr>
        <w:ind w:firstLine="640" w:firstLineChars="200"/>
        <w:jc w:val="left"/>
        <w:rPr>
          <w:rFonts w:hint="eastAsia" w:ascii="宋体" w:hAnsi="宋体" w:cs="宋体"/>
          <w:sz w:val="32"/>
          <w:szCs w:val="32"/>
        </w:rPr>
      </w:pPr>
      <w:r>
        <w:rPr>
          <w:rFonts w:hint="eastAsia" w:ascii="宋体" w:hAnsi="宋体" w:cs="宋体"/>
          <w:sz w:val="32"/>
          <w:szCs w:val="32"/>
        </w:rPr>
        <w:t>十、国有资本经营预算收支决算表</w:t>
      </w:r>
    </w:p>
    <w:p>
      <w:pPr>
        <w:ind w:firstLine="640" w:firstLineChars="200"/>
        <w:jc w:val="left"/>
        <w:rPr>
          <w:rFonts w:ascii="黑体" w:hAnsi="黑体" w:eastAsia="黑体" w:cs="黑体"/>
          <w:sz w:val="32"/>
          <w:szCs w:val="32"/>
        </w:rPr>
        <w:sectPr>
          <w:footerReference r:id="rId4" w:type="default"/>
          <w:pgSz w:w="11906" w:h="16838"/>
          <w:pgMar w:top="1440" w:right="1531" w:bottom="1440" w:left="1587" w:header="850" w:footer="992" w:gutter="0"/>
          <w:pgNumType w:fmt="numberInDash"/>
          <w:cols w:space="720" w:num="1"/>
          <w:docGrid w:type="lines" w:linePitch="317" w:charSpace="0"/>
        </w:sectPr>
      </w:pPr>
    </w:p>
    <w:p>
      <w:pPr>
        <w:jc w:val="left"/>
        <w:rPr>
          <w:rFonts w:hint="eastAsia" w:ascii="黑体" w:hAnsi="黑体" w:eastAsia="黑体" w:cs="黑体"/>
          <w:sz w:val="32"/>
          <w:szCs w:val="32"/>
        </w:rPr>
      </w:pPr>
    </w:p>
    <w:p>
      <w:pPr>
        <w:ind w:firstLine="640" w:firstLineChars="200"/>
        <w:jc w:val="left"/>
        <w:rPr>
          <w:rFonts w:ascii="宋体" w:hAnsi="宋体" w:cs="宋体"/>
          <w:sz w:val="32"/>
          <w:szCs w:val="32"/>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center"/>
        <w:outlineLvl w:val="0"/>
        <w:rPr>
          <w:rFonts w:hint="eastAsia" w:ascii="黑体" w:hAnsi="宋体" w:eastAsia="黑体" w:cs="宋体"/>
          <w:kern w:val="0"/>
          <w:sz w:val="28"/>
          <w:szCs w:val="28"/>
        </w:rPr>
      </w:pPr>
      <w:r>
        <w:rPr>
          <w:rFonts w:hint="eastAsia" w:ascii="黑体" w:hAnsi="黑体" w:eastAsia="黑体" w:cs="黑体"/>
          <w:sz w:val="48"/>
          <w:szCs w:val="48"/>
        </w:rPr>
        <w:t>第一部分  信阳市浉河区审计局概况</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sectPr>
          <w:footerReference r:id="rId5" w:type="default"/>
          <w:pgSz w:w="11906" w:h="16838"/>
          <w:pgMar w:top="1440" w:right="1800" w:bottom="1440" w:left="1800" w:header="720" w:footer="720" w:gutter="0"/>
          <w:pgNumType w:fmt="numberInDash"/>
          <w:cols w:space="720" w:num="1"/>
          <w:docGrid w:type="lines" w:linePitch="312" w:charSpace="0"/>
        </w:sectPr>
      </w:pPr>
    </w:p>
    <w:p>
      <w:pPr>
        <w:widowControl/>
        <w:numPr>
          <w:ilvl w:val="0"/>
          <w:numId w:val="2"/>
        </w:numPr>
        <w:jc w:val="left"/>
        <w:outlineLvl w:val="1"/>
        <w:rPr>
          <w:rFonts w:hint="eastAsia" w:ascii="黑体" w:hAnsi="黑体" w:eastAsia="黑体" w:cs="黑体"/>
          <w:bCs/>
          <w:sz w:val="32"/>
          <w:szCs w:val="32"/>
        </w:rPr>
      </w:pPr>
      <w:r>
        <w:rPr>
          <w:rFonts w:hint="eastAsia" w:ascii="黑体" w:hAnsi="黑体" w:eastAsia="黑体" w:cs="黑体"/>
          <w:kern w:val="0"/>
          <w:sz w:val="32"/>
          <w:szCs w:val="32"/>
        </w:rPr>
        <w:t>部门</w:t>
      </w:r>
      <w:r>
        <w:rPr>
          <w:rFonts w:hint="eastAsia" w:ascii="黑体" w:hAnsi="黑体" w:eastAsia="黑体" w:cs="黑体"/>
          <w:bCs/>
          <w:sz w:val="32"/>
          <w:szCs w:val="32"/>
        </w:rPr>
        <w:t>职责</w:t>
      </w:r>
    </w:p>
    <w:p>
      <w:pPr>
        <w:widowControl/>
        <w:spacing w:line="600" w:lineRule="atLeast"/>
        <w:ind w:firstLine="480" w:firstLineChars="150"/>
        <w:jc w:val="left"/>
        <w:textAlignment w:val="top"/>
        <w:rPr>
          <w:rFonts w:ascii="仿宋" w:hAnsi="仿宋" w:eastAsia="仿宋"/>
          <w:color w:val="333333"/>
          <w:sz w:val="32"/>
          <w:szCs w:val="32"/>
        </w:rPr>
      </w:pPr>
      <w:r>
        <w:rPr>
          <w:rFonts w:hint="eastAsia" w:ascii="仿宋" w:hAnsi="仿宋" w:eastAsia="仿宋"/>
          <w:color w:val="333333"/>
          <w:sz w:val="32"/>
          <w:szCs w:val="32"/>
        </w:rPr>
        <w:t>1、主管全区审计工作。负责对全区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负有督促被审计单位整改的责任。</w:t>
      </w:r>
    </w:p>
    <w:p>
      <w:pPr>
        <w:widowControl/>
        <w:spacing w:line="600" w:lineRule="atLeast"/>
        <w:ind w:firstLine="320" w:firstLineChars="100"/>
        <w:jc w:val="left"/>
        <w:textAlignment w:val="top"/>
        <w:rPr>
          <w:rFonts w:hint="eastAsia" w:ascii="仿宋" w:hAnsi="仿宋" w:eastAsia="仿宋"/>
          <w:color w:val="333333"/>
          <w:sz w:val="32"/>
          <w:szCs w:val="32"/>
        </w:rPr>
      </w:pPr>
      <w:r>
        <w:rPr>
          <w:rFonts w:hint="eastAsia" w:ascii="仿宋" w:hAnsi="仿宋" w:eastAsia="仿宋"/>
          <w:color w:val="333333"/>
          <w:sz w:val="32"/>
          <w:szCs w:val="32"/>
        </w:rPr>
        <w:t>2、贯彻执行国家和省、市审计工作的法律法规和方针政策，参与起草审计、财经方面的地方性法规、规章草案，制定审计规章制度并监督执行，制定并组织实施审计工作发展规划和专业领域审计工作规划，制定并组织实施年度审计计划。对直接审计、调查和核查的事项依法进行审计评价，作出审计决定或提出审计建议。</w:t>
      </w:r>
    </w:p>
    <w:p>
      <w:pPr>
        <w:widowControl/>
        <w:spacing w:line="600" w:lineRule="atLeast"/>
        <w:ind w:firstLine="480" w:firstLineChars="150"/>
        <w:jc w:val="left"/>
        <w:textAlignment w:val="top"/>
        <w:rPr>
          <w:rFonts w:ascii="仿宋" w:hAnsi="仿宋" w:eastAsia="仿宋"/>
          <w:color w:val="333333"/>
          <w:sz w:val="32"/>
          <w:szCs w:val="32"/>
        </w:rPr>
      </w:pPr>
      <w:r>
        <w:rPr>
          <w:rFonts w:hint="eastAsia" w:ascii="仿宋" w:hAnsi="仿宋" w:eastAsia="仿宋"/>
          <w:color w:val="333333"/>
          <w:sz w:val="32"/>
          <w:szCs w:val="32"/>
        </w:rPr>
        <w:t>3、是向区政府提交年度区级决算执行和其他财政收支的审计结果报告。受区政府委托向区人大常委会提交区级决算执行和其他财政收支情况的审计工作报告、审计发现问题的纠正和处理结果报告。向区政府报告其他事项专项审计调查情况及结果。依法向社会公布审计结果。向区政府有关部门通报审计情况和审计结果。</w:t>
      </w:r>
    </w:p>
    <w:p>
      <w:pPr>
        <w:widowControl/>
        <w:spacing w:line="600" w:lineRule="atLeast"/>
        <w:ind w:firstLine="480" w:firstLineChars="150"/>
        <w:jc w:val="left"/>
        <w:textAlignment w:val="top"/>
        <w:rPr>
          <w:rFonts w:hint="eastAsia" w:ascii="黑体" w:hAnsi="黑体" w:eastAsia="黑体" w:cs="黑体"/>
          <w:kern w:val="0"/>
          <w:sz w:val="32"/>
          <w:szCs w:val="32"/>
        </w:rPr>
      </w:pPr>
      <w:r>
        <w:rPr>
          <w:rFonts w:hint="eastAsia" w:ascii="仿宋" w:hAnsi="仿宋" w:eastAsia="仿宋"/>
          <w:color w:val="333333"/>
          <w:sz w:val="32"/>
          <w:szCs w:val="32"/>
        </w:rPr>
        <w:t>4、在法定职权范围内作出审计决定或向有关主管部门提出处罚的意见。</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widowControl/>
        <w:ind w:firstLine="640" w:firstLineChars="20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信阳市浉河区审计局内设机构10个，包括：办公室、财金股、党群政法股等</w:t>
      </w:r>
      <w:r>
        <w:rPr>
          <w:rFonts w:hint="eastAsia" w:ascii="仿宋_GB2312" w:hAnsi="仿宋_GB2312" w:eastAsia="仿宋_GB2312" w:cs="仿宋_GB2312"/>
          <w:color w:val="000000"/>
          <w:kern w:val="0"/>
          <w:sz w:val="32"/>
          <w:szCs w:val="32"/>
          <w:lang w:eastAsia="zh-CN"/>
        </w:rPr>
        <w:t>，无二级机构。</w:t>
      </w:r>
    </w:p>
    <w:p>
      <w:pPr>
        <w:spacing w:line="360" w:lineRule="auto"/>
        <w:ind w:firstLine="640" w:firstLineChars="200"/>
        <w:jc w:val="left"/>
        <w:rPr>
          <w:rFonts w:hint="eastAsia" w:ascii="黑体" w:hAnsi="宋体" w:eastAsia="黑体" w:cs="宋体"/>
          <w:color w:val="000000"/>
          <w:kern w:val="0"/>
          <w:sz w:val="28"/>
          <w:szCs w:val="28"/>
        </w:rPr>
      </w:pPr>
      <w:r>
        <w:rPr>
          <w:rFonts w:hint="eastAsia" w:ascii="仿宋_GB2312" w:hAnsi="仿宋_GB2312" w:eastAsia="仿宋_GB2312" w:cs="仿宋_GB2312"/>
          <w:color w:val="000000"/>
          <w:kern w:val="0"/>
          <w:sz w:val="32"/>
          <w:szCs w:val="32"/>
        </w:rPr>
        <w:t>从决算单位构成看，信阳市浉河区审计局部门决算</w:t>
      </w:r>
      <w:r>
        <w:rPr>
          <w:rFonts w:hint="eastAsia" w:ascii="仿宋_GB2312" w:hAnsi="仿宋_GB2312" w:eastAsia="仿宋_GB2312" w:cs="仿宋_GB2312"/>
          <w:color w:val="000000"/>
          <w:kern w:val="0"/>
          <w:sz w:val="32"/>
          <w:szCs w:val="32"/>
          <w:lang w:eastAsia="zh-CN"/>
        </w:rPr>
        <w:t>公开的是</w:t>
      </w:r>
      <w:r>
        <w:rPr>
          <w:rFonts w:hint="eastAsia" w:ascii="仿宋_GB2312" w:hAnsi="仿宋_GB2312" w:eastAsia="仿宋_GB2312" w:cs="仿宋_GB2312"/>
          <w:color w:val="000000"/>
          <w:kern w:val="0"/>
          <w:sz w:val="32"/>
          <w:szCs w:val="32"/>
        </w:rPr>
        <w:t>信阳市浉河区审计局</w:t>
      </w:r>
      <w:r>
        <w:rPr>
          <w:rFonts w:hint="eastAsia" w:ascii="仿宋_GB2312" w:hAnsi="仿宋_GB2312" w:eastAsia="仿宋_GB2312" w:cs="仿宋_GB2312"/>
          <w:color w:val="000000"/>
          <w:sz w:val="32"/>
          <w:szCs w:val="32"/>
        </w:rPr>
        <w:t>本级。</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第二部分</w:t>
      </w:r>
    </w:p>
    <w:p>
      <w:pPr>
        <w:jc w:val="center"/>
        <w:rPr>
          <w:rFonts w:hint="eastAsia" w:ascii="黑体" w:hAnsi="黑体" w:eastAsia="黑体" w:cs="黑体"/>
          <w:sz w:val="48"/>
          <w:szCs w:val="48"/>
          <w:lang w:eastAsia="zh-CN"/>
        </w:rPr>
      </w:pPr>
      <w:r>
        <w:rPr>
          <w:rFonts w:hint="eastAsia" w:ascii="黑体" w:hAnsi="黑体" w:eastAsia="黑体" w:cs="黑体"/>
          <w:sz w:val="48"/>
          <w:szCs w:val="48"/>
        </w:rPr>
        <w:t>信阳市浉河区</w:t>
      </w:r>
      <w:r>
        <w:rPr>
          <w:rFonts w:hint="eastAsia" w:ascii="黑体" w:hAnsi="黑体" w:eastAsia="黑体" w:cs="黑体"/>
          <w:sz w:val="48"/>
          <w:szCs w:val="48"/>
          <w:lang w:eastAsia="zh-CN"/>
        </w:rPr>
        <w:t>审计局</w:t>
      </w:r>
    </w:p>
    <w:p>
      <w:pPr>
        <w:widowControl/>
        <w:jc w:val="center"/>
        <w:rPr>
          <w:rFonts w:hint="eastAsia" w:ascii="黑体" w:hAnsi="黑体" w:eastAsia="黑体" w:cs="黑体"/>
          <w:sz w:val="48"/>
          <w:szCs w:val="48"/>
        </w:rPr>
      </w:pPr>
      <w:r>
        <w:rPr>
          <w:rFonts w:hint="eastAsia" w:ascii="黑体" w:hAnsi="黑体" w:eastAsia="黑体" w:cs="黑体"/>
          <w:sz w:val="48"/>
          <w:szCs w:val="48"/>
        </w:rPr>
        <w:t>2019年度部门决算情况说明</w:t>
      </w:r>
    </w:p>
    <w:p>
      <w:pPr>
        <w:widowControl/>
        <w:jc w:val="left"/>
        <w:rPr>
          <w:rFonts w:hint="eastAsia" w:ascii="黑体" w:hAnsi="黑体" w:eastAsia="黑体" w:cs="黑体"/>
          <w:sz w:val="48"/>
          <w:szCs w:val="48"/>
        </w:rPr>
        <w:sectPr>
          <w:pgSz w:w="11906" w:h="16838"/>
          <w:pgMar w:top="1440" w:right="1800" w:bottom="1440" w:left="1800" w:header="720" w:footer="720" w:gutter="0"/>
          <w:cols w:space="720" w:num="1"/>
          <w:docGrid w:type="lines" w:linePitch="312" w:charSpace="0"/>
        </w:sect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color w:val="000000"/>
          <w:sz w:val="32"/>
          <w:szCs w:val="32"/>
        </w:rPr>
      </w:pPr>
      <w:r>
        <w:rPr>
          <w:rFonts w:hint="eastAsia" w:ascii="仿宋_GB2312" w:hAnsi="仿宋_GB2312" w:eastAsia="仿宋_GB2312" w:cs="仿宋_GB2312"/>
          <w:sz w:val="32"/>
          <w:szCs w:val="32"/>
        </w:rPr>
        <w:t>2019年度收、支总计均为689.64万元。与上年度相比，收、支总计各</w:t>
      </w:r>
      <w:r>
        <w:rPr>
          <w:rFonts w:hint="eastAsia" w:ascii="仿宋_GB2312" w:hAnsi="仿宋_GB2312" w:eastAsia="仿宋_GB2312" w:cs="仿宋_GB2312"/>
          <w:color w:val="000000"/>
          <w:sz w:val="32"/>
          <w:szCs w:val="32"/>
        </w:rPr>
        <w:t>增加221.64</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rPr>
        <w:t>，增长49%。主要原因是全省交叉审计项目上下年度各一个，时间长、人员多，审计外聘机构、人员增多、需要经费随之加大。</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2019年度收入合计685.8万元，其中：财政拨款收入685.8万元，占100%。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2019年度支出合计625.62万元，其中：基本支出625.62万元，占100%。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2019年度财政拨款收、支总计均为689.64万元。与上年度相比，财政拨款收、支</w:t>
      </w:r>
      <w:r>
        <w:rPr>
          <w:rFonts w:hint="eastAsia" w:ascii="仿宋_GB2312" w:hAnsi="仿宋_GB2312" w:eastAsia="仿宋_GB2312" w:cs="仿宋_GB2312"/>
          <w:color w:val="000000"/>
          <w:sz w:val="32"/>
          <w:szCs w:val="32"/>
        </w:rPr>
        <w:t>总计各221.64</w:t>
      </w:r>
      <w:r>
        <w:rPr>
          <w:rFonts w:hint="eastAsia" w:ascii="仿宋_GB2312" w:hAnsi="仿宋_GB2312" w:eastAsia="仿宋_GB2312" w:cs="仿宋_GB2312"/>
          <w:color w:val="000000"/>
          <w:sz w:val="32"/>
          <w:szCs w:val="32"/>
          <w:lang w:eastAsia="zh-CN"/>
        </w:rPr>
        <w:t>万元</w:t>
      </w:r>
      <w:r>
        <w:rPr>
          <w:rFonts w:hint="eastAsia" w:ascii="仿宋_GB2312" w:hAnsi="仿宋_GB2312" w:eastAsia="仿宋_GB2312" w:cs="仿宋_GB2312"/>
          <w:color w:val="000000"/>
          <w:sz w:val="32"/>
          <w:szCs w:val="32"/>
        </w:rPr>
        <w:t>，增长49%。主要原因是全省交叉审计项目上下年度各一个，时间长、人员多，审计外聘机构、人员增多、需要经费随之加大。</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2019年度一般公共预算财政拨款支出625.62万元，占本年支出合计的100%。与上年度相比，一</w:t>
      </w:r>
      <w:r>
        <w:rPr>
          <w:rFonts w:hint="eastAsia" w:ascii="仿宋_GB2312" w:hAnsi="仿宋_GB2312" w:eastAsia="仿宋_GB2312" w:cs="仿宋_GB2312"/>
          <w:color w:val="000000"/>
          <w:sz w:val="32"/>
          <w:szCs w:val="32"/>
        </w:rPr>
        <w:t>般公共预算财政拨款支出增加215.39万元，增长</w:t>
      </w:r>
      <w:bookmarkStart w:id="0" w:name="_GoBack"/>
      <w:bookmarkEnd w:id="0"/>
      <w:r>
        <w:rPr>
          <w:rFonts w:hint="eastAsia" w:ascii="仿宋_GB2312" w:hAnsi="仿宋_GB2312" w:eastAsia="仿宋_GB2312" w:cs="仿宋_GB2312"/>
          <w:color w:val="000000"/>
          <w:sz w:val="32"/>
          <w:szCs w:val="32"/>
        </w:rPr>
        <w:t>52%。主要原因是单位人员车补、绩效工资等工资性支出加大，审计外聘费用增多。</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2019年度一般公共预算财政拨款支出625.62万元，主要用于以下方面：一般公共服务（类）支出600.26万元，占95.95%；社会保障和就业（类）支出5.34万元，占0.85%；住房保障（类）支出20.02万元，占3.2%。</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pPr>
      <w:r>
        <w:rPr>
          <w:rFonts w:hint="eastAsia" w:ascii="仿宋_GB2312" w:hAnsi="仿宋_GB2312" w:eastAsia="仿宋_GB2312" w:cs="仿宋_GB2312"/>
          <w:sz w:val="32"/>
          <w:szCs w:val="32"/>
        </w:rPr>
        <w:t>2019年度一般公共预算财政拨款支出年初预算为397.5万元，支出决算为625.62万元，完成年初预算的157.39%。其中：</w:t>
      </w:r>
    </w:p>
    <w:p>
      <w:pPr>
        <w:widowControl/>
        <w:spacing w:line="590" w:lineRule="exac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1．一般公共服务支出（类）审计事务（款）行政运行（项）。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000000"/>
          <w:sz w:val="32"/>
          <w:szCs w:val="32"/>
        </w:rPr>
        <w:t>360万</w:t>
      </w:r>
      <w:r>
        <w:rPr>
          <w:rFonts w:hint="eastAsia" w:ascii="仿宋_GB2312" w:hAnsi="仿宋_GB2312" w:eastAsia="仿宋_GB2312" w:cs="仿宋_GB2312"/>
          <w:sz w:val="32"/>
          <w:szCs w:val="32"/>
        </w:rPr>
        <w:t>元，支出决算为419.72万元，完成年初预算的</w:t>
      </w:r>
      <w:r>
        <w:rPr>
          <w:rFonts w:hint="eastAsia" w:ascii="仿宋_GB2312" w:hAnsi="仿宋_GB2312" w:eastAsia="仿宋_GB2312" w:cs="仿宋_GB2312"/>
          <w:color w:val="000000"/>
          <w:sz w:val="32"/>
          <w:szCs w:val="32"/>
        </w:rPr>
        <w:t>116%。决算数与年初预算数存在差异的主要原因是全省交叉审计项目上下年度各一个，时间长、任务重，审计力量不足、临时性审计项目多、需要经费随之加大。</w:t>
      </w:r>
    </w:p>
    <w:p>
      <w:pPr>
        <w:widowControl/>
        <w:spacing w:line="590" w:lineRule="exac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2．一般公共服务支出（类）审计事务（款）审计业务（项）。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sz w:val="32"/>
          <w:szCs w:val="32"/>
        </w:rPr>
        <w:t>万元，支出决算为27.97万元，完成年初预算的</w:t>
      </w:r>
      <w:r>
        <w:rPr>
          <w:rFonts w:hint="eastAsia" w:ascii="仿宋_GB2312" w:hAnsi="仿宋_GB2312" w:eastAsia="仿宋_GB2312" w:cs="仿宋_GB2312"/>
          <w:color w:val="000000"/>
          <w:sz w:val="32"/>
          <w:szCs w:val="32"/>
        </w:rPr>
        <w:t>139%。决算数与年初预算数存在差异的主要原因是国家、省、市规定的项目一般较大、要求时间紧、范围广，县区本级临时行项目、审计调查量非常大。。</w:t>
      </w:r>
    </w:p>
    <w:p>
      <w:pPr>
        <w:widowControl/>
        <w:spacing w:line="590" w:lineRule="exac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3．一般公共服务支出（类）审计事务（款）事业运行（项）。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000000"/>
          <w:sz w:val="32"/>
          <w:szCs w:val="32"/>
        </w:rPr>
        <w:t>120</w:t>
      </w:r>
      <w:r>
        <w:rPr>
          <w:rFonts w:hint="eastAsia" w:ascii="仿宋_GB2312" w:hAnsi="仿宋_GB2312" w:eastAsia="仿宋_GB2312" w:cs="仿宋_GB2312"/>
          <w:sz w:val="32"/>
          <w:szCs w:val="32"/>
        </w:rPr>
        <w:t>万元，支出决算为152.57万元，完成年初预算的</w:t>
      </w:r>
      <w:r>
        <w:rPr>
          <w:rFonts w:hint="eastAsia" w:ascii="仿宋_GB2312" w:hAnsi="仿宋_GB2312" w:eastAsia="仿宋_GB2312" w:cs="仿宋_GB2312"/>
          <w:color w:val="000000"/>
          <w:sz w:val="32"/>
          <w:szCs w:val="32"/>
        </w:rPr>
        <w:t>127%。决算数与年初预算数存在差异的主要原因是审计项目多、要求专业人员、审计力量不足需要外聘，审计信息化建设投入不断加大。</w:t>
      </w:r>
    </w:p>
    <w:p>
      <w:pPr>
        <w:widowControl/>
        <w:spacing w:line="590" w:lineRule="exact"/>
        <w:ind w:firstLine="643"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b/>
          <w:bCs/>
          <w:sz w:val="32"/>
          <w:szCs w:val="32"/>
        </w:rPr>
        <w:t>4．社会保障和就业支出（类）行政事业单位离退休（款） 归口管理的行政单位离退休（项）。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000000"/>
          <w:sz w:val="32"/>
          <w:szCs w:val="32"/>
        </w:rPr>
        <w:t>2.6</w:t>
      </w:r>
      <w:r>
        <w:rPr>
          <w:rFonts w:hint="eastAsia" w:ascii="仿宋_GB2312" w:hAnsi="仿宋_GB2312" w:eastAsia="仿宋_GB2312" w:cs="仿宋_GB2312"/>
          <w:sz w:val="32"/>
          <w:szCs w:val="32"/>
        </w:rPr>
        <w:t>万元，支出决算为5.34万元，完成年初预算的</w:t>
      </w:r>
      <w:r>
        <w:rPr>
          <w:rFonts w:hint="eastAsia" w:ascii="仿宋_GB2312" w:hAnsi="仿宋_GB2312" w:eastAsia="仿宋_GB2312" w:cs="仿宋_GB2312"/>
          <w:color w:val="000000"/>
          <w:sz w:val="32"/>
          <w:szCs w:val="32"/>
        </w:rPr>
        <w:t>205</w:t>
      </w:r>
      <w:r>
        <w:rPr>
          <w:rFonts w:hint="eastAsia" w:ascii="仿宋_GB2312" w:hAnsi="仿宋_GB2312" w:eastAsia="仿宋_GB2312" w:cs="仿宋_GB2312"/>
          <w:sz w:val="32"/>
          <w:szCs w:val="32"/>
        </w:rPr>
        <w:t>%。决</w:t>
      </w:r>
      <w:r>
        <w:rPr>
          <w:rFonts w:hint="eastAsia" w:ascii="仿宋_GB2312" w:hAnsi="仿宋_GB2312" w:eastAsia="仿宋_GB2312" w:cs="仿宋_GB2312"/>
          <w:color w:val="000000"/>
          <w:sz w:val="32"/>
          <w:szCs w:val="32"/>
        </w:rPr>
        <w:t>算数与年初预算数存在差异的主要原因是遗属补助标准提高及老干部慰问。</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5．住房保障支出（类）住房改革支出（款）住房公积金（项）。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sz w:val="32"/>
          <w:szCs w:val="32"/>
        </w:rPr>
        <w:t>万元，支出决算为20.02万元，完成年初预算的</w:t>
      </w:r>
      <w:r>
        <w:rPr>
          <w:rFonts w:hint="eastAsia" w:ascii="仿宋_GB2312" w:hAnsi="仿宋_GB2312" w:eastAsia="仿宋_GB2312" w:cs="仿宋_GB2312"/>
          <w:color w:val="000000"/>
          <w:sz w:val="32"/>
          <w:szCs w:val="32"/>
        </w:rPr>
        <w:t>100</w:t>
      </w:r>
      <w:r>
        <w:rPr>
          <w:rFonts w:hint="eastAsia" w:ascii="仿宋_GB2312" w:hAnsi="仿宋_GB2312" w:eastAsia="仿宋_GB2312" w:cs="仿宋_GB2312"/>
          <w:sz w:val="32"/>
          <w:szCs w:val="32"/>
        </w:rPr>
        <w:t>%。决</w:t>
      </w:r>
      <w:r>
        <w:rPr>
          <w:rFonts w:hint="eastAsia" w:ascii="仿宋_GB2312" w:hAnsi="仿宋_GB2312" w:eastAsia="仿宋_GB2312" w:cs="仿宋_GB2312"/>
          <w:color w:val="000000"/>
          <w:sz w:val="32"/>
          <w:szCs w:val="32"/>
        </w:rPr>
        <w:t>算数与年初预算数存在差异的主要原因是单位人员和工资没有大幅变动。</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一般公共预算财政拨款基本支出625.62万元。其中：人员经费449.55万元，主要包括：基本工资、津贴补贴、奖金、绩效工资、机关事业单位基本养老保险缴费、职业年金缴费、其他社会保障缴费、其他工资福利支出、职工基本医疗保险缴费、住房公积金、生活补助；公用经费176.07万元，主要包括：办公费、印刷费、水费、电费、邮电费、差旅费、公务接待费、劳务费、委托业务费、工会经费、其他交通费用、其他商品和服务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七、一般公共预算财政拨款“三公”经费支出决算情况说明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（一）“三公”经费财政拨款支出决算总体情况说明。</w:t>
      </w:r>
    </w:p>
    <w:p>
      <w:pPr>
        <w:widowControl/>
        <w:spacing w:line="590"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2019年度“三公”经费财政拨款支出预</w:t>
      </w:r>
      <w:r>
        <w:rPr>
          <w:rFonts w:hint="eastAsia" w:ascii="仿宋_GB2312" w:hAnsi="仿宋_GB2312" w:eastAsia="仿宋_GB2312" w:cs="仿宋_GB2312"/>
          <w:color w:val="auto"/>
          <w:sz w:val="32"/>
          <w:szCs w:val="32"/>
        </w:rPr>
        <w:t>算为</w:t>
      </w:r>
      <w:r>
        <w:rPr>
          <w:rFonts w:hint="eastAsia" w:ascii="仿宋_GB2312" w:hAnsi="仿宋_GB2312" w:eastAsia="仿宋_GB2312" w:cs="仿宋_GB2312"/>
          <w:b w:val="0"/>
          <w:bCs w:val="0"/>
          <w:color w:val="auto"/>
          <w:sz w:val="32"/>
          <w:szCs w:val="32"/>
        </w:rPr>
        <w:t>2.2万元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支出决算为2万元，完成预算的</w:t>
      </w:r>
      <w:r>
        <w:rPr>
          <w:rFonts w:hint="eastAsia" w:ascii="仿宋_GB2312" w:hAnsi="仿宋_GB2312" w:eastAsia="仿宋_GB2312" w:cs="仿宋_GB2312"/>
          <w:color w:val="000000"/>
          <w:sz w:val="32"/>
          <w:szCs w:val="32"/>
        </w:rPr>
        <w:t>90</w:t>
      </w:r>
      <w:r>
        <w:rPr>
          <w:rFonts w:hint="eastAsia" w:ascii="仿宋_GB2312" w:hAnsi="仿宋_GB2312" w:eastAsia="仿宋_GB2312" w:cs="仿宋_GB2312"/>
          <w:sz w:val="32"/>
          <w:szCs w:val="32"/>
        </w:rPr>
        <w:t>%。2019年度“三公”经费支出决算数与预算数存在差异的主要原因</w:t>
      </w:r>
      <w:r>
        <w:rPr>
          <w:rFonts w:hint="eastAsia" w:ascii="仿宋_GB2312" w:hAnsi="仿宋_GB2312" w:eastAsia="仿宋_GB2312" w:cs="仿宋_GB2312"/>
          <w:color w:val="000000"/>
          <w:sz w:val="32"/>
          <w:szCs w:val="32"/>
        </w:rPr>
        <w:t>单位按照规定严格公务接待支出，杜绝公款吃喝.</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（二）“三公”经费财政拨款支出决算具体情况说明。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2019年度“三公”经费财政拨款支出决算中，因公出国（境）费支出决算0万元；公务用车购置及运行费支出决算0万元；公务接待费支出决算2万元，完成预算的</w:t>
      </w:r>
      <w:r>
        <w:rPr>
          <w:rFonts w:hint="eastAsia" w:ascii="仿宋_GB2312" w:hAnsi="仿宋_GB2312" w:eastAsia="仿宋_GB2312" w:cs="仿宋_GB2312"/>
          <w:color w:val="000000"/>
          <w:sz w:val="32"/>
          <w:szCs w:val="32"/>
        </w:rPr>
        <w:t>90</w:t>
      </w:r>
      <w:r>
        <w:rPr>
          <w:rFonts w:hint="eastAsia" w:ascii="仿宋_GB2312" w:hAnsi="仿宋_GB2312" w:eastAsia="仿宋_GB2312" w:cs="仿宋_GB2312"/>
          <w:sz w:val="32"/>
          <w:szCs w:val="32"/>
        </w:rPr>
        <w:t>%，占100%。具体情况如下：</w:t>
      </w:r>
    </w:p>
    <w:p>
      <w:pPr>
        <w:widowControl/>
        <w:spacing w:line="590" w:lineRule="exact"/>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rPr>
        <w:t>1．因公出国（境）费</w:t>
      </w:r>
      <w:r>
        <w:rPr>
          <w:rFonts w:hint="eastAsia" w:ascii="仿宋_GB2312" w:hAnsi="仿宋_GB2312" w:eastAsia="仿宋_GB2312" w:cs="仿宋_GB2312"/>
          <w:sz w:val="32"/>
          <w:szCs w:val="32"/>
        </w:rPr>
        <w:t>年初预算为0万元，支出决算为0万元。</w:t>
      </w:r>
      <w:r>
        <w:rPr>
          <w:rFonts w:hint="eastAsia" w:ascii="仿宋_GB2312" w:hAnsi="仿宋_GB2312" w:eastAsia="仿宋_GB2312" w:cs="仿宋_GB2312"/>
          <w:sz w:val="32"/>
          <w:szCs w:val="32"/>
          <w:u w:val="none"/>
        </w:rPr>
        <w:t>全年因公出国（境）团组0个，累计0人次</w:t>
      </w:r>
      <w:r>
        <w:rPr>
          <w:rStyle w:val="6"/>
          <w:rFonts w:hint="eastAsia" w:ascii="仿宋_GB2312" w:hAnsi="仿宋_GB2312" w:eastAsia="仿宋_GB2312" w:cs="仿宋_GB2312"/>
          <w:sz w:val="32"/>
          <w:szCs w:val="32"/>
          <w:u w:val="none"/>
        </w:rPr>
        <w:footnoteReference w:id="0"/>
      </w:r>
      <w:r>
        <w:rPr>
          <w:rFonts w:hint="eastAsia" w:ascii="仿宋_GB2312" w:hAnsi="仿宋_GB2312" w:eastAsia="仿宋_GB2312" w:cs="仿宋_GB2312"/>
          <w:sz w:val="32"/>
          <w:szCs w:val="32"/>
          <w:u w:val="none"/>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2．公务用车购置及运行费</w:t>
      </w:r>
      <w:r>
        <w:rPr>
          <w:rFonts w:hint="eastAsia" w:ascii="仿宋_GB2312" w:hAnsi="仿宋_GB2312" w:eastAsia="仿宋_GB2312" w:cs="仿宋_GB2312"/>
          <w:sz w:val="32"/>
          <w:szCs w:val="32"/>
          <w:u w:val="dotDash"/>
        </w:rPr>
        <w:t>年</w:t>
      </w:r>
      <w:r>
        <w:rPr>
          <w:rFonts w:hint="eastAsia" w:ascii="仿宋_GB2312" w:hAnsi="仿宋_GB2312" w:eastAsia="仿宋_GB2312" w:cs="仿宋_GB2312"/>
          <w:sz w:val="32"/>
          <w:szCs w:val="32"/>
        </w:rPr>
        <w:t>初预算为0万元，支出决算为0万元</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公务用车购置支出</w:t>
      </w:r>
      <w:r>
        <w:rPr>
          <w:rFonts w:hint="eastAsia" w:ascii="仿宋_GB2312" w:hAnsi="仿宋_GB2312" w:eastAsia="仿宋_GB2312" w:cs="仿宋_GB2312"/>
          <w:sz w:val="32"/>
          <w:szCs w:val="32"/>
        </w:rPr>
        <w:t>为0万元，购置车辆0辆。</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公务用车运行支出</w:t>
      </w:r>
      <w:r>
        <w:rPr>
          <w:rFonts w:hint="eastAsia" w:ascii="仿宋_GB2312" w:hAnsi="仿宋_GB2312" w:eastAsia="仿宋_GB2312" w:cs="仿宋_GB2312"/>
          <w:sz w:val="32"/>
          <w:szCs w:val="32"/>
        </w:rPr>
        <w:t>0万元。2019年期末，部门开支财政拨款的公务用车保有量为</w:t>
      </w:r>
      <w:r>
        <w:rPr>
          <w:rFonts w:hint="eastAsia" w:ascii="仿宋_GB2312" w:hAnsi="仿宋_GB2312" w:eastAsia="仿宋_GB2312" w:cs="仿宋_GB2312"/>
          <w:color w:val="000000"/>
          <w:sz w:val="32"/>
          <w:szCs w:val="32"/>
        </w:rPr>
        <w:t>0</w:t>
      </w:r>
      <w:r>
        <w:rPr>
          <w:rFonts w:hint="eastAsia" w:ascii="仿宋_GB2312" w:hAnsi="仿宋_GB2312" w:eastAsia="仿宋_GB2312" w:cs="仿宋_GB2312"/>
          <w:sz w:val="32"/>
          <w:szCs w:val="32"/>
        </w:rPr>
        <w:t>辆。</w:t>
      </w:r>
    </w:p>
    <w:p>
      <w:pPr>
        <w:widowControl/>
        <w:numPr>
          <w:ilvl w:val="0"/>
          <w:numId w:val="3"/>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公务接</w:t>
      </w:r>
      <w:r>
        <w:rPr>
          <w:rFonts w:hint="eastAsia" w:ascii="仿宋_GB2312" w:hAnsi="仿宋_GB2312" w:eastAsia="仿宋_GB2312" w:cs="仿宋_GB2312"/>
          <w:b/>
          <w:bCs/>
          <w:color w:val="auto"/>
          <w:sz w:val="32"/>
          <w:szCs w:val="32"/>
        </w:rPr>
        <w:t>待费</w:t>
      </w:r>
      <w:r>
        <w:rPr>
          <w:rFonts w:hint="eastAsia" w:ascii="仿宋_GB2312" w:hAnsi="仿宋_GB2312" w:eastAsia="仿宋_GB2312" w:cs="仿宋_GB2312"/>
          <w:color w:val="auto"/>
          <w:sz w:val="32"/>
          <w:szCs w:val="32"/>
          <w:u w:val="dotDash"/>
        </w:rPr>
        <w:t>年</w:t>
      </w:r>
      <w:r>
        <w:rPr>
          <w:rStyle w:val="6"/>
          <w:rFonts w:hint="eastAsia" w:ascii="仿宋_GB2312" w:hAnsi="仿宋_GB2312" w:eastAsia="仿宋_GB2312" w:cs="仿宋_GB2312"/>
          <w:color w:val="auto"/>
          <w:sz w:val="32"/>
          <w:szCs w:val="32"/>
          <w:u w:val="dotDash"/>
        </w:rPr>
        <w:footnoteReference w:id="1"/>
      </w:r>
      <w:r>
        <w:rPr>
          <w:rFonts w:hint="eastAsia" w:ascii="仿宋_GB2312" w:hAnsi="仿宋_GB2312" w:eastAsia="仿宋_GB2312" w:cs="仿宋_GB2312"/>
          <w:color w:val="auto"/>
          <w:sz w:val="32"/>
          <w:szCs w:val="32"/>
        </w:rPr>
        <w:t>初预算为2.2万元，支出决算为2万元，完成年初预算的</w:t>
      </w:r>
      <w:r>
        <w:rPr>
          <w:rFonts w:hint="eastAsia" w:ascii="仿宋_GB2312" w:hAnsi="仿宋_GB2312" w:eastAsia="仿宋_GB2312" w:cs="仿宋_GB2312"/>
          <w:color w:val="auto"/>
          <w:sz w:val="32"/>
          <w:szCs w:val="32"/>
          <w:lang w:val="en-US" w:eastAsia="zh-CN"/>
        </w:rPr>
        <w:t>90</w:t>
      </w:r>
      <w:r>
        <w:rPr>
          <w:rFonts w:hint="eastAsia" w:ascii="仿宋_GB2312" w:hAnsi="仿宋_GB2312" w:eastAsia="仿宋_GB2312" w:cs="仿宋_GB2312"/>
          <w:color w:val="auto"/>
          <w:sz w:val="32"/>
          <w:szCs w:val="32"/>
        </w:rPr>
        <w:t>%。决算数与年初预算数存在差异的主要原因是单位按照规定严</w:t>
      </w:r>
      <w:r>
        <w:rPr>
          <w:rFonts w:hint="eastAsia" w:ascii="仿宋_GB2312" w:hAnsi="仿宋_GB2312" w:eastAsia="仿宋_GB2312" w:cs="仿宋_GB2312"/>
          <w:color w:val="000000"/>
          <w:sz w:val="32"/>
          <w:szCs w:val="32"/>
        </w:rPr>
        <w:t>格公务接待支出，杜绝公款吃喝</w:t>
      </w:r>
      <w:r>
        <w:rPr>
          <w:rFonts w:hint="eastAsia" w:ascii="仿宋_GB2312" w:hAnsi="仿宋_GB2312" w:eastAsia="仿宋_GB2312" w:cs="仿宋_GB2312"/>
          <w:sz w:val="32"/>
          <w:szCs w:val="32"/>
        </w:rPr>
        <w:t>其中：</w:t>
      </w:r>
    </w:p>
    <w:p>
      <w:pPr>
        <w:widowControl/>
        <w:numPr>
          <w:ilvl w:val="0"/>
          <w:numId w:val="3"/>
        </w:numPr>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外宾接待支出</w:t>
      </w:r>
      <w:r>
        <w:rPr>
          <w:rFonts w:hint="eastAsia" w:ascii="仿宋_GB2312" w:hAnsi="仿宋_GB2312" w:eastAsia="仿宋_GB2312" w:cs="仿宋_GB2312"/>
          <w:sz w:val="32"/>
          <w:szCs w:val="32"/>
        </w:rPr>
        <w:t>0万元。2019年共接待国（境）外来访团组0个、来访外宾0人次（不包括陪同人员）。</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其他国内公务接待支出</w:t>
      </w:r>
      <w:r>
        <w:rPr>
          <w:rFonts w:hint="eastAsia" w:ascii="仿宋_GB2312" w:hAnsi="仿宋_GB2312" w:eastAsia="仿宋_GB2312" w:cs="仿宋_GB2312"/>
          <w:sz w:val="32"/>
          <w:szCs w:val="32"/>
        </w:rPr>
        <w:t>2万元。主要用</w:t>
      </w:r>
      <w:r>
        <w:rPr>
          <w:rFonts w:hint="eastAsia" w:ascii="仿宋_GB2312" w:hAnsi="仿宋_GB2312" w:eastAsia="仿宋_GB2312" w:cs="仿宋_GB2312"/>
          <w:color w:val="000000"/>
          <w:sz w:val="32"/>
          <w:szCs w:val="32"/>
        </w:rPr>
        <w:t>上级部门检查指导工作、外地部门来学习。</w:t>
      </w:r>
      <w:r>
        <w:rPr>
          <w:rFonts w:hint="eastAsia" w:ascii="仿宋_GB2312" w:hAnsi="仿宋_GB2312" w:eastAsia="仿宋_GB2312" w:cs="仿宋_GB2312"/>
          <w:sz w:val="32"/>
          <w:szCs w:val="32"/>
        </w:rPr>
        <w:t>2019年共接待国内来访团组</w:t>
      </w:r>
      <w:r>
        <w:rPr>
          <w:rFonts w:hint="eastAsia" w:ascii="仿宋_GB2312" w:hAnsi="仿宋_GB2312" w:eastAsia="仿宋_GB2312" w:cs="仿宋_GB2312"/>
          <w:color w:val="FF0000"/>
          <w:sz w:val="32"/>
          <w:szCs w:val="32"/>
        </w:rPr>
        <w:t>0</w:t>
      </w:r>
      <w:r>
        <w:rPr>
          <w:rFonts w:hint="eastAsia" w:ascii="仿宋_GB2312" w:hAnsi="仿宋_GB2312" w:eastAsia="仿宋_GB2312" w:cs="仿宋_GB2312"/>
          <w:sz w:val="32"/>
          <w:szCs w:val="32"/>
        </w:rPr>
        <w:t>个、来宾</w:t>
      </w:r>
      <w:r>
        <w:rPr>
          <w:rFonts w:hint="eastAsia" w:ascii="仿宋_GB2312" w:hAnsi="仿宋_GB2312" w:eastAsia="仿宋_GB2312" w:cs="仿宋_GB2312"/>
          <w:color w:val="000000"/>
          <w:sz w:val="32"/>
          <w:szCs w:val="32"/>
        </w:rPr>
        <w:t>120</w:t>
      </w:r>
      <w:r>
        <w:rPr>
          <w:rFonts w:hint="eastAsia" w:ascii="仿宋_GB2312" w:hAnsi="仿宋_GB2312" w:eastAsia="仿宋_GB2312" w:cs="仿宋_GB2312"/>
          <w:sz w:val="32"/>
          <w:szCs w:val="32"/>
        </w:rPr>
        <w:t>人次（不包括陪同人员）。</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kinsoku w:val="0"/>
        <w:overflowPunct w:val="0"/>
        <w:autoSpaceDE w:val="0"/>
        <w:autoSpaceDN w:val="0"/>
        <w:adjustRightInd w:val="0"/>
        <w:snapToGrid w:val="0"/>
        <w:spacing w:line="360" w:lineRule="auto"/>
        <w:ind w:firstLine="320" w:firstLineChars="100"/>
        <w:rPr>
          <w:rFonts w:ascii="仿宋_GB2312" w:hAnsi="宋体" w:eastAsia="仿宋_GB2312" w:cs="Courier New"/>
          <w:sz w:val="32"/>
          <w:szCs w:val="32"/>
        </w:rPr>
      </w:pPr>
      <w:r>
        <w:rPr>
          <w:rFonts w:hint="eastAsia" w:ascii="仿宋_GB2312" w:hAnsi="宋体" w:eastAsia="仿宋_GB2312" w:cs="Courier New"/>
          <w:sz w:val="32"/>
          <w:szCs w:val="32"/>
        </w:rPr>
        <w:t>根据财政预算管理要求，信阳市浉河区审计局对2019年度一般公共预算项目支出全面开展绩效自评。其中，一级项目10个，二级项目15个，共涉及预算资金80万元，自评覆盖率达到100%。</w:t>
      </w:r>
    </w:p>
    <w:p>
      <w:pPr>
        <w:widowControl/>
        <w:spacing w:line="590" w:lineRule="exact"/>
        <w:ind w:firstLine="321" w:firstLineChars="1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320" w:firstLineChars="100"/>
        <w:rPr>
          <w:rFonts w:hint="eastAsia" w:ascii="仿宋_GB2312" w:hAnsi="仿宋_GB2312" w:eastAsia="仿宋_GB2312" w:cs="仿宋_GB2312"/>
          <w:sz w:val="32"/>
          <w:szCs w:val="32"/>
        </w:rPr>
      </w:pPr>
      <w:r>
        <w:rPr>
          <w:rFonts w:hint="eastAsia" w:ascii="仿宋_GB2312" w:hAnsi="宋体" w:eastAsia="仿宋_GB2312" w:cs="Courier New"/>
          <w:sz w:val="32"/>
          <w:szCs w:val="32"/>
        </w:rPr>
        <w:t>信阳市浉河区审计局在2019年度部门决算中增加“重大审计”项目绩效评价结果。根据2019年年初设定的绩效目标，“重大审计”项目自评得分为90分。发现的主要问题：1、审计资源有待优化、2、计算机审计作用没能发挥。下一步改进措施：</w:t>
      </w:r>
      <w:r>
        <w:rPr>
          <w:rFonts w:ascii="仿宋_GB2312" w:hAnsi="微软雅黑" w:eastAsia="仿宋_GB2312" w:cs="仿宋_GB2312"/>
          <w:sz w:val="32"/>
          <w:szCs w:val="32"/>
        </w:rPr>
        <w:t>整合全</w:t>
      </w:r>
      <w:r>
        <w:rPr>
          <w:rFonts w:hint="eastAsia" w:ascii="仿宋_GB2312" w:hAnsi="微软雅黑" w:eastAsia="仿宋_GB2312" w:cs="仿宋_GB2312"/>
          <w:sz w:val="32"/>
          <w:szCs w:val="32"/>
        </w:rPr>
        <w:t>区</w:t>
      </w:r>
      <w:r>
        <w:rPr>
          <w:rFonts w:ascii="仿宋_GB2312" w:hAnsi="微软雅黑" w:eastAsia="仿宋_GB2312" w:cs="仿宋_GB2312"/>
          <w:sz w:val="32"/>
          <w:szCs w:val="32"/>
        </w:rPr>
        <w:t>审计资源，建立行业审计人才数据库，根据项目需要和人员特长，从中合理抽调配置人员，充分发挥上下协同作战的整体优势。建立法律法规储备库，为行业审计提供相关法律法规支持</w:t>
      </w:r>
      <w:r>
        <w:rPr>
          <w:rFonts w:hint="eastAsia" w:ascii="仿宋_GB2312" w:hAnsi="微软雅黑" w:eastAsia="仿宋_GB2312" w:cs="仿宋_GB2312"/>
          <w:sz w:val="32"/>
          <w:szCs w:val="32"/>
        </w:rPr>
        <w:t>。积极加强计算机综合素质培训</w:t>
      </w:r>
      <w:r>
        <w:rPr>
          <w:rFonts w:hint="eastAsia" w:ascii="仿宋_GB2312" w:hAnsi="宋体" w:eastAsia="仿宋_GB2312" w:cs="Courier New"/>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我部门2019年度没有政府性基金收入，也没有使用政府性基金安排的支出。</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十、机关运行经费支出情况说明</w:t>
      </w:r>
    </w:p>
    <w:p>
      <w:pPr>
        <w:widowControl/>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2019年度机关运行经费</w:t>
      </w:r>
      <w:r>
        <w:rPr>
          <w:rFonts w:hint="eastAsia" w:ascii="仿宋_GB2312" w:hAnsi="仿宋_GB2312" w:eastAsia="仿宋_GB2312" w:cs="仿宋_GB2312"/>
          <w:sz w:val="32"/>
          <w:szCs w:val="32"/>
          <w:u w:val="dotDash"/>
        </w:rPr>
        <w:t>年</w:t>
      </w:r>
      <w:r>
        <w:rPr>
          <w:rStyle w:val="6"/>
          <w:rFonts w:hint="eastAsia" w:ascii="仿宋_GB2312" w:hAnsi="仿宋_GB2312" w:eastAsia="仿宋_GB2312" w:cs="仿宋_GB2312"/>
          <w:sz w:val="32"/>
          <w:szCs w:val="32"/>
          <w:u w:val="dotDash"/>
        </w:rPr>
        <w:footnoteReference w:id="2"/>
      </w:r>
      <w:r>
        <w:rPr>
          <w:rFonts w:hint="eastAsia" w:ascii="仿宋_GB2312" w:hAnsi="仿宋_GB2312" w:eastAsia="仿宋_GB2312" w:cs="仿宋_GB2312"/>
          <w:sz w:val="32"/>
          <w:szCs w:val="32"/>
        </w:rPr>
        <w:t>初预算为</w:t>
      </w:r>
      <w:r>
        <w:rPr>
          <w:rFonts w:hint="eastAsia" w:ascii="仿宋_GB2312" w:hAnsi="仿宋_GB2312" w:eastAsia="仿宋_GB2312" w:cs="仿宋_GB2312"/>
          <w:color w:val="000000"/>
          <w:sz w:val="32"/>
          <w:szCs w:val="32"/>
        </w:rPr>
        <w:t>110</w:t>
      </w:r>
      <w:r>
        <w:rPr>
          <w:rFonts w:hint="eastAsia" w:ascii="仿宋_GB2312" w:hAnsi="仿宋_GB2312" w:eastAsia="仿宋_GB2312" w:cs="仿宋_GB2312"/>
          <w:sz w:val="32"/>
          <w:szCs w:val="32"/>
        </w:rPr>
        <w:t>万元，支出决算为176.07万元，完成年初预算的</w:t>
      </w:r>
      <w:r>
        <w:rPr>
          <w:rFonts w:hint="eastAsia" w:ascii="仿宋_GB2312" w:hAnsi="仿宋_GB2312" w:eastAsia="仿宋_GB2312" w:cs="仿宋_GB2312"/>
          <w:color w:val="000000"/>
          <w:sz w:val="32"/>
          <w:szCs w:val="32"/>
        </w:rPr>
        <w:t>160</w:t>
      </w:r>
      <w:r>
        <w:rPr>
          <w:rFonts w:hint="eastAsia" w:ascii="仿宋_GB2312" w:hAnsi="仿宋_GB2312" w:eastAsia="仿宋_GB2312" w:cs="仿宋_GB2312"/>
          <w:sz w:val="32"/>
          <w:szCs w:val="32"/>
        </w:rPr>
        <w:t>%。决算数与年初预算数存在差异的主要</w:t>
      </w:r>
      <w:r>
        <w:rPr>
          <w:rFonts w:hint="eastAsia" w:ascii="仿宋_GB2312" w:hAnsi="仿宋_GB2312" w:eastAsia="仿宋_GB2312" w:cs="仿宋_GB2312"/>
          <w:color w:val="000000"/>
          <w:sz w:val="32"/>
          <w:szCs w:val="32"/>
        </w:rPr>
        <w:t>原因是文明单位创建开支和扶贫支出的增大。</w:t>
      </w:r>
    </w:p>
    <w:p>
      <w:pPr>
        <w:widowControl/>
        <w:spacing w:line="59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十一、政府采购支出情况说明</w:t>
      </w:r>
      <w:r>
        <w:rPr>
          <w:rFonts w:hint="eastAsia" w:ascii="仿宋_GB2312" w:hAnsi="仿宋_GB2312" w:eastAsia="仿宋_GB2312" w:cs="仿宋_GB2312"/>
          <w:sz w:val="32"/>
          <w:szCs w:val="32"/>
        </w:rPr>
        <w:t>2019年度政府采购支出总额0万元，其中：政府采购货物支出0万元、政府采购工程支出0万元、政府采购服务支出0万元。授予中小企业合同金额0万元，其中：授予小微企业合同金额0万元。</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黑体" w:hAnsi="宋体" w:eastAsia="黑体" w:cs="宋体"/>
          <w:kern w:val="0"/>
          <w:sz w:val="28"/>
          <w:szCs w:val="28"/>
        </w:rPr>
      </w:pPr>
      <w:r>
        <w:rPr>
          <w:rFonts w:hint="eastAsia" w:ascii="仿宋_GB2312" w:hAnsi="仿宋_GB2312" w:eastAsia="仿宋_GB2312" w:cs="仿宋_GB2312"/>
          <w:sz w:val="32"/>
          <w:szCs w:val="32"/>
        </w:rPr>
        <w:t>2019年期末，我部门共有车辆</w:t>
      </w:r>
      <w:r>
        <w:rPr>
          <w:rFonts w:hint="eastAsia" w:ascii="仿宋_GB2312" w:hAnsi="仿宋_GB2312" w:eastAsia="仿宋_GB2312" w:cs="仿宋_GB2312"/>
          <w:color w:val="000000"/>
          <w:sz w:val="32"/>
          <w:szCs w:val="32"/>
        </w:rPr>
        <w:t>0辆</w:t>
      </w:r>
      <w:r>
        <w:rPr>
          <w:rFonts w:hint="eastAsia" w:ascii="仿宋_GB2312" w:hAnsi="仿宋_GB2312" w:eastAsia="仿宋_GB2312" w:cs="仿宋_GB2312"/>
          <w:sz w:val="32"/>
          <w:szCs w:val="32"/>
        </w:rPr>
        <w:t>，其中：省级领导干部用车0辆、主要领导干部用车0辆、机要通信用车0辆、应急保障车0辆、执法执勤用车0辆、特种专业技术用车0辆、离退休干部用车0辆、其他用车0辆；单位价值50万元以上通用设备0台（套），单位价值100万元以上专用设备0台（套）。</w:t>
      </w: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widowControl/>
        <w:jc w:val="left"/>
        <w:rPr>
          <w:rFonts w:hint="eastAsia" w:ascii="黑体" w:hAnsi="宋体" w:eastAsia="黑体" w:cs="宋体"/>
          <w:kern w:val="0"/>
          <w:sz w:val="28"/>
          <w:szCs w:val="2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br w:type="page"/>
      </w: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r>
        <w:rPr>
          <w:rFonts w:hint="eastAsia" w:ascii="黑体" w:hAnsi="黑体" w:eastAsia="黑体" w:cs="黑体"/>
          <w:sz w:val="48"/>
          <w:szCs w:val="48"/>
        </w:rPr>
        <w:t>第</w:t>
      </w:r>
      <w:r>
        <w:rPr>
          <w:rFonts w:hint="eastAsia" w:ascii="黑体" w:hAnsi="黑体" w:eastAsia="黑体" w:cs="黑体"/>
          <w:sz w:val="48"/>
          <w:szCs w:val="48"/>
          <w:lang w:eastAsia="zh-CN"/>
        </w:rPr>
        <w:t>三</w:t>
      </w:r>
      <w:r>
        <w:rPr>
          <w:rFonts w:hint="eastAsia" w:ascii="黑体" w:hAnsi="黑体" w:eastAsia="黑体" w:cs="黑体"/>
          <w:sz w:val="48"/>
          <w:szCs w:val="48"/>
        </w:rPr>
        <w:t>部分  名词解释</w:t>
      </w:r>
    </w:p>
    <w:p>
      <w:pPr>
        <w:jc w:val="center"/>
        <w:rPr>
          <w:rFonts w:hint="eastAsia" w:ascii="黑体" w:hAnsi="黑体" w:eastAsia="黑体" w:cs="黑体"/>
          <w:sz w:val="48"/>
          <w:szCs w:val="48"/>
        </w:rPr>
      </w:pPr>
    </w:p>
    <w:p>
      <w:pPr>
        <w:jc w:val="center"/>
        <w:outlineLvl w:val="0"/>
        <w:rPr>
          <w:rFonts w:hint="eastAsia" w:ascii="黑体" w:hAnsi="黑体" w:eastAsia="黑体" w:cs="黑体"/>
          <w:sz w:val="48"/>
          <w:szCs w:val="48"/>
        </w:rPr>
        <w:sectPr>
          <w:pgSz w:w="11906" w:h="16838"/>
          <w:pgMar w:top="1440" w:right="1531" w:bottom="1440" w:left="1587" w:header="850" w:footer="992" w:gutter="0"/>
          <w:pgNumType w:fmt="numberInDash"/>
          <w:cols w:space="720" w:num="1"/>
          <w:docGrid w:type="lines" w:linePitch="317" w:charSpace="0"/>
        </w:sect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r>
        <w:rPr>
          <w:rFonts w:hint="eastAsia" w:ascii="仿宋_GB2312" w:hAnsi="仿宋_GB2312" w:eastAsia="仿宋_GB2312" w:cs="仿宋_GB2312"/>
          <w:sz w:val="32"/>
          <w:szCs w:val="32"/>
          <w:lang w:eastAsia="zh-CN"/>
        </w:rPr>
        <w:t>。</w:t>
      </w:r>
    </w:p>
    <w:p/>
    <w:p/>
    <w:p/>
    <w:p/>
    <w:p/>
    <w:p/>
    <w:p/>
    <w:p/>
    <w:p/>
    <w:p/>
    <w:p/>
    <w:p/>
    <w:p/>
    <w:p/>
    <w:p/>
    <w:p/>
    <w:p/>
    <w:p/>
    <w:p/>
    <w:p/>
    <w:p/>
    <w:p/>
    <w:p/>
    <w:p/>
    <w:p/>
    <w:p/>
    <w:p/>
    <w:p/>
    <w:p/>
    <w:p/>
    <w:p/>
    <w:p/>
    <w:p/>
    <w:p/>
    <w:p/>
    <w:p/>
    <w:p/>
    <w:p/>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sz w:val="48"/>
          <w:szCs w:val="48"/>
        </w:rPr>
      </w:pPr>
    </w:p>
    <w:p>
      <w:pPr>
        <w:jc w:val="center"/>
        <w:outlineLvl w:val="0"/>
        <w:rPr>
          <w:rFonts w:hint="eastAsia" w:ascii="黑体" w:hAnsi="黑体" w:eastAsia="黑体" w:cs="黑体"/>
          <w:color w:val="auto"/>
          <w:sz w:val="48"/>
          <w:szCs w:val="48"/>
        </w:rPr>
      </w:pPr>
      <w:r>
        <w:rPr>
          <w:rFonts w:hint="eastAsia" w:ascii="黑体" w:hAnsi="黑体" w:eastAsia="黑体" w:cs="黑体"/>
          <w:sz w:val="48"/>
          <w:szCs w:val="48"/>
        </w:rPr>
        <w:t>第四部分</w:t>
      </w:r>
      <w:r>
        <w:rPr>
          <w:rFonts w:hint="eastAsia" w:ascii="黑体" w:hAnsi="黑体" w:eastAsia="黑体" w:cs="黑体"/>
          <w:color w:val="auto"/>
          <w:sz w:val="48"/>
          <w:szCs w:val="48"/>
        </w:rPr>
        <w:t>（Excel表格）</w:t>
      </w:r>
    </w:p>
    <w:p>
      <w:pPr>
        <w:jc w:val="center"/>
        <w:outlineLvl w:val="0"/>
        <w:rPr>
          <w:rFonts w:hint="eastAsia" w:ascii="黑体" w:hAnsi="黑体" w:eastAsia="黑体" w:cs="黑体"/>
          <w:color w:val="auto"/>
          <w:sz w:val="48"/>
          <w:szCs w:val="48"/>
        </w:rPr>
      </w:pPr>
    </w:p>
    <w:p>
      <w:pPr>
        <w:jc w:val="center"/>
        <w:rPr>
          <w:rFonts w:hint="eastAsia" w:ascii="黑体" w:hAnsi="黑体" w:eastAsia="黑体" w:cs="黑体"/>
          <w:sz w:val="48"/>
          <w:szCs w:val="48"/>
        </w:rPr>
      </w:pPr>
      <w:r>
        <w:rPr>
          <w:rFonts w:hint="eastAsia" w:ascii="黑体" w:hAnsi="黑体" w:eastAsia="黑体" w:cs="黑体"/>
          <w:sz w:val="48"/>
          <w:szCs w:val="48"/>
        </w:rPr>
        <w:t>信阳市浉河区</w:t>
      </w:r>
      <w:r>
        <w:rPr>
          <w:rFonts w:hint="eastAsia" w:ascii="黑体" w:hAnsi="黑体" w:eastAsia="黑体" w:cs="黑体"/>
          <w:sz w:val="48"/>
          <w:szCs w:val="48"/>
          <w:lang w:eastAsia="zh-CN"/>
        </w:rPr>
        <w:t>审计局</w:t>
      </w:r>
      <w:r>
        <w:rPr>
          <w:rFonts w:hint="eastAsia" w:ascii="黑体" w:hAnsi="黑体" w:eastAsia="黑体" w:cs="黑体"/>
          <w:sz w:val="48"/>
          <w:szCs w:val="48"/>
        </w:rPr>
        <w:t>2019年度部门</w:t>
      </w:r>
    </w:p>
    <w:p>
      <w:pPr>
        <w:jc w:val="center"/>
        <w:rPr>
          <w:rFonts w:hint="eastAsia" w:ascii="黑体" w:hAnsi="黑体" w:eastAsia="黑体" w:cs="黑体"/>
          <w:sz w:val="48"/>
          <w:szCs w:val="48"/>
        </w:rPr>
      </w:pPr>
      <w:r>
        <w:rPr>
          <w:rFonts w:hint="eastAsia" w:ascii="黑体" w:hAnsi="黑体" w:eastAsia="黑体" w:cs="黑体"/>
          <w:sz w:val="48"/>
          <w:szCs w:val="48"/>
        </w:rPr>
        <w:t>决算公开表</w:t>
      </w:r>
    </w:p>
    <w:p>
      <w:pPr>
        <w:widowControl/>
        <w:jc w:val="left"/>
        <w:rPr>
          <w:rFonts w:hint="eastAsia" w:ascii="黑体" w:hAnsi="宋体" w:eastAsia="黑体" w:cs="宋体"/>
          <w:color w:val="000000"/>
          <w:kern w:val="0"/>
          <w:sz w:val="28"/>
          <w:szCs w:val="28"/>
        </w:rPr>
      </w:pPr>
    </w:p>
    <w:p/>
    <w:p/>
    <w:p/>
    <w:p/>
    <w:p/>
    <w:p/>
    <w:p/>
    <w:p/>
    <w:p/>
    <w:p/>
    <w:p/>
    <w:p>
      <w:pPr>
        <w:widowControl/>
        <w:jc w:val="left"/>
        <w:rPr>
          <w:rFonts w:hint="eastAsia" w:ascii="仿宋_GB2312" w:hAnsi="仿宋_GB2312" w:eastAsia="仿宋_GB2312" w:cs="仿宋_GB2312"/>
          <w:sz w:val="32"/>
          <w:szCs w:val="32"/>
        </w:rPr>
      </w:pPr>
      <w:r>
        <w:rPr>
          <w:rFonts w:hint="eastAsia" w:ascii="黑体" w:hAnsi="宋体" w:eastAsia="黑体" w:cs="宋体"/>
          <w:color w:val="000000"/>
          <w:kern w:val="0"/>
          <w:sz w:val="28"/>
          <w:szCs w:val="28"/>
        </w:rPr>
        <w:t>说明：表中单元格数据为空时，表示该单元格数据为零；整张表数据为空时，表示部门该表中所有数据均为零，当年无表中相关收支</w:t>
      </w:r>
      <w:r>
        <w:rPr>
          <w:rFonts w:hint="eastAsia" w:ascii="仿宋_GB2312" w:hAnsi="仿宋_GB2312" w:eastAsia="仿宋_GB2312" w:cs="仿宋_GB231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lang w:eastAsia="zh-CN"/>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- 25 -</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rPr>
                        <w:rFonts w:hint="eastAsi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3"/>
      </w:pPr>
    </w:p>
  </w:footnote>
  <w:footnote w:id="1">
    <w:p>
      <w:pPr>
        <w:pStyle w:val="3"/>
      </w:pPr>
    </w:p>
  </w:footnote>
  <w:footnote w:id="2">
    <w:p>
      <w:pPr>
        <w:pStyle w:val="3"/>
        <w:rPr>
          <w:u w:val="none"/>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C7F2C"/>
    <w:multiLevelType w:val="singleLevel"/>
    <w:tmpl w:val="D3BC7F2C"/>
    <w:lvl w:ilvl="0" w:tentative="0">
      <w:start w:val="3"/>
      <w:numFmt w:val="decimal"/>
      <w:lvlText w:val="%1."/>
      <w:lvlJc w:val="left"/>
      <w:pPr>
        <w:tabs>
          <w:tab w:val="left" w:pos="312"/>
        </w:tabs>
      </w:pPr>
    </w:lvl>
  </w:abstractNum>
  <w:abstractNum w:abstractNumId="1">
    <w:nsid w:val="4F5B0F6A"/>
    <w:multiLevelType w:val="multilevel"/>
    <w:tmpl w:val="4F5B0F6A"/>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6519E"/>
    <w:rsid w:val="01AF0C38"/>
    <w:rsid w:val="0CD03F57"/>
    <w:rsid w:val="17682289"/>
    <w:rsid w:val="20497363"/>
    <w:rsid w:val="25597C09"/>
    <w:rsid w:val="25776794"/>
    <w:rsid w:val="43487409"/>
    <w:rsid w:val="55771963"/>
    <w:rsid w:val="56E035C1"/>
    <w:rsid w:val="6ECA1B4D"/>
    <w:rsid w:val="79D45084"/>
    <w:rsid w:val="7A2B32F1"/>
    <w:rsid w:val="7A465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footnote text"/>
    <w:basedOn w:val="1"/>
    <w:unhideWhenUsed/>
    <w:qFormat/>
    <w:uiPriority w:val="99"/>
    <w:pPr>
      <w:snapToGrid w:val="0"/>
      <w:jc w:val="left"/>
    </w:pPr>
    <w:rPr>
      <w:sz w:val="18"/>
    </w:rPr>
  </w:style>
  <w:style w:type="character" w:styleId="6">
    <w:name w:val="footnote reference"/>
    <w:basedOn w:val="5"/>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2020-09-29T08:27:00Z</dcterms:created>
  <dc:creator>暮雨潇潇</dc:creator>
  <cp:lastModifiedBy>棒棒糖</cp:lastModifiedBy>
  <dcterms:modified xsi:type="dcterms:W3CDTF">2021-06-20T05:24:26Z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9EC5212405234210A90F3B2E6ADDE661</vt:lpwstr>
  </property>
</Properties>
</file>