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黑体" w:hAnsi="黑体" w:eastAsia="黑体" w:cs="黑体"/>
          <w:sz w:val="52"/>
          <w:szCs w:val="52"/>
        </w:rPr>
      </w:pPr>
      <w:r>
        <w:rPr>
          <w:rFonts w:hint="eastAsia" w:ascii="黑体" w:hAnsi="黑体" w:eastAsia="黑体" w:cs="黑体"/>
          <w:sz w:val="52"/>
          <w:szCs w:val="52"/>
        </w:rPr>
        <w:t>信阳市浉河区民政局</w:t>
      </w:r>
    </w:p>
    <w:p>
      <w:pPr>
        <w:jc w:val="center"/>
        <w:rPr>
          <w:rFonts w:ascii="黑体" w:hAnsi="黑体" w:eastAsia="黑体" w:cs="黑体"/>
          <w:sz w:val="52"/>
          <w:szCs w:val="52"/>
        </w:rPr>
      </w:pPr>
      <w:r>
        <w:rPr>
          <w:rFonts w:ascii="黑体" w:hAnsi="黑体" w:eastAsia="黑体" w:cs="黑体"/>
          <w:sz w:val="52"/>
          <w:szCs w:val="52"/>
        </w:rPr>
        <w:t>20</w:t>
      </w:r>
      <w:r>
        <w:rPr>
          <w:rFonts w:hint="eastAsia" w:ascii="黑体" w:hAnsi="黑体" w:eastAsia="黑体" w:cs="黑体"/>
          <w:sz w:val="52"/>
          <w:szCs w:val="52"/>
          <w:lang w:val="en-US" w:eastAsia="zh-CN"/>
        </w:rPr>
        <w:t>20</w:t>
      </w:r>
      <w:r>
        <w:rPr>
          <w:rFonts w:hint="eastAsia" w:ascii="黑体" w:hAnsi="黑体" w:eastAsia="黑体" w:cs="黑体"/>
          <w:sz w:val="52"/>
          <w:szCs w:val="52"/>
        </w:rPr>
        <w:t>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黑体" w:hAnsi="黑体" w:eastAsia="黑体" w:cs="黑体"/>
          <w:sz w:val="32"/>
          <w:szCs w:val="32"/>
        </w:rPr>
        <w:sectPr>
          <w:pgSz w:w="11906" w:h="16838"/>
          <w:pgMar w:top="1440" w:right="1800" w:bottom="1440" w:left="1800" w:header="851" w:footer="992" w:gutter="0"/>
          <w:pgNumType w:fmt="numberInDash" w:start="1"/>
          <w:cols w:space="425" w:num="1"/>
          <w:docGrid w:type="lines" w:linePitch="312" w:charSpace="0"/>
        </w:sectPr>
      </w:pPr>
      <w:r>
        <w:rPr>
          <w:rFonts w:ascii="黑体" w:hAnsi="黑体" w:eastAsia="黑体" w:cs="黑体"/>
          <w:sz w:val="32"/>
          <w:szCs w:val="32"/>
        </w:rPr>
        <w:t>202</w:t>
      </w:r>
      <w:r>
        <w:rPr>
          <w:rFonts w:hint="eastAsia" w:ascii="黑体" w:hAnsi="黑体" w:eastAsia="黑体" w:cs="黑体"/>
          <w:sz w:val="32"/>
          <w:szCs w:val="32"/>
          <w:lang w:val="en-US" w:eastAsia="zh-CN"/>
        </w:rPr>
        <w:t>1</w:t>
      </w:r>
      <w:r>
        <w:rPr>
          <w:rFonts w:hint="eastAsia" w:ascii="黑体" w:hAnsi="黑体" w:eastAsia="黑体" w:cs="黑体"/>
          <w:sz w:val="32"/>
          <w:szCs w:val="32"/>
        </w:rPr>
        <w:t>年</w:t>
      </w:r>
      <w:r>
        <w:rPr>
          <w:rFonts w:ascii="黑体" w:hAnsi="黑体" w:eastAsia="黑体" w:cs="黑体"/>
          <w:sz w:val="32"/>
          <w:szCs w:val="32"/>
        </w:rPr>
        <w:t>9</w:t>
      </w:r>
      <w:r>
        <w:rPr>
          <w:rFonts w:hint="eastAsia" w:ascii="黑体" w:hAnsi="黑体" w:eastAsia="黑体" w:cs="黑体"/>
          <w:sz w:val="32"/>
          <w:szCs w:val="32"/>
        </w:rPr>
        <w:t>月</w:t>
      </w:r>
    </w:p>
    <w:p>
      <w:pPr>
        <w:jc w:val="center"/>
        <w:rPr>
          <w:rFonts w:ascii="黑体" w:hAnsi="黑体" w:eastAsia="黑体" w:cs="黑体"/>
          <w:sz w:val="32"/>
          <w:szCs w:val="32"/>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浉河区民政局概况</w:t>
      </w:r>
    </w:p>
    <w:p>
      <w:pPr>
        <w:numPr>
          <w:ilvl w:val="0"/>
          <w:numId w:val="1"/>
        </w:numPr>
        <w:jc w:val="left"/>
        <w:rPr>
          <w:rFonts w:ascii="宋体" w:cs="宋体"/>
          <w:sz w:val="32"/>
          <w:szCs w:val="32"/>
        </w:rPr>
      </w:pPr>
      <w:r>
        <w:rPr>
          <w:rFonts w:hint="eastAsia" w:ascii="宋体" w:hAnsi="宋体" w:cs="宋体"/>
          <w:sz w:val="32"/>
          <w:szCs w:val="32"/>
        </w:rPr>
        <w:t>部门职责</w:t>
      </w:r>
    </w:p>
    <w:p>
      <w:pPr>
        <w:numPr>
          <w:ilvl w:val="0"/>
          <w:numId w:val="1"/>
        </w:numPr>
        <w:jc w:val="left"/>
        <w:rPr>
          <w:rFonts w:asci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ascii="黑体" w:hAnsi="黑体" w:eastAsia="黑体" w:cs="黑体"/>
          <w:sz w:val="32"/>
          <w:szCs w:val="32"/>
        </w:rPr>
        <w:t>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年度部门决算情况说明</w:t>
      </w:r>
    </w:p>
    <w:p>
      <w:pPr>
        <w:jc w:val="left"/>
        <w:rPr>
          <w:rFonts w:ascii="宋体" w:cs="宋体"/>
          <w:sz w:val="32"/>
          <w:szCs w:val="32"/>
        </w:rPr>
      </w:pPr>
      <w:r>
        <w:rPr>
          <w:rFonts w:hint="eastAsia" w:ascii="宋体" w:hAnsi="宋体" w:cs="宋体"/>
          <w:sz w:val="32"/>
          <w:szCs w:val="32"/>
        </w:rPr>
        <w:t>一、收入支出决算总体情况说明</w:t>
      </w:r>
    </w:p>
    <w:p>
      <w:pPr>
        <w:jc w:val="left"/>
        <w:rPr>
          <w:rFonts w:ascii="宋体" w:cs="宋体"/>
          <w:sz w:val="32"/>
          <w:szCs w:val="32"/>
        </w:rPr>
      </w:pPr>
      <w:r>
        <w:rPr>
          <w:rFonts w:hint="eastAsia" w:ascii="宋体" w:hAnsi="宋体" w:cs="宋体"/>
          <w:sz w:val="32"/>
          <w:szCs w:val="32"/>
        </w:rPr>
        <w:t>二、收入决算情况说明</w:t>
      </w:r>
    </w:p>
    <w:p>
      <w:pPr>
        <w:jc w:val="left"/>
        <w:rPr>
          <w:rFonts w:ascii="宋体" w:cs="宋体"/>
          <w:sz w:val="32"/>
          <w:szCs w:val="32"/>
        </w:rPr>
      </w:pPr>
      <w:r>
        <w:rPr>
          <w:rFonts w:hint="eastAsia" w:ascii="宋体" w:hAnsi="宋体" w:cs="宋体"/>
          <w:sz w:val="32"/>
          <w:szCs w:val="32"/>
        </w:rPr>
        <w:t>三、支出决算情况说明</w:t>
      </w:r>
    </w:p>
    <w:p>
      <w:pPr>
        <w:jc w:val="left"/>
        <w:rPr>
          <w:rFonts w:ascii="宋体" w:cs="宋体"/>
          <w:sz w:val="32"/>
          <w:szCs w:val="32"/>
        </w:rPr>
      </w:pPr>
      <w:r>
        <w:rPr>
          <w:rFonts w:hint="eastAsia" w:ascii="宋体" w:hAnsi="宋体" w:cs="宋体"/>
          <w:sz w:val="32"/>
          <w:szCs w:val="32"/>
        </w:rPr>
        <w:t>四、财政拨款收入支出决算总体情况说明</w:t>
      </w:r>
    </w:p>
    <w:p>
      <w:pPr>
        <w:jc w:val="left"/>
        <w:rPr>
          <w:rFonts w:ascii="宋体" w:cs="宋体"/>
          <w:sz w:val="32"/>
          <w:szCs w:val="32"/>
        </w:rPr>
      </w:pPr>
      <w:r>
        <w:rPr>
          <w:rFonts w:hint="eastAsia" w:ascii="宋体" w:hAnsi="宋体" w:cs="宋体"/>
          <w:sz w:val="32"/>
          <w:szCs w:val="32"/>
        </w:rPr>
        <w:t>五、一般公共预算财政拨款支出决算情况说明</w:t>
      </w:r>
    </w:p>
    <w:p>
      <w:pPr>
        <w:jc w:val="left"/>
        <w:rPr>
          <w:rFonts w:ascii="宋体" w:cs="宋体"/>
          <w:sz w:val="32"/>
          <w:szCs w:val="32"/>
        </w:rPr>
      </w:pPr>
      <w:r>
        <w:rPr>
          <w:rFonts w:hint="eastAsia" w:ascii="宋体" w:hAnsi="宋体" w:cs="宋体"/>
          <w:sz w:val="32"/>
          <w:szCs w:val="32"/>
        </w:rPr>
        <w:t>六、一般公共预算财政拨款基本支出决算情况说明</w:t>
      </w:r>
    </w:p>
    <w:p>
      <w:pPr>
        <w:jc w:val="left"/>
        <w:rPr>
          <w:rFonts w:ascii="宋体" w:cs="宋体"/>
          <w:sz w:val="32"/>
          <w:szCs w:val="32"/>
        </w:rPr>
      </w:pPr>
      <w:r>
        <w:rPr>
          <w:rFonts w:hint="eastAsia" w:ascii="宋体" w:hAnsi="宋体" w:cs="宋体"/>
          <w:sz w:val="32"/>
          <w:szCs w:val="32"/>
        </w:rPr>
        <w:t>七、一般公共预算财政拨款“三公”经费支出决算情况说明</w:t>
      </w:r>
    </w:p>
    <w:p>
      <w:pPr>
        <w:jc w:val="left"/>
        <w:rPr>
          <w:rFonts w:ascii="宋体" w:cs="宋体"/>
          <w:sz w:val="32"/>
          <w:szCs w:val="32"/>
        </w:rPr>
      </w:pPr>
      <w:r>
        <w:rPr>
          <w:rFonts w:hint="eastAsia" w:ascii="宋体" w:hAnsi="宋体" w:cs="宋体"/>
          <w:sz w:val="32"/>
          <w:szCs w:val="32"/>
        </w:rPr>
        <w:t>八、预算绩效情况说明</w:t>
      </w:r>
    </w:p>
    <w:p>
      <w:pPr>
        <w:jc w:val="left"/>
        <w:rPr>
          <w:rFonts w:ascii="宋体" w:cs="宋体"/>
          <w:sz w:val="32"/>
          <w:szCs w:val="32"/>
        </w:rPr>
      </w:pPr>
      <w:r>
        <w:rPr>
          <w:rFonts w:hint="eastAsia" w:ascii="宋体" w:hAnsi="宋体" w:cs="宋体"/>
          <w:sz w:val="32"/>
          <w:szCs w:val="32"/>
        </w:rPr>
        <w:t>九、政府性基金预算财政拨款支出决算情况说明</w:t>
      </w:r>
    </w:p>
    <w:p>
      <w:pPr>
        <w:jc w:val="left"/>
        <w:rPr>
          <w:rFonts w:hint="eastAsia" w:ascii="宋体" w:hAnsi="宋体" w:cs="宋体"/>
          <w:sz w:val="32"/>
          <w:szCs w:val="32"/>
        </w:rPr>
      </w:pPr>
      <w:r>
        <w:rPr>
          <w:rFonts w:hint="eastAsia" w:ascii="宋体" w:hAnsi="宋体" w:cs="宋体"/>
          <w:sz w:val="32"/>
          <w:szCs w:val="32"/>
        </w:rPr>
        <w:t>十、国有资本经营预算收支决算情况说明</w:t>
      </w:r>
    </w:p>
    <w:p>
      <w:pPr>
        <w:jc w:val="left"/>
        <w:rPr>
          <w:rFonts w:hint="eastAsia" w:ascii="宋体" w:hAnsi="宋体" w:cs="宋体"/>
          <w:sz w:val="32"/>
          <w:szCs w:val="32"/>
        </w:rPr>
      </w:pPr>
      <w:r>
        <w:rPr>
          <w:rFonts w:hint="eastAsia" w:ascii="宋体" w:hAnsi="宋体" w:cs="宋体"/>
          <w:sz w:val="32"/>
          <w:szCs w:val="32"/>
        </w:rPr>
        <w:t>十一、机关运行经费支出情况说明</w:t>
      </w:r>
    </w:p>
    <w:p>
      <w:pPr>
        <w:jc w:val="left"/>
        <w:rPr>
          <w:rFonts w:hint="eastAsia" w:ascii="宋体" w:hAnsi="宋体" w:cs="宋体"/>
          <w:sz w:val="32"/>
          <w:szCs w:val="32"/>
        </w:rPr>
      </w:pPr>
      <w:r>
        <w:rPr>
          <w:rFonts w:hint="eastAsia" w:ascii="宋体" w:hAnsi="宋体" w:cs="宋体"/>
          <w:sz w:val="32"/>
          <w:szCs w:val="32"/>
        </w:rPr>
        <w:t>十二、政府采购支出情况说明</w:t>
      </w:r>
    </w:p>
    <w:p>
      <w:pPr>
        <w:jc w:val="left"/>
        <w:rPr>
          <w:rFonts w:hint="eastAsia" w:ascii="宋体" w:hAnsi="宋体" w:cs="宋体"/>
          <w:sz w:val="32"/>
          <w:szCs w:val="32"/>
        </w:rPr>
      </w:pPr>
      <w:r>
        <w:rPr>
          <w:rFonts w:hint="eastAsia" w:ascii="宋体" w:hAnsi="宋体" w:cs="宋体"/>
          <w:sz w:val="32"/>
          <w:szCs w:val="32"/>
        </w:rPr>
        <w:t>十三、国有资产占用情况说明</w:t>
      </w:r>
    </w:p>
    <w:p>
      <w:pPr>
        <w:jc w:val="left"/>
        <w:rPr>
          <w:rFonts w:ascii="黑体" w:hAnsi="黑体" w:eastAsia="黑体" w:cs="黑体"/>
          <w:sz w:val="32"/>
          <w:szCs w:val="32"/>
        </w:rPr>
      </w:pPr>
      <w:r>
        <w:rPr>
          <w:rFonts w:hint="eastAsia" w:ascii="黑体" w:hAnsi="黑体" w:eastAsia="黑体" w:cs="黑体"/>
          <w:sz w:val="32"/>
          <w:szCs w:val="32"/>
        </w:rPr>
        <w:t>第三部分　　名词解释</w:t>
      </w:r>
    </w:p>
    <w:p>
      <w:pPr>
        <w:jc w:val="left"/>
        <w:rPr>
          <w:rFonts w:ascii="黑体" w:hAnsi="黑体" w:eastAsia="黑体" w:cs="黑体"/>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年度部门决算表（</w:t>
      </w:r>
      <w:r>
        <w:rPr>
          <w:rFonts w:ascii="黑体" w:hAnsi="黑体" w:eastAsia="黑体" w:cs="黑体"/>
          <w:sz w:val="32"/>
          <w:szCs w:val="32"/>
        </w:rPr>
        <w:t>Excel</w:t>
      </w:r>
      <w:r>
        <w:rPr>
          <w:rFonts w:hint="eastAsia" w:ascii="黑体" w:hAnsi="黑体" w:eastAsia="黑体" w:cs="黑体"/>
          <w:sz w:val="32"/>
          <w:szCs w:val="32"/>
        </w:rPr>
        <w:t>表格形式）</w:t>
      </w:r>
    </w:p>
    <w:p>
      <w:pPr>
        <w:ind w:firstLine="640" w:firstLineChars="200"/>
        <w:jc w:val="left"/>
        <w:rPr>
          <w:rFonts w:ascii="宋体" w:cs="宋体"/>
          <w:sz w:val="32"/>
          <w:szCs w:val="32"/>
        </w:rPr>
      </w:pPr>
      <w:r>
        <w:rPr>
          <w:rFonts w:hint="eastAsia" w:ascii="宋体" w:hAnsi="宋体" w:cs="宋体"/>
          <w:sz w:val="32"/>
          <w:szCs w:val="32"/>
        </w:rPr>
        <w:t>一、收入支出决算总表</w:t>
      </w:r>
    </w:p>
    <w:p>
      <w:pPr>
        <w:ind w:firstLine="640" w:firstLineChars="200"/>
        <w:jc w:val="left"/>
        <w:rPr>
          <w:rFonts w:ascii="宋体" w:cs="宋体"/>
          <w:sz w:val="32"/>
          <w:szCs w:val="32"/>
        </w:rPr>
      </w:pPr>
      <w:r>
        <w:rPr>
          <w:rFonts w:hint="eastAsia" w:ascii="宋体" w:hAnsi="宋体" w:cs="宋体"/>
          <w:sz w:val="32"/>
          <w:szCs w:val="32"/>
        </w:rPr>
        <w:t>二、收入决算表</w:t>
      </w:r>
    </w:p>
    <w:p>
      <w:pPr>
        <w:ind w:firstLine="640" w:firstLineChars="200"/>
        <w:jc w:val="left"/>
        <w:rPr>
          <w:rFonts w:ascii="宋体" w:cs="宋体"/>
          <w:sz w:val="32"/>
          <w:szCs w:val="32"/>
        </w:rPr>
      </w:pPr>
      <w:r>
        <w:rPr>
          <w:rFonts w:hint="eastAsia" w:ascii="宋体" w:hAnsi="宋体" w:cs="宋体"/>
          <w:sz w:val="32"/>
          <w:szCs w:val="32"/>
        </w:rPr>
        <w:t>三、支出决算表</w:t>
      </w:r>
    </w:p>
    <w:p>
      <w:pPr>
        <w:ind w:firstLine="640" w:firstLineChars="200"/>
        <w:jc w:val="left"/>
        <w:rPr>
          <w:rFonts w:asci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cs="宋体"/>
          <w:sz w:val="32"/>
          <w:szCs w:val="32"/>
        </w:rPr>
      </w:pPr>
      <w:r>
        <w:rPr>
          <w:rFonts w:hint="eastAsia" w:ascii="宋体" w:hAnsi="宋体" w:cs="宋体"/>
          <w:sz w:val="32"/>
          <w:szCs w:val="32"/>
        </w:rPr>
        <w:t>八、政府性基金预算财政拨款收入支出决算表</w:t>
      </w:r>
    </w:p>
    <w:p>
      <w:pPr>
        <w:ind w:firstLine="640" w:firstLineChars="200"/>
        <w:jc w:val="left"/>
        <w:rPr>
          <w:rFonts w:hint="eastAsia" w:ascii="宋体" w:hAnsi="宋体" w:cs="宋体"/>
          <w:sz w:val="32"/>
          <w:szCs w:val="32"/>
        </w:rPr>
      </w:pPr>
      <w:r>
        <w:rPr>
          <w:rFonts w:hint="eastAsia" w:ascii="宋体" w:hAnsi="宋体" w:cs="宋体"/>
          <w:sz w:val="32"/>
          <w:szCs w:val="32"/>
        </w:rPr>
        <w:t>九、政府采购支出情况表</w:t>
      </w:r>
    </w:p>
    <w:p>
      <w:pPr>
        <w:ind w:firstLine="640" w:firstLineChars="200"/>
        <w:jc w:val="left"/>
        <w:rPr>
          <w:rFonts w:ascii="黑体" w:hAnsi="黑体" w:eastAsia="黑体" w:cs="黑体"/>
          <w:sz w:val="32"/>
          <w:szCs w:val="32"/>
        </w:rPr>
      </w:pPr>
      <w:r>
        <w:rPr>
          <w:rFonts w:hint="eastAsia" w:ascii="宋体" w:hAnsi="宋体" w:cs="宋体"/>
          <w:sz w:val="32"/>
          <w:szCs w:val="32"/>
        </w:rPr>
        <w:t>十、国有资本经营预算收支决算表</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numPr>
          <w:ilvl w:val="0"/>
          <w:numId w:val="2"/>
        </w:numPr>
        <w:jc w:val="center"/>
        <w:outlineLvl w:val="0"/>
        <w:rPr>
          <w:rFonts w:ascii="黑体" w:hAnsi="黑体" w:eastAsia="黑体" w:cs="黑体"/>
          <w:sz w:val="48"/>
          <w:szCs w:val="48"/>
        </w:rPr>
      </w:pPr>
      <w:r>
        <w:rPr>
          <w:rFonts w:hint="eastAsia" w:ascii="黑体" w:hAnsi="黑体" w:eastAsia="黑体" w:cs="黑体"/>
          <w:sz w:val="48"/>
          <w:szCs w:val="48"/>
        </w:rPr>
        <w:t>　浉河区民政局概况</w:t>
      </w: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部门职责</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主要职责是：坚持“以人为本、为民解困、为民服务”的宗旨，发挥民政部门在构建和谐社会中的基础作用，保障全区人民群众的基本生活权益和民主政治权利，推动民政事业的发展。认真执行上级有关民生、扶贫等方面的政策，紧紧围绕区委、区政府各项重大工作部署，保障民生各项资金的及时发放落实到位。 </w:t>
      </w:r>
    </w:p>
    <w:p>
      <w:pPr>
        <w:numPr>
          <w:ilvl w:val="0"/>
          <w:numId w:val="4"/>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机构设置</w:t>
      </w:r>
    </w:p>
    <w:p>
      <w:pPr>
        <w:spacing w:line="220" w:lineRule="atLeast"/>
        <w:ind w:firstLine="640" w:firstLineChars="200"/>
        <w:rPr>
          <w:rFonts w:ascii="仿宋" w:hAnsi="仿宋" w:eastAsia="仿宋" w:cs="仿宋"/>
          <w:sz w:val="32"/>
          <w:szCs w:val="32"/>
        </w:rPr>
      </w:pPr>
      <w:r>
        <w:rPr>
          <w:rFonts w:hint="eastAsia" w:ascii="仿宋" w:hAnsi="仿宋" w:eastAsia="仿宋" w:cs="仿宋"/>
          <w:sz w:val="32"/>
          <w:szCs w:val="32"/>
        </w:rPr>
        <w:t>浉河区民政局内设</w:t>
      </w:r>
      <w:r>
        <w:rPr>
          <w:rFonts w:ascii="仿宋" w:hAnsi="仿宋" w:eastAsia="仿宋" w:cs="仿宋"/>
          <w:sz w:val="32"/>
          <w:szCs w:val="32"/>
        </w:rPr>
        <w:t>9</w:t>
      </w:r>
      <w:r>
        <w:rPr>
          <w:rFonts w:hint="eastAsia" w:ascii="仿宋" w:hAnsi="仿宋" w:eastAsia="仿宋" w:cs="仿宋"/>
          <w:sz w:val="32"/>
          <w:szCs w:val="32"/>
        </w:rPr>
        <w:t>个职能科室，包括：局办公室、低保股、老龄股、救灾救济股、政权股、民政股、地名股、计财股、婚姻登记处，另设有浉河区社会福利中心、按摩医院</w:t>
      </w:r>
      <w:r>
        <w:rPr>
          <w:rFonts w:ascii="仿宋" w:hAnsi="仿宋" w:eastAsia="仿宋" w:cs="仿宋"/>
          <w:sz w:val="32"/>
          <w:szCs w:val="32"/>
        </w:rPr>
        <w:t>2</w:t>
      </w:r>
      <w:r>
        <w:rPr>
          <w:rFonts w:hint="eastAsia" w:ascii="仿宋" w:hAnsi="仿宋" w:eastAsia="仿宋" w:cs="仿宋"/>
          <w:sz w:val="32"/>
          <w:szCs w:val="32"/>
        </w:rPr>
        <w:t>个归口管理的二级机构。</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从决算单位构成看，浉河区民政局部门决算包括：本级决算、所属单位决算。另外，由民政局管理的浉河区社会福利中心、按摩医院部门决算纳入我部门汇总反映。</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纳入本部门</w:t>
      </w:r>
      <w:r>
        <w:rPr>
          <w:rFonts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年度部门决算编制范围的单位共</w:t>
      </w:r>
      <w:r>
        <w:rPr>
          <w:rFonts w:ascii="仿宋" w:hAnsi="仿宋" w:eastAsia="仿宋" w:cs="仿宋"/>
          <w:sz w:val="32"/>
          <w:szCs w:val="32"/>
        </w:rPr>
        <w:t>3</w:t>
      </w:r>
      <w:r>
        <w:rPr>
          <w:rFonts w:hint="eastAsia" w:ascii="仿宋" w:hAnsi="仿宋" w:eastAsia="仿宋" w:cs="仿宋"/>
          <w:sz w:val="32"/>
          <w:szCs w:val="32"/>
        </w:rPr>
        <w:t>个，其中二级预算单位</w:t>
      </w:r>
      <w:r>
        <w:rPr>
          <w:rFonts w:ascii="仿宋" w:hAnsi="仿宋" w:eastAsia="仿宋" w:cs="仿宋"/>
          <w:sz w:val="32"/>
          <w:szCs w:val="32"/>
        </w:rPr>
        <w:t>2</w:t>
      </w:r>
      <w:r>
        <w:rPr>
          <w:rFonts w:hint="eastAsia" w:ascii="仿宋" w:hAnsi="仿宋" w:eastAsia="仿宋" w:cs="仿宋"/>
          <w:sz w:val="32"/>
          <w:szCs w:val="32"/>
        </w:rPr>
        <w:t>个（含代管的浉河区社会福利中心、按摩医院），具体是：</w:t>
      </w:r>
    </w:p>
    <w:p>
      <w:pPr>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信阳市浉河区民政局本级</w:t>
      </w:r>
    </w:p>
    <w:p>
      <w:pPr>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信阳市浉河区社会福利中心</w:t>
      </w:r>
    </w:p>
    <w:p>
      <w:pPr>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信阳市浉河区按摩医院</w:t>
      </w:r>
    </w:p>
    <w:p>
      <w:pPr>
        <w:jc w:val="center"/>
        <w:outlineLvl w:val="0"/>
        <w:rPr>
          <w:rFonts w:ascii="仿宋" w:hAnsi="仿宋" w:eastAsia="仿宋" w:cs="仿宋"/>
          <w:sz w:val="32"/>
          <w:szCs w:val="32"/>
        </w:rPr>
      </w:pPr>
    </w:p>
    <w:p>
      <w:pP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w:t>
      </w:r>
    </w:p>
    <w:p>
      <w:pPr>
        <w:jc w:val="center"/>
        <w:outlineLvl w:val="0"/>
        <w:rPr>
          <w:rFonts w:ascii="黑体" w:hAnsi="黑体" w:eastAsia="黑体" w:cs="黑体"/>
          <w:sz w:val="48"/>
          <w:szCs w:val="48"/>
        </w:rPr>
      </w:pPr>
      <w:r>
        <w:rPr>
          <w:rFonts w:hint="eastAsia" w:ascii="黑体" w:hAnsi="黑体" w:eastAsia="黑体" w:cs="黑体"/>
          <w:sz w:val="48"/>
          <w:szCs w:val="48"/>
        </w:rPr>
        <w:t>浉河区民政局</w:t>
      </w:r>
    </w:p>
    <w:p>
      <w:pPr>
        <w:jc w:val="center"/>
        <w:outlineLvl w:val="0"/>
        <w:rPr>
          <w:rFonts w:ascii="黑体" w:hAnsi="黑体" w:eastAsia="黑体" w:cs="黑体"/>
          <w:sz w:val="48"/>
          <w:szCs w:val="48"/>
        </w:rPr>
      </w:pPr>
      <w:r>
        <w:rPr>
          <w:rFonts w:ascii="黑体" w:hAnsi="黑体" w:eastAsia="黑体" w:cs="黑体"/>
          <w:sz w:val="48"/>
          <w:szCs w:val="48"/>
        </w:rPr>
        <w:t>20</w:t>
      </w:r>
      <w:r>
        <w:rPr>
          <w:rFonts w:hint="eastAsia" w:ascii="黑体" w:hAnsi="黑体" w:eastAsia="黑体" w:cs="黑体"/>
          <w:sz w:val="48"/>
          <w:szCs w:val="48"/>
          <w:lang w:val="en-US" w:eastAsia="zh-CN"/>
        </w:rPr>
        <w:t>20</w:t>
      </w:r>
      <w:r>
        <w:rPr>
          <w:rFonts w:hint="eastAsia" w:ascii="黑体" w:hAnsi="黑体" w:eastAsia="黑体" w:cs="黑体"/>
          <w:sz w:val="48"/>
          <w:szCs w:val="48"/>
        </w:rPr>
        <w:t>年度部门决算情况说明</w:t>
      </w: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numPr>
          <w:ilvl w:val="0"/>
          <w:numId w:val="5"/>
        </w:numPr>
        <w:adjustRightInd w:val="0"/>
        <w:snapToGrid w:val="0"/>
        <w:spacing w:line="360" w:lineRule="auto"/>
        <w:ind w:left="-10" w:leftChars="0" w:firstLine="640" w:firstLineChars="0"/>
        <w:outlineLvl w:val="1"/>
        <w:rPr>
          <w:rFonts w:ascii="黑体" w:hAnsi="黑体" w:eastAsia="黑体"/>
          <w:sz w:val="32"/>
          <w:szCs w:val="32"/>
        </w:rPr>
      </w:pPr>
      <w:r>
        <w:rPr>
          <w:rFonts w:hint="eastAsia" w:ascii="黑体" w:hAnsi="黑体" w:eastAsia="黑体"/>
          <w:sz w:val="32"/>
          <w:szCs w:val="32"/>
        </w:rPr>
        <w:t>收入支出决算总体情况说明</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年度收、支总计均为1</w:t>
      </w:r>
      <w:r>
        <w:rPr>
          <w:rFonts w:hint="eastAsia" w:ascii="仿宋" w:hAnsi="仿宋" w:eastAsia="仿宋" w:cs="仿宋"/>
          <w:sz w:val="32"/>
          <w:szCs w:val="32"/>
          <w:lang w:val="en-US" w:eastAsia="zh-CN"/>
        </w:rPr>
        <w:t>5299.13</w:t>
      </w:r>
      <w:r>
        <w:rPr>
          <w:rFonts w:hint="eastAsia" w:ascii="仿宋" w:hAnsi="仿宋" w:eastAsia="仿宋" w:cs="仿宋"/>
          <w:sz w:val="32"/>
          <w:szCs w:val="32"/>
        </w:rPr>
        <w:t>万元。与上年度相比，收、支总计各</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601.69</w:t>
      </w:r>
      <w:r>
        <w:rPr>
          <w:rFonts w:hint="eastAsia" w:ascii="仿宋" w:hAnsi="仿宋" w:eastAsia="仿宋" w:cs="仿宋"/>
          <w:sz w:val="32"/>
          <w:szCs w:val="32"/>
        </w:rPr>
        <w:t>万元，较上年</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4.09%</w:t>
      </w:r>
      <w:r>
        <w:rPr>
          <w:rFonts w:hint="eastAsia" w:ascii="仿宋" w:hAnsi="仿宋" w:eastAsia="仿宋" w:cs="仿宋"/>
          <w:sz w:val="32"/>
          <w:szCs w:val="32"/>
        </w:rPr>
        <w:t>，主要原因是</w:t>
      </w:r>
      <w:r>
        <w:rPr>
          <w:rFonts w:hint="eastAsia" w:ascii="仿宋" w:hAnsi="仿宋" w:eastAsia="仿宋" w:cs="仿宋"/>
          <w:sz w:val="32"/>
          <w:szCs w:val="32"/>
          <w:lang w:eastAsia="zh-CN"/>
        </w:rPr>
        <w:t>上级下达</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抗疫特别国债</w:t>
      </w:r>
      <w:r>
        <w:rPr>
          <w:rFonts w:hint="eastAsia" w:ascii="仿宋" w:hAnsi="仿宋" w:eastAsia="仿宋" w:cs="仿宋"/>
          <w:sz w:val="32"/>
          <w:szCs w:val="32"/>
        </w:rPr>
        <w:t>，</w:t>
      </w:r>
      <w:r>
        <w:rPr>
          <w:rFonts w:hint="eastAsia" w:ascii="仿宋" w:hAnsi="仿宋" w:eastAsia="仿宋" w:cs="仿宋"/>
          <w:sz w:val="32"/>
          <w:szCs w:val="32"/>
          <w:lang w:eastAsia="zh-CN"/>
        </w:rPr>
        <w:t>城镇社区养老服务体系建设指标增加</w:t>
      </w:r>
      <w:r>
        <w:rPr>
          <w:rFonts w:hint="eastAsia" w:ascii="仿宋" w:hAnsi="仿宋" w:eastAsia="仿宋" w:cs="仿宋"/>
          <w:sz w:val="32"/>
          <w:szCs w:val="32"/>
        </w:rPr>
        <w:t>，造成20</w:t>
      </w:r>
      <w:r>
        <w:rPr>
          <w:rFonts w:hint="eastAsia" w:ascii="仿宋" w:hAnsi="仿宋" w:eastAsia="仿宋" w:cs="仿宋"/>
          <w:sz w:val="32"/>
          <w:szCs w:val="32"/>
          <w:lang w:val="en-US" w:eastAsia="zh-CN"/>
        </w:rPr>
        <w:t>20</w:t>
      </w:r>
      <w:r>
        <w:rPr>
          <w:rFonts w:hint="eastAsia" w:ascii="仿宋" w:hAnsi="仿宋" w:eastAsia="仿宋" w:cs="仿宋"/>
          <w:sz w:val="32"/>
          <w:szCs w:val="32"/>
        </w:rPr>
        <w:t>年度</w:t>
      </w:r>
      <w:r>
        <w:rPr>
          <w:rFonts w:hint="eastAsia" w:ascii="仿宋" w:hAnsi="仿宋" w:eastAsia="仿宋" w:cs="仿宋"/>
          <w:sz w:val="32"/>
          <w:szCs w:val="32"/>
          <w:lang w:eastAsia="zh-CN"/>
        </w:rPr>
        <w:t>收</w:t>
      </w:r>
      <w:r>
        <w:rPr>
          <w:rFonts w:hint="eastAsia" w:ascii="仿宋" w:hAnsi="仿宋" w:eastAsia="仿宋" w:cs="仿宋"/>
          <w:sz w:val="32"/>
          <w:szCs w:val="32"/>
        </w:rPr>
        <w:t>支相对</w:t>
      </w:r>
      <w:r>
        <w:rPr>
          <w:rFonts w:hint="eastAsia" w:ascii="仿宋" w:hAnsi="仿宋" w:eastAsia="仿宋" w:cs="仿宋"/>
          <w:sz w:val="32"/>
          <w:szCs w:val="32"/>
          <w:lang w:eastAsia="zh-CN"/>
        </w:rPr>
        <w:t>增加</w:t>
      </w:r>
      <w:r>
        <w:rPr>
          <w:rFonts w:hint="eastAsia" w:ascii="仿宋" w:hAnsi="仿宋" w:eastAsia="仿宋" w:cs="仿宋"/>
          <w:sz w:val="32"/>
          <w:szCs w:val="32"/>
        </w:rPr>
        <w:t>。</w:t>
      </w:r>
    </w:p>
    <w:p>
      <w:pPr>
        <w:numPr>
          <w:ilvl w:val="0"/>
          <w:numId w:val="5"/>
        </w:numPr>
        <w:adjustRightInd w:val="0"/>
        <w:snapToGrid w:val="0"/>
        <w:spacing w:line="360" w:lineRule="auto"/>
        <w:ind w:left="-10" w:leftChars="0" w:firstLine="640" w:firstLineChars="0"/>
        <w:outlineLvl w:val="1"/>
        <w:rPr>
          <w:rFonts w:ascii="黑体" w:hAnsi="黑体" w:eastAsia="黑体"/>
          <w:sz w:val="32"/>
          <w:szCs w:val="32"/>
        </w:rPr>
      </w:pPr>
      <w:r>
        <w:rPr>
          <w:rFonts w:hint="eastAsia" w:ascii="黑体" w:hAnsi="黑体" w:eastAsia="黑体"/>
          <w:sz w:val="32"/>
          <w:szCs w:val="32"/>
        </w:rPr>
        <w:t>收入决算情况说明</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rPr>
        <w:t>2020 年度收入合计15,299.13万元，其中：财政拨款收入15,299.13万元，占100.00%；上级补助收入 0.00万元，占0.00%；事业收入0.00万元，占 0.00%；经营收入0.00万元，占0.00%；附属单位上缴收入 0.00万元，占0.00%；其他收入0.00万元，占 0.00%。</w:t>
      </w:r>
    </w:p>
    <w:p>
      <w:pPr>
        <w:numPr>
          <w:ilvl w:val="0"/>
          <w:numId w:val="5"/>
        </w:numPr>
        <w:adjustRightInd w:val="0"/>
        <w:snapToGrid w:val="0"/>
        <w:spacing w:line="360" w:lineRule="auto"/>
        <w:ind w:left="-10" w:leftChars="0" w:firstLine="640" w:firstLineChars="0"/>
        <w:outlineLvl w:val="1"/>
        <w:rPr>
          <w:rFonts w:ascii="黑体" w:hAnsi="黑体" w:eastAsia="黑体"/>
          <w:sz w:val="32"/>
          <w:szCs w:val="32"/>
        </w:rPr>
      </w:pPr>
      <w:r>
        <w:rPr>
          <w:rFonts w:hint="eastAsia" w:ascii="黑体" w:hAnsi="黑体" w:eastAsia="黑体"/>
          <w:sz w:val="32"/>
          <w:szCs w:val="32"/>
        </w:rPr>
        <w:t>支出决算情况说明</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rPr>
        <w:t>2020年度支出合计 15,299.13万元，其中：基本支出13,486.13 万元，占88.15%；项目支出 1,813.00万元，占11.85%；上缴上级支出0.00万元，占 0.00%；经营支出0.00万元，占0.00%；对附属单位补助支出 0.00万元，占0.00%。</w:t>
      </w:r>
    </w:p>
    <w:p>
      <w:pPr>
        <w:numPr>
          <w:ilvl w:val="0"/>
          <w:numId w:val="5"/>
        </w:numPr>
        <w:adjustRightInd w:val="0"/>
        <w:snapToGrid w:val="0"/>
        <w:spacing w:line="360" w:lineRule="auto"/>
        <w:ind w:left="-10" w:leftChars="0" w:firstLine="640" w:firstLineChars="0"/>
        <w:outlineLvl w:val="1"/>
        <w:rPr>
          <w:rFonts w:ascii="黑体" w:hAnsi="黑体" w:eastAsia="黑体"/>
          <w:sz w:val="32"/>
          <w:szCs w:val="32"/>
        </w:rPr>
      </w:pPr>
      <w:r>
        <w:rPr>
          <w:rFonts w:hint="eastAsia" w:ascii="黑体" w:hAnsi="黑体" w:eastAsia="黑体"/>
          <w:sz w:val="32"/>
          <w:szCs w:val="32"/>
        </w:rPr>
        <w:t>财政拨款收入支出决算总体情况说明</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年度收、支总计均为1</w:t>
      </w:r>
      <w:r>
        <w:rPr>
          <w:rFonts w:hint="eastAsia" w:ascii="仿宋" w:hAnsi="仿宋" w:eastAsia="仿宋" w:cs="仿宋"/>
          <w:sz w:val="32"/>
          <w:szCs w:val="32"/>
          <w:lang w:val="en-US" w:eastAsia="zh-CN"/>
        </w:rPr>
        <w:t>5299.13</w:t>
      </w:r>
      <w:r>
        <w:rPr>
          <w:rFonts w:hint="eastAsia" w:ascii="仿宋" w:hAnsi="仿宋" w:eastAsia="仿宋" w:cs="仿宋"/>
          <w:sz w:val="32"/>
          <w:szCs w:val="32"/>
        </w:rPr>
        <w:t>万元。与上年度相比，收、支总计各</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601.69</w:t>
      </w:r>
      <w:r>
        <w:rPr>
          <w:rFonts w:hint="eastAsia" w:ascii="仿宋" w:hAnsi="仿宋" w:eastAsia="仿宋" w:cs="仿宋"/>
          <w:sz w:val="32"/>
          <w:szCs w:val="32"/>
        </w:rPr>
        <w:t>万元，较上年</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4.09%</w:t>
      </w:r>
      <w:r>
        <w:rPr>
          <w:rFonts w:hint="eastAsia" w:ascii="仿宋" w:hAnsi="仿宋" w:eastAsia="仿宋" w:cs="仿宋"/>
          <w:sz w:val="32"/>
          <w:szCs w:val="32"/>
        </w:rPr>
        <w:t>，主要原因是</w:t>
      </w:r>
      <w:r>
        <w:rPr>
          <w:rFonts w:hint="eastAsia" w:ascii="仿宋" w:hAnsi="仿宋" w:eastAsia="仿宋" w:cs="仿宋"/>
          <w:sz w:val="32"/>
          <w:szCs w:val="32"/>
          <w:lang w:eastAsia="zh-CN"/>
        </w:rPr>
        <w:t>上级下达</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抗疫特别国债</w:t>
      </w:r>
      <w:r>
        <w:rPr>
          <w:rFonts w:hint="eastAsia" w:ascii="仿宋" w:hAnsi="仿宋" w:eastAsia="仿宋" w:cs="仿宋"/>
          <w:sz w:val="32"/>
          <w:szCs w:val="32"/>
        </w:rPr>
        <w:t>，</w:t>
      </w:r>
      <w:r>
        <w:rPr>
          <w:rFonts w:hint="eastAsia" w:ascii="仿宋" w:hAnsi="仿宋" w:eastAsia="仿宋" w:cs="仿宋"/>
          <w:sz w:val="32"/>
          <w:szCs w:val="32"/>
          <w:lang w:eastAsia="zh-CN"/>
        </w:rPr>
        <w:t>城镇社区养老服务体系建设指标增加</w:t>
      </w:r>
      <w:r>
        <w:rPr>
          <w:rFonts w:hint="eastAsia" w:ascii="仿宋" w:hAnsi="仿宋" w:eastAsia="仿宋" w:cs="仿宋"/>
          <w:sz w:val="32"/>
          <w:szCs w:val="32"/>
        </w:rPr>
        <w:t>，造成20</w:t>
      </w:r>
      <w:r>
        <w:rPr>
          <w:rFonts w:hint="eastAsia" w:ascii="仿宋" w:hAnsi="仿宋" w:eastAsia="仿宋" w:cs="仿宋"/>
          <w:sz w:val="32"/>
          <w:szCs w:val="32"/>
          <w:lang w:val="en-US" w:eastAsia="zh-CN"/>
        </w:rPr>
        <w:t>20</w:t>
      </w:r>
      <w:r>
        <w:rPr>
          <w:rFonts w:hint="eastAsia" w:ascii="仿宋" w:hAnsi="仿宋" w:eastAsia="仿宋" w:cs="仿宋"/>
          <w:sz w:val="32"/>
          <w:szCs w:val="32"/>
        </w:rPr>
        <w:t>年度</w:t>
      </w:r>
      <w:r>
        <w:rPr>
          <w:rFonts w:hint="eastAsia" w:ascii="仿宋" w:hAnsi="仿宋" w:eastAsia="仿宋" w:cs="仿宋"/>
          <w:sz w:val="32"/>
          <w:szCs w:val="32"/>
          <w:lang w:eastAsia="zh-CN"/>
        </w:rPr>
        <w:t>收</w:t>
      </w:r>
      <w:r>
        <w:rPr>
          <w:rFonts w:hint="eastAsia" w:ascii="仿宋" w:hAnsi="仿宋" w:eastAsia="仿宋" w:cs="仿宋"/>
          <w:sz w:val="32"/>
          <w:szCs w:val="32"/>
        </w:rPr>
        <w:t>支相对</w:t>
      </w:r>
      <w:r>
        <w:rPr>
          <w:rFonts w:hint="eastAsia" w:ascii="仿宋" w:hAnsi="仿宋" w:eastAsia="仿宋" w:cs="仿宋"/>
          <w:sz w:val="32"/>
          <w:szCs w:val="32"/>
          <w:lang w:eastAsia="zh-CN"/>
        </w:rPr>
        <w:t>增加</w:t>
      </w:r>
      <w:r>
        <w:rPr>
          <w:rFonts w:hint="eastAsia" w:ascii="仿宋" w:hAnsi="仿宋" w:eastAsia="仿宋" w:cs="仿宋"/>
          <w:sz w:val="32"/>
          <w:szCs w:val="32"/>
        </w:rPr>
        <w:t>。</w:t>
      </w:r>
    </w:p>
    <w:p>
      <w:pPr>
        <w:adjustRightInd w:val="0"/>
        <w:snapToGrid w:val="0"/>
        <w:spacing w:line="360" w:lineRule="auto"/>
        <w:ind w:firstLine="640" w:firstLineChars="200"/>
        <w:rPr>
          <w:rFonts w:ascii="??_GB2312" w:hAnsi="宋体" w:eastAsia="Times New Roman" w:cs="Courier New"/>
          <w:sz w:val="32"/>
          <w:szCs w:val="32"/>
        </w:rPr>
      </w:pPr>
    </w:p>
    <w:p>
      <w:pPr>
        <w:numPr>
          <w:ilvl w:val="0"/>
          <w:numId w:val="5"/>
        </w:numPr>
        <w:adjustRightInd w:val="0"/>
        <w:snapToGrid w:val="0"/>
        <w:spacing w:line="360" w:lineRule="auto"/>
        <w:ind w:left="-10" w:leftChars="0" w:firstLine="640" w:firstLineChars="0"/>
        <w:outlineLvl w:val="1"/>
        <w:rPr>
          <w:rFonts w:ascii="黑体" w:hAnsi="黑体" w:eastAsia="黑体"/>
          <w:sz w:val="32"/>
          <w:szCs w:val="32"/>
        </w:rPr>
      </w:pPr>
      <w:r>
        <w:rPr>
          <w:rFonts w:hint="eastAsia" w:ascii="黑体" w:hAnsi="黑体" w:eastAsia="黑体"/>
          <w:sz w:val="32"/>
          <w:szCs w:val="32"/>
        </w:rPr>
        <w:t>一般公共预算财政拨款支出决算情况说明</w:t>
      </w:r>
    </w:p>
    <w:p>
      <w:pPr>
        <w:numPr>
          <w:ilvl w:val="0"/>
          <w:numId w:val="6"/>
        </w:numPr>
        <w:adjustRightInd w:val="0"/>
        <w:snapToGrid w:val="0"/>
        <w:spacing w:line="360" w:lineRule="auto"/>
        <w:ind w:firstLine="643" w:firstLineChars="200"/>
        <w:rPr>
          <w:rFonts w:ascii="楷体_GB2312" w:hAnsi="楷体_GB2312" w:eastAsia="楷体_GB2312" w:cs="楷体_GB2312"/>
          <w:sz w:val="32"/>
          <w:szCs w:val="32"/>
        </w:rPr>
      </w:pPr>
      <w:r>
        <w:rPr>
          <w:rFonts w:hint="eastAsia" w:ascii="楷体" w:hAnsi="楷体" w:eastAsia="楷体" w:cs="楷体"/>
          <w:b/>
          <w:bCs/>
          <w:sz w:val="32"/>
          <w:szCs w:val="32"/>
        </w:rPr>
        <w:t>总体情况。</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年一般公共预算财政拨款支出1</w:t>
      </w:r>
      <w:r>
        <w:rPr>
          <w:rFonts w:hint="eastAsia" w:ascii="仿宋" w:hAnsi="仿宋" w:eastAsia="仿宋" w:cs="仿宋"/>
          <w:sz w:val="32"/>
          <w:szCs w:val="32"/>
          <w:lang w:val="en-US" w:eastAsia="zh-CN"/>
        </w:rPr>
        <w:t>5299.13</w:t>
      </w:r>
      <w:r>
        <w:rPr>
          <w:rFonts w:hint="eastAsia" w:ascii="仿宋" w:hAnsi="仿宋" w:eastAsia="仿宋" w:cs="仿宋"/>
          <w:sz w:val="32"/>
          <w:szCs w:val="32"/>
        </w:rPr>
        <w:t>万元，占本年支出合计的100%。与上年度相比，一般公共预算财政拨款支出</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601.69</w:t>
      </w:r>
      <w:r>
        <w:rPr>
          <w:rFonts w:hint="eastAsia" w:ascii="仿宋" w:hAnsi="仿宋" w:eastAsia="仿宋" w:cs="仿宋"/>
          <w:sz w:val="32"/>
          <w:szCs w:val="32"/>
        </w:rPr>
        <w:t>万元，较上年</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4.09%</w:t>
      </w:r>
      <w:r>
        <w:rPr>
          <w:rFonts w:hint="eastAsia" w:ascii="仿宋" w:hAnsi="仿宋" w:eastAsia="仿宋" w:cs="仿宋"/>
          <w:sz w:val="32"/>
          <w:szCs w:val="32"/>
        </w:rPr>
        <w:t>，主要原因是</w:t>
      </w:r>
      <w:r>
        <w:rPr>
          <w:rFonts w:hint="eastAsia" w:ascii="仿宋" w:hAnsi="仿宋" w:eastAsia="仿宋" w:cs="仿宋"/>
          <w:sz w:val="32"/>
          <w:szCs w:val="32"/>
          <w:lang w:eastAsia="zh-CN"/>
        </w:rPr>
        <w:t>上级下达</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抗疫特别国债</w:t>
      </w:r>
      <w:r>
        <w:rPr>
          <w:rFonts w:hint="eastAsia" w:ascii="仿宋" w:hAnsi="仿宋" w:eastAsia="仿宋" w:cs="仿宋"/>
          <w:sz w:val="32"/>
          <w:szCs w:val="32"/>
        </w:rPr>
        <w:t>，</w:t>
      </w:r>
      <w:r>
        <w:rPr>
          <w:rFonts w:hint="eastAsia" w:ascii="仿宋" w:hAnsi="仿宋" w:eastAsia="仿宋" w:cs="仿宋"/>
          <w:sz w:val="32"/>
          <w:szCs w:val="32"/>
          <w:lang w:eastAsia="zh-CN"/>
        </w:rPr>
        <w:t>城镇社区养老服务体系建设指标增加</w:t>
      </w:r>
      <w:r>
        <w:rPr>
          <w:rFonts w:hint="eastAsia" w:ascii="仿宋" w:hAnsi="仿宋" w:eastAsia="仿宋" w:cs="仿宋"/>
          <w:sz w:val="32"/>
          <w:szCs w:val="32"/>
        </w:rPr>
        <w:t>，造成20</w:t>
      </w:r>
      <w:r>
        <w:rPr>
          <w:rFonts w:hint="eastAsia" w:ascii="仿宋" w:hAnsi="仿宋" w:eastAsia="仿宋" w:cs="仿宋"/>
          <w:sz w:val="32"/>
          <w:szCs w:val="32"/>
          <w:lang w:val="en-US" w:eastAsia="zh-CN"/>
        </w:rPr>
        <w:t>20</w:t>
      </w:r>
      <w:r>
        <w:rPr>
          <w:rFonts w:hint="eastAsia" w:ascii="仿宋" w:hAnsi="仿宋" w:eastAsia="仿宋" w:cs="仿宋"/>
          <w:sz w:val="32"/>
          <w:szCs w:val="32"/>
        </w:rPr>
        <w:t>年度</w:t>
      </w:r>
      <w:r>
        <w:rPr>
          <w:rFonts w:hint="eastAsia" w:ascii="仿宋" w:hAnsi="仿宋" w:eastAsia="仿宋" w:cs="仿宋"/>
          <w:sz w:val="32"/>
          <w:szCs w:val="32"/>
          <w:lang w:eastAsia="zh-CN"/>
        </w:rPr>
        <w:t>收</w:t>
      </w:r>
      <w:r>
        <w:rPr>
          <w:rFonts w:hint="eastAsia" w:ascii="仿宋" w:hAnsi="仿宋" w:eastAsia="仿宋" w:cs="仿宋"/>
          <w:sz w:val="32"/>
          <w:szCs w:val="32"/>
        </w:rPr>
        <w:t>支相对</w:t>
      </w:r>
      <w:r>
        <w:rPr>
          <w:rFonts w:hint="eastAsia" w:ascii="仿宋" w:hAnsi="仿宋" w:eastAsia="仿宋" w:cs="仿宋"/>
          <w:sz w:val="32"/>
          <w:szCs w:val="32"/>
          <w:lang w:eastAsia="zh-CN"/>
        </w:rPr>
        <w:t>增加</w:t>
      </w:r>
      <w:r>
        <w:rPr>
          <w:rFonts w:hint="eastAsia" w:ascii="仿宋" w:hAnsi="仿宋" w:eastAsia="仿宋" w:cs="仿宋"/>
          <w:sz w:val="32"/>
          <w:szCs w:val="32"/>
        </w:rPr>
        <w:t>。</w:t>
      </w:r>
    </w:p>
    <w:p>
      <w:pPr>
        <w:numPr>
          <w:ilvl w:val="0"/>
          <w:numId w:val="6"/>
        </w:numPr>
        <w:adjustRightInd w:val="0"/>
        <w:snapToGrid w:val="0"/>
        <w:spacing w:line="360" w:lineRule="auto"/>
        <w:ind w:firstLine="643" w:firstLineChars="200"/>
        <w:rPr>
          <w:rFonts w:ascii="楷体" w:hAnsi="楷体" w:eastAsia="楷体" w:cs="楷体"/>
          <w:b/>
          <w:bCs/>
          <w:sz w:val="32"/>
          <w:szCs w:val="32"/>
        </w:rPr>
      </w:pPr>
      <w:r>
        <w:rPr>
          <w:rFonts w:hint="eastAsia" w:ascii="楷体" w:hAnsi="楷体" w:eastAsia="楷体" w:cs="楷体"/>
          <w:b/>
          <w:bCs/>
          <w:sz w:val="32"/>
          <w:szCs w:val="32"/>
        </w:rPr>
        <w:t>结构情况。</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年度一般公共预算财政拨款支出1</w:t>
      </w:r>
      <w:r>
        <w:rPr>
          <w:rFonts w:hint="eastAsia" w:ascii="仿宋" w:hAnsi="仿宋" w:eastAsia="仿宋" w:cs="仿宋"/>
          <w:sz w:val="32"/>
          <w:szCs w:val="32"/>
          <w:lang w:val="en-US" w:eastAsia="zh-CN"/>
        </w:rPr>
        <w:t>5299.13</w:t>
      </w:r>
      <w:r>
        <w:rPr>
          <w:rFonts w:hint="eastAsia" w:ascii="仿宋" w:hAnsi="仿宋" w:eastAsia="仿宋" w:cs="仿宋"/>
          <w:sz w:val="32"/>
          <w:szCs w:val="32"/>
        </w:rPr>
        <w:t>万元，主要用于以下方面：社会保障和就业(类）支出1</w:t>
      </w:r>
      <w:r>
        <w:rPr>
          <w:rFonts w:hint="eastAsia" w:ascii="仿宋" w:hAnsi="仿宋" w:eastAsia="仿宋" w:cs="仿宋"/>
          <w:sz w:val="32"/>
          <w:szCs w:val="32"/>
          <w:lang w:val="en-US" w:eastAsia="zh-CN"/>
        </w:rPr>
        <w:t>5259.32</w:t>
      </w:r>
      <w:r>
        <w:rPr>
          <w:rFonts w:hint="eastAsia" w:ascii="仿宋" w:hAnsi="仿宋" w:eastAsia="仿宋" w:cs="仿宋"/>
          <w:sz w:val="32"/>
          <w:szCs w:val="32"/>
        </w:rPr>
        <w:t>万元，占99.7</w:t>
      </w:r>
      <w:r>
        <w:rPr>
          <w:rFonts w:hint="eastAsia" w:ascii="仿宋" w:hAnsi="仿宋" w:eastAsia="仿宋" w:cs="仿宋"/>
          <w:sz w:val="32"/>
          <w:szCs w:val="32"/>
          <w:lang w:val="en-US" w:eastAsia="zh-CN"/>
        </w:rPr>
        <w:t>4</w:t>
      </w:r>
      <w:r>
        <w:rPr>
          <w:rFonts w:hint="eastAsia" w:ascii="仿宋" w:hAnsi="仿宋" w:eastAsia="仿宋" w:cs="仿宋"/>
          <w:sz w:val="32"/>
          <w:szCs w:val="32"/>
        </w:rPr>
        <w:t>%；卫生健康（类）支出1</w:t>
      </w:r>
      <w:r>
        <w:rPr>
          <w:rFonts w:hint="eastAsia" w:ascii="仿宋" w:hAnsi="仿宋" w:eastAsia="仿宋" w:cs="仿宋"/>
          <w:sz w:val="32"/>
          <w:szCs w:val="32"/>
          <w:lang w:val="en-US" w:eastAsia="zh-CN"/>
        </w:rPr>
        <w:t>5.6</w:t>
      </w:r>
      <w:r>
        <w:rPr>
          <w:rFonts w:hint="eastAsia" w:ascii="仿宋" w:hAnsi="仿宋" w:eastAsia="仿宋" w:cs="仿宋"/>
          <w:sz w:val="32"/>
          <w:szCs w:val="32"/>
        </w:rPr>
        <w:t>5万元，占0.1%；住房保障（类）支出24.</w:t>
      </w:r>
      <w:r>
        <w:rPr>
          <w:rFonts w:hint="eastAsia" w:ascii="仿宋" w:hAnsi="仿宋" w:eastAsia="仿宋" w:cs="仿宋"/>
          <w:sz w:val="32"/>
          <w:szCs w:val="32"/>
          <w:lang w:val="en-US" w:eastAsia="zh-CN"/>
        </w:rPr>
        <w:t>16</w:t>
      </w:r>
      <w:r>
        <w:rPr>
          <w:rFonts w:hint="eastAsia" w:ascii="仿宋" w:hAnsi="仿宋" w:eastAsia="仿宋" w:cs="仿宋"/>
          <w:sz w:val="32"/>
          <w:szCs w:val="32"/>
        </w:rPr>
        <w:t>万元，占0.1</w:t>
      </w:r>
      <w:r>
        <w:rPr>
          <w:rFonts w:hint="eastAsia" w:ascii="仿宋" w:hAnsi="仿宋" w:eastAsia="仿宋" w:cs="仿宋"/>
          <w:sz w:val="32"/>
          <w:szCs w:val="32"/>
          <w:lang w:val="en-US" w:eastAsia="zh-CN"/>
        </w:rPr>
        <w:t>6</w:t>
      </w:r>
      <w:r>
        <w:rPr>
          <w:rFonts w:hint="eastAsia" w:ascii="仿宋" w:hAnsi="仿宋" w:eastAsia="仿宋" w:cs="仿宋"/>
          <w:sz w:val="32"/>
          <w:szCs w:val="32"/>
        </w:rPr>
        <w:t>%。</w:t>
      </w:r>
    </w:p>
    <w:p>
      <w:pPr>
        <w:numPr>
          <w:ilvl w:val="0"/>
          <w:numId w:val="6"/>
        </w:numPr>
        <w:adjustRightInd w:val="0"/>
        <w:snapToGrid w:val="0"/>
        <w:spacing w:line="360" w:lineRule="auto"/>
        <w:ind w:firstLine="643" w:firstLineChars="200"/>
        <w:rPr>
          <w:rFonts w:ascii="楷体" w:hAnsi="楷体" w:eastAsia="楷体" w:cs="楷体"/>
          <w:b/>
          <w:bCs/>
          <w:sz w:val="32"/>
          <w:szCs w:val="32"/>
        </w:rPr>
      </w:pPr>
      <w:r>
        <w:rPr>
          <w:rFonts w:hint="eastAsia" w:ascii="楷体" w:hAnsi="楷体" w:eastAsia="楷体" w:cs="楷体"/>
          <w:b/>
          <w:bCs/>
          <w:sz w:val="32"/>
          <w:szCs w:val="32"/>
        </w:rPr>
        <w:t>具体情况。</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年度一般公共预算财政拨款支出年初预算为</w:t>
      </w:r>
      <w:r>
        <w:rPr>
          <w:rFonts w:hint="eastAsia" w:ascii="仿宋" w:hAnsi="仿宋" w:eastAsia="仿宋" w:cs="仿宋"/>
          <w:sz w:val="32"/>
          <w:szCs w:val="32"/>
          <w:lang w:val="en-US" w:eastAsia="zh-CN"/>
        </w:rPr>
        <w:t>13052.4</w:t>
      </w:r>
      <w:r>
        <w:rPr>
          <w:rFonts w:hint="eastAsia" w:ascii="仿宋" w:hAnsi="仿宋" w:eastAsia="仿宋" w:cs="仿宋"/>
          <w:sz w:val="32"/>
          <w:szCs w:val="32"/>
        </w:rPr>
        <w:t>万元，支出决算为1</w:t>
      </w:r>
      <w:r>
        <w:rPr>
          <w:rFonts w:hint="eastAsia" w:ascii="仿宋" w:hAnsi="仿宋" w:eastAsia="仿宋" w:cs="仿宋"/>
          <w:sz w:val="32"/>
          <w:szCs w:val="32"/>
          <w:lang w:val="en-US" w:eastAsia="zh-CN"/>
        </w:rPr>
        <w:t>5299.13</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117.21</w:t>
      </w:r>
      <w:r>
        <w:rPr>
          <w:rFonts w:hint="eastAsia" w:ascii="仿宋" w:hAnsi="仿宋" w:eastAsia="仿宋" w:cs="仿宋"/>
          <w:sz w:val="32"/>
          <w:szCs w:val="32"/>
        </w:rPr>
        <w:t>%。其中：</w:t>
      </w:r>
    </w:p>
    <w:p>
      <w:pPr>
        <w:widowControl/>
        <w:numPr>
          <w:ilvl w:val="0"/>
          <w:numId w:val="7"/>
        </w:numPr>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社会保障和就业(类）民政管理事务（款）行政运行（项）支出。</w:t>
      </w:r>
      <w:r>
        <w:rPr>
          <w:rFonts w:hint="eastAsia" w:ascii="仿宋" w:hAnsi="仿宋" w:eastAsia="仿宋" w:cs="仿宋"/>
          <w:sz w:val="32"/>
          <w:szCs w:val="32"/>
        </w:rPr>
        <w:t>年初预算为1</w:t>
      </w:r>
      <w:r>
        <w:rPr>
          <w:rFonts w:hint="eastAsia" w:ascii="仿宋" w:hAnsi="仿宋" w:eastAsia="仿宋" w:cs="仿宋"/>
          <w:sz w:val="32"/>
          <w:szCs w:val="32"/>
          <w:lang w:val="en-US" w:eastAsia="zh-CN"/>
        </w:rPr>
        <w:t>1</w:t>
      </w:r>
      <w:r>
        <w:rPr>
          <w:rFonts w:hint="eastAsia" w:ascii="仿宋" w:hAnsi="仿宋" w:eastAsia="仿宋" w:cs="仿宋"/>
          <w:sz w:val="32"/>
          <w:szCs w:val="32"/>
        </w:rPr>
        <w:t>6万元，支出决算为11</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55</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96.16</w:t>
      </w:r>
      <w:r>
        <w:rPr>
          <w:rFonts w:hint="eastAsia" w:ascii="仿宋" w:hAnsi="仿宋" w:eastAsia="仿宋" w:cs="仿宋"/>
          <w:sz w:val="32"/>
          <w:szCs w:val="32"/>
        </w:rPr>
        <w:t>%。决算数与年初预算数存在差异的主要原因是20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4月许珂调离本单位</w:t>
      </w:r>
      <w:r>
        <w:rPr>
          <w:rFonts w:hint="eastAsia" w:ascii="仿宋" w:hAnsi="仿宋" w:eastAsia="仿宋" w:cs="仿宋"/>
          <w:sz w:val="32"/>
          <w:szCs w:val="32"/>
        </w:rPr>
        <w:t>，造成20</w:t>
      </w:r>
      <w:r>
        <w:rPr>
          <w:rFonts w:hint="eastAsia" w:ascii="仿宋" w:hAnsi="仿宋" w:eastAsia="仿宋" w:cs="仿宋"/>
          <w:sz w:val="32"/>
          <w:szCs w:val="32"/>
          <w:lang w:val="en-US" w:eastAsia="zh-CN"/>
        </w:rPr>
        <w:t>20</w:t>
      </w:r>
      <w:r>
        <w:rPr>
          <w:rFonts w:hint="eastAsia" w:ascii="仿宋" w:hAnsi="仿宋" w:eastAsia="仿宋" w:cs="仿宋"/>
          <w:sz w:val="32"/>
          <w:szCs w:val="32"/>
        </w:rPr>
        <w:t>年度</w:t>
      </w:r>
      <w:r>
        <w:rPr>
          <w:rFonts w:hint="eastAsia" w:ascii="仿宋" w:hAnsi="仿宋" w:eastAsia="仿宋" w:cs="仿宋"/>
          <w:sz w:val="32"/>
          <w:szCs w:val="32"/>
          <w:lang w:eastAsia="zh-CN"/>
        </w:rPr>
        <w:t>决算</w:t>
      </w:r>
      <w:r>
        <w:rPr>
          <w:rFonts w:hint="eastAsia" w:ascii="仿宋" w:hAnsi="仿宋" w:eastAsia="仿宋" w:cs="仿宋"/>
          <w:sz w:val="32"/>
          <w:szCs w:val="32"/>
        </w:rPr>
        <w:t>支出相对减少。</w:t>
      </w:r>
    </w:p>
    <w:p>
      <w:pPr>
        <w:widowControl/>
        <w:numPr>
          <w:ilvl w:val="0"/>
          <w:numId w:val="7"/>
        </w:numPr>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社会保障和就业(类）民政管理事务（款）行政区划和地名管理（项）支出。</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28.1</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1.19</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4.23</w:t>
      </w:r>
      <w:r>
        <w:rPr>
          <w:rFonts w:hint="eastAsia" w:ascii="仿宋" w:hAnsi="仿宋" w:eastAsia="仿宋" w:cs="仿宋"/>
          <w:sz w:val="32"/>
          <w:szCs w:val="32"/>
        </w:rPr>
        <w:t>%。决算数与年初预算数存在差异的主要原因是</w:t>
      </w:r>
      <w:r>
        <w:rPr>
          <w:rFonts w:hint="eastAsia" w:ascii="仿宋" w:hAnsi="仿宋" w:eastAsia="仿宋" w:cs="仿宋"/>
          <w:sz w:val="32"/>
          <w:szCs w:val="32"/>
          <w:lang w:eastAsia="zh-CN"/>
        </w:rPr>
        <w:t>本年度部分区划地名业务未能按进度开展</w:t>
      </w:r>
      <w:r>
        <w:rPr>
          <w:rFonts w:hint="eastAsia" w:ascii="仿宋" w:hAnsi="仿宋" w:eastAsia="仿宋" w:cs="仿宋"/>
          <w:sz w:val="32"/>
          <w:szCs w:val="32"/>
        </w:rPr>
        <w:t>，造成20</w:t>
      </w:r>
      <w:r>
        <w:rPr>
          <w:rFonts w:hint="eastAsia" w:ascii="仿宋" w:hAnsi="仿宋" w:eastAsia="仿宋" w:cs="仿宋"/>
          <w:sz w:val="32"/>
          <w:szCs w:val="32"/>
          <w:lang w:val="en-US" w:eastAsia="zh-CN"/>
        </w:rPr>
        <w:t>20</w:t>
      </w:r>
      <w:r>
        <w:rPr>
          <w:rFonts w:hint="eastAsia" w:ascii="仿宋" w:hAnsi="仿宋" w:eastAsia="仿宋" w:cs="仿宋"/>
          <w:sz w:val="32"/>
          <w:szCs w:val="32"/>
        </w:rPr>
        <w:t>年度</w:t>
      </w:r>
      <w:r>
        <w:rPr>
          <w:rFonts w:hint="eastAsia" w:ascii="仿宋" w:hAnsi="仿宋" w:eastAsia="仿宋" w:cs="仿宋"/>
          <w:sz w:val="32"/>
          <w:szCs w:val="32"/>
          <w:lang w:eastAsia="zh-CN"/>
        </w:rPr>
        <w:t>决算</w:t>
      </w:r>
      <w:r>
        <w:rPr>
          <w:rFonts w:hint="eastAsia" w:ascii="仿宋" w:hAnsi="仿宋" w:eastAsia="仿宋" w:cs="仿宋"/>
          <w:sz w:val="32"/>
          <w:szCs w:val="32"/>
        </w:rPr>
        <w:t>支出相对减少。</w:t>
      </w:r>
    </w:p>
    <w:p>
      <w:pPr>
        <w:widowControl/>
        <w:numPr>
          <w:ilvl w:val="0"/>
          <w:numId w:val="7"/>
        </w:numPr>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社会保障和就业(类）民政管理事务（款）其他民政管理事务（项）支出。</w:t>
      </w:r>
      <w:r>
        <w:rPr>
          <w:rFonts w:hint="eastAsia" w:ascii="仿宋" w:hAnsi="仿宋" w:eastAsia="仿宋" w:cs="仿宋"/>
          <w:sz w:val="32"/>
          <w:szCs w:val="32"/>
        </w:rPr>
        <w:t>年初预算为5</w:t>
      </w:r>
      <w:r>
        <w:rPr>
          <w:rFonts w:hint="eastAsia" w:ascii="仿宋" w:hAnsi="仿宋" w:eastAsia="仿宋" w:cs="仿宋"/>
          <w:sz w:val="32"/>
          <w:szCs w:val="32"/>
          <w:lang w:val="en-US" w:eastAsia="zh-CN"/>
        </w:rPr>
        <w:t>11.5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488.45</w:t>
      </w:r>
      <w:r>
        <w:rPr>
          <w:rFonts w:hint="eastAsia" w:ascii="仿宋" w:hAnsi="仿宋" w:eastAsia="仿宋" w:cs="仿宋"/>
          <w:sz w:val="32"/>
          <w:szCs w:val="32"/>
        </w:rPr>
        <w:t>万元，完成年初预算的9</w:t>
      </w:r>
      <w:r>
        <w:rPr>
          <w:rFonts w:hint="eastAsia" w:ascii="仿宋" w:hAnsi="仿宋" w:eastAsia="仿宋" w:cs="仿宋"/>
          <w:sz w:val="32"/>
          <w:szCs w:val="32"/>
          <w:lang w:val="en-US" w:eastAsia="zh-CN"/>
        </w:rPr>
        <w:t>5.49</w:t>
      </w:r>
      <w:r>
        <w:rPr>
          <w:rFonts w:hint="eastAsia" w:ascii="仿宋" w:hAnsi="仿宋" w:eastAsia="仿宋" w:cs="仿宋"/>
          <w:sz w:val="32"/>
          <w:szCs w:val="32"/>
        </w:rPr>
        <w:t>%。决算数与年初预算数基本相符。</w:t>
      </w:r>
    </w:p>
    <w:p>
      <w:pPr>
        <w:widowControl/>
        <w:numPr>
          <w:ilvl w:val="0"/>
          <w:numId w:val="7"/>
        </w:numPr>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社会保障和就业(类）行政事业单位</w:t>
      </w:r>
      <w:r>
        <w:rPr>
          <w:rFonts w:hint="eastAsia" w:ascii="仿宋" w:hAnsi="仿宋" w:eastAsia="仿宋" w:cs="仿宋"/>
          <w:b/>
          <w:bCs/>
          <w:sz w:val="32"/>
          <w:szCs w:val="32"/>
          <w:lang w:eastAsia="zh-CN"/>
        </w:rPr>
        <w:t>养老支出</w:t>
      </w:r>
      <w:r>
        <w:rPr>
          <w:rFonts w:hint="eastAsia" w:ascii="仿宋" w:hAnsi="仿宋" w:eastAsia="仿宋" w:cs="仿宋"/>
          <w:b/>
          <w:bCs/>
          <w:sz w:val="32"/>
          <w:szCs w:val="32"/>
        </w:rPr>
        <w:t>（款）行政单位离退休（项）支出。</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31.9</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93.59</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293.38</w:t>
      </w:r>
      <w:r>
        <w:rPr>
          <w:rFonts w:hint="eastAsia" w:ascii="仿宋" w:hAnsi="仿宋" w:eastAsia="仿宋" w:cs="仿宋"/>
          <w:sz w:val="32"/>
          <w:szCs w:val="32"/>
        </w:rPr>
        <w:t>%。决算数与年初预算数存在差异的主要原因是</w:t>
      </w:r>
      <w:r>
        <w:rPr>
          <w:rFonts w:hint="eastAsia" w:ascii="仿宋" w:hAnsi="仿宋" w:eastAsia="仿宋" w:cs="仿宋"/>
          <w:sz w:val="32"/>
          <w:szCs w:val="32"/>
          <w:lang w:eastAsia="zh-CN"/>
        </w:rPr>
        <w:t>本年度离退休人员退休费由财政统发</w:t>
      </w:r>
      <w:r>
        <w:rPr>
          <w:rFonts w:hint="eastAsia" w:ascii="仿宋" w:hAnsi="仿宋" w:eastAsia="仿宋" w:cs="仿宋"/>
          <w:sz w:val="32"/>
          <w:szCs w:val="32"/>
        </w:rPr>
        <w:t>，</w:t>
      </w:r>
      <w:r>
        <w:rPr>
          <w:rFonts w:hint="eastAsia" w:ascii="仿宋" w:hAnsi="仿宋" w:eastAsia="仿宋" w:cs="仿宋"/>
          <w:sz w:val="32"/>
          <w:szCs w:val="32"/>
          <w:lang w:eastAsia="zh-CN"/>
        </w:rPr>
        <w:t>未纳入年初预算，</w:t>
      </w:r>
      <w:r>
        <w:rPr>
          <w:rFonts w:hint="eastAsia" w:ascii="仿宋" w:hAnsi="仿宋" w:eastAsia="仿宋" w:cs="仿宋"/>
          <w:sz w:val="32"/>
          <w:szCs w:val="32"/>
        </w:rPr>
        <w:t>造成</w:t>
      </w:r>
      <w:r>
        <w:rPr>
          <w:rFonts w:hint="eastAsia" w:ascii="仿宋" w:hAnsi="仿宋" w:eastAsia="仿宋" w:cs="仿宋"/>
          <w:sz w:val="32"/>
          <w:szCs w:val="32"/>
          <w:lang w:eastAsia="zh-CN"/>
        </w:rPr>
        <w:t>决算</w:t>
      </w:r>
      <w:r>
        <w:rPr>
          <w:rFonts w:hint="eastAsia" w:ascii="仿宋" w:hAnsi="仿宋" w:eastAsia="仿宋" w:cs="仿宋"/>
          <w:sz w:val="32"/>
          <w:szCs w:val="32"/>
        </w:rPr>
        <w:t>支出相对</w:t>
      </w:r>
      <w:r>
        <w:rPr>
          <w:rFonts w:hint="eastAsia" w:ascii="仿宋" w:hAnsi="仿宋" w:eastAsia="仿宋" w:cs="仿宋"/>
          <w:sz w:val="32"/>
          <w:szCs w:val="32"/>
          <w:lang w:eastAsia="zh-CN"/>
        </w:rPr>
        <w:t>增加</w:t>
      </w:r>
      <w:r>
        <w:rPr>
          <w:rFonts w:hint="eastAsia" w:ascii="仿宋" w:hAnsi="仿宋" w:eastAsia="仿宋" w:cs="仿宋"/>
          <w:sz w:val="32"/>
          <w:szCs w:val="32"/>
        </w:rPr>
        <w:t>。</w:t>
      </w:r>
    </w:p>
    <w:p>
      <w:pPr>
        <w:widowControl/>
        <w:numPr>
          <w:ilvl w:val="0"/>
          <w:numId w:val="7"/>
        </w:numPr>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社会保障和就业(类）行政事业单位</w:t>
      </w:r>
      <w:r>
        <w:rPr>
          <w:rFonts w:hint="eastAsia" w:ascii="仿宋" w:hAnsi="仿宋" w:eastAsia="仿宋" w:cs="仿宋"/>
          <w:b/>
          <w:bCs/>
          <w:sz w:val="32"/>
          <w:szCs w:val="32"/>
          <w:lang w:eastAsia="zh-CN"/>
        </w:rPr>
        <w:t>养老支出</w:t>
      </w:r>
      <w:r>
        <w:rPr>
          <w:rFonts w:hint="eastAsia" w:ascii="仿宋" w:hAnsi="仿宋" w:eastAsia="仿宋" w:cs="仿宋"/>
          <w:b/>
          <w:bCs/>
          <w:sz w:val="32"/>
          <w:szCs w:val="32"/>
        </w:rPr>
        <w:t>（款）事业单位离退休（项）支出。</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33.67</w:t>
      </w:r>
      <w:r>
        <w:rPr>
          <w:rFonts w:hint="eastAsia" w:ascii="仿宋" w:hAnsi="仿宋" w:eastAsia="仿宋" w:cs="仿宋"/>
          <w:sz w:val="32"/>
          <w:szCs w:val="32"/>
        </w:rPr>
        <w:t>万元，决算数与年初预算数存在差异的主要原因是</w:t>
      </w:r>
      <w:r>
        <w:rPr>
          <w:rFonts w:hint="eastAsia" w:ascii="仿宋" w:hAnsi="仿宋" w:eastAsia="仿宋" w:cs="仿宋"/>
          <w:sz w:val="32"/>
          <w:szCs w:val="32"/>
          <w:lang w:eastAsia="zh-CN"/>
        </w:rPr>
        <w:t>本年度离退休人员退休费由财政统发</w:t>
      </w:r>
      <w:r>
        <w:rPr>
          <w:rFonts w:hint="eastAsia" w:ascii="仿宋" w:hAnsi="仿宋" w:eastAsia="仿宋" w:cs="仿宋"/>
          <w:sz w:val="32"/>
          <w:szCs w:val="32"/>
        </w:rPr>
        <w:t>，</w:t>
      </w:r>
      <w:r>
        <w:rPr>
          <w:rFonts w:hint="eastAsia" w:ascii="仿宋" w:hAnsi="仿宋" w:eastAsia="仿宋" w:cs="仿宋"/>
          <w:sz w:val="32"/>
          <w:szCs w:val="32"/>
          <w:lang w:eastAsia="zh-CN"/>
        </w:rPr>
        <w:t>未纳入年初预算，</w:t>
      </w:r>
      <w:r>
        <w:rPr>
          <w:rFonts w:hint="eastAsia" w:ascii="仿宋" w:hAnsi="仿宋" w:eastAsia="仿宋" w:cs="仿宋"/>
          <w:sz w:val="32"/>
          <w:szCs w:val="32"/>
        </w:rPr>
        <w:t>造成</w:t>
      </w:r>
      <w:r>
        <w:rPr>
          <w:rFonts w:hint="eastAsia" w:ascii="仿宋" w:hAnsi="仿宋" w:eastAsia="仿宋" w:cs="仿宋"/>
          <w:sz w:val="32"/>
          <w:szCs w:val="32"/>
          <w:lang w:eastAsia="zh-CN"/>
        </w:rPr>
        <w:t>决算</w:t>
      </w:r>
      <w:r>
        <w:rPr>
          <w:rFonts w:hint="eastAsia" w:ascii="仿宋" w:hAnsi="仿宋" w:eastAsia="仿宋" w:cs="仿宋"/>
          <w:sz w:val="32"/>
          <w:szCs w:val="32"/>
        </w:rPr>
        <w:t>支出相对</w:t>
      </w:r>
      <w:r>
        <w:rPr>
          <w:rFonts w:hint="eastAsia" w:ascii="仿宋" w:hAnsi="仿宋" w:eastAsia="仿宋" w:cs="仿宋"/>
          <w:sz w:val="32"/>
          <w:szCs w:val="32"/>
          <w:lang w:eastAsia="zh-CN"/>
        </w:rPr>
        <w:t>增加</w:t>
      </w:r>
      <w:r>
        <w:rPr>
          <w:rFonts w:hint="eastAsia" w:ascii="仿宋" w:hAnsi="仿宋" w:eastAsia="仿宋" w:cs="仿宋"/>
          <w:sz w:val="32"/>
          <w:szCs w:val="32"/>
        </w:rPr>
        <w:t>。</w:t>
      </w:r>
    </w:p>
    <w:p>
      <w:pPr>
        <w:widowControl/>
        <w:numPr>
          <w:ilvl w:val="0"/>
          <w:numId w:val="7"/>
        </w:numPr>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社会保障和就业(类）行政事业单位</w:t>
      </w:r>
      <w:r>
        <w:rPr>
          <w:rFonts w:hint="eastAsia" w:ascii="仿宋" w:hAnsi="仿宋" w:eastAsia="仿宋" w:cs="仿宋"/>
          <w:b/>
          <w:bCs/>
          <w:sz w:val="32"/>
          <w:szCs w:val="32"/>
          <w:lang w:eastAsia="zh-CN"/>
        </w:rPr>
        <w:t>养老支出</w:t>
      </w:r>
      <w:r>
        <w:rPr>
          <w:rFonts w:hint="eastAsia" w:ascii="仿宋" w:hAnsi="仿宋" w:eastAsia="仿宋" w:cs="仿宋"/>
          <w:b/>
          <w:bCs/>
          <w:sz w:val="32"/>
          <w:szCs w:val="32"/>
        </w:rPr>
        <w:t>（款）机关事业单位基本养老保险缴费（项）支出。</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48.7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35.43</w:t>
      </w:r>
      <w:r>
        <w:rPr>
          <w:rFonts w:hint="eastAsia" w:ascii="仿宋" w:hAnsi="仿宋" w:eastAsia="仿宋" w:cs="仿宋"/>
          <w:sz w:val="32"/>
          <w:szCs w:val="32"/>
        </w:rPr>
        <w:t>万元，完成年初预算的7</w:t>
      </w:r>
      <w:r>
        <w:rPr>
          <w:rFonts w:hint="eastAsia" w:ascii="仿宋" w:hAnsi="仿宋" w:eastAsia="仿宋" w:cs="仿宋"/>
          <w:sz w:val="32"/>
          <w:szCs w:val="32"/>
          <w:lang w:val="en-US" w:eastAsia="zh-CN"/>
        </w:rPr>
        <w:t>2.7</w:t>
      </w:r>
      <w:r>
        <w:rPr>
          <w:rFonts w:hint="eastAsia" w:ascii="仿宋" w:hAnsi="仿宋" w:eastAsia="仿宋" w:cs="仿宋"/>
          <w:sz w:val="32"/>
          <w:szCs w:val="32"/>
        </w:rPr>
        <w:t>5%，决算数与年初预算数存在差异的主要原因是20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8月</w:t>
      </w:r>
      <w:r>
        <w:rPr>
          <w:rFonts w:hint="eastAsia" w:ascii="仿宋" w:hAnsi="仿宋" w:eastAsia="仿宋" w:cs="仿宋"/>
          <w:sz w:val="32"/>
          <w:szCs w:val="32"/>
          <w:lang w:eastAsia="zh-CN"/>
        </w:rPr>
        <w:t>部分人员移交退役军人事务局</w:t>
      </w:r>
      <w:r>
        <w:rPr>
          <w:rFonts w:hint="eastAsia" w:ascii="仿宋" w:hAnsi="仿宋" w:eastAsia="仿宋" w:cs="仿宋"/>
          <w:sz w:val="32"/>
          <w:szCs w:val="32"/>
        </w:rPr>
        <w:t>，人员减少，造成</w:t>
      </w:r>
      <w:r>
        <w:rPr>
          <w:rFonts w:hint="eastAsia" w:ascii="仿宋" w:hAnsi="仿宋" w:eastAsia="仿宋" w:cs="仿宋"/>
          <w:sz w:val="32"/>
          <w:szCs w:val="32"/>
          <w:lang w:eastAsia="zh-CN"/>
        </w:rPr>
        <w:t>决算</w:t>
      </w:r>
      <w:r>
        <w:rPr>
          <w:rFonts w:hint="eastAsia" w:ascii="仿宋" w:hAnsi="仿宋" w:eastAsia="仿宋" w:cs="仿宋"/>
          <w:sz w:val="32"/>
          <w:szCs w:val="32"/>
        </w:rPr>
        <w:t>支出相对减少。</w:t>
      </w:r>
    </w:p>
    <w:p>
      <w:pPr>
        <w:widowControl/>
        <w:numPr>
          <w:ilvl w:val="0"/>
          <w:numId w:val="7"/>
        </w:numPr>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社会保障和就业(类）社会福利（款）儿童福利（项）支出。</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238.3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57.9</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24.3</w:t>
      </w:r>
      <w:r>
        <w:rPr>
          <w:rFonts w:hint="eastAsia" w:ascii="仿宋" w:hAnsi="仿宋" w:eastAsia="仿宋" w:cs="仿宋"/>
          <w:sz w:val="32"/>
          <w:szCs w:val="32"/>
        </w:rPr>
        <w:t>%，决算数与年初预算数存在差异的主要原因是20</w:t>
      </w:r>
      <w:r>
        <w:rPr>
          <w:rFonts w:hint="eastAsia" w:ascii="仿宋" w:hAnsi="仿宋" w:eastAsia="仿宋" w:cs="仿宋"/>
          <w:sz w:val="32"/>
          <w:szCs w:val="32"/>
          <w:lang w:val="en-US" w:eastAsia="zh-CN"/>
        </w:rPr>
        <w:t>20</w:t>
      </w:r>
      <w:r>
        <w:rPr>
          <w:rFonts w:hint="eastAsia" w:ascii="仿宋" w:hAnsi="仿宋" w:eastAsia="仿宋" w:cs="仿宋"/>
          <w:sz w:val="32"/>
          <w:szCs w:val="32"/>
        </w:rPr>
        <w:t>年儿童福利中心预算未能执行到位，造成</w:t>
      </w:r>
      <w:r>
        <w:rPr>
          <w:rFonts w:hint="eastAsia" w:ascii="仿宋" w:hAnsi="仿宋" w:eastAsia="仿宋" w:cs="仿宋"/>
          <w:sz w:val="32"/>
          <w:szCs w:val="32"/>
          <w:lang w:eastAsia="zh-CN"/>
        </w:rPr>
        <w:t>决算</w:t>
      </w:r>
      <w:r>
        <w:rPr>
          <w:rFonts w:hint="eastAsia" w:ascii="仿宋" w:hAnsi="仿宋" w:eastAsia="仿宋" w:cs="仿宋"/>
          <w:sz w:val="32"/>
          <w:szCs w:val="32"/>
        </w:rPr>
        <w:t>支出相对减少。</w:t>
      </w:r>
    </w:p>
    <w:p>
      <w:pPr>
        <w:widowControl/>
        <w:numPr>
          <w:ilvl w:val="0"/>
          <w:numId w:val="7"/>
        </w:numPr>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社会保障和就业(类）社会福利（款）老年福利（项）支出。</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2598.8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2635.6</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101.41</w:t>
      </w:r>
      <w:r>
        <w:rPr>
          <w:rFonts w:hint="eastAsia" w:ascii="仿宋" w:hAnsi="仿宋" w:eastAsia="仿宋" w:cs="仿宋"/>
          <w:sz w:val="32"/>
          <w:szCs w:val="32"/>
        </w:rPr>
        <w:t>%，决算数与年初预算数基本相符。</w:t>
      </w:r>
    </w:p>
    <w:p>
      <w:pPr>
        <w:widowControl/>
        <w:numPr>
          <w:ilvl w:val="0"/>
          <w:numId w:val="7"/>
        </w:numPr>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社会保障和就业(类）社会福利（款）殡葬（项）支出。</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62.2</w:t>
      </w:r>
      <w:r>
        <w:rPr>
          <w:rFonts w:hint="eastAsia" w:ascii="仿宋" w:hAnsi="仿宋" w:eastAsia="仿宋" w:cs="仿宋"/>
          <w:sz w:val="32"/>
          <w:szCs w:val="32"/>
        </w:rPr>
        <w:t>万元，支出决算为1</w:t>
      </w:r>
      <w:r>
        <w:rPr>
          <w:rFonts w:hint="eastAsia" w:ascii="仿宋" w:hAnsi="仿宋" w:eastAsia="仿宋" w:cs="仿宋"/>
          <w:sz w:val="32"/>
          <w:szCs w:val="32"/>
          <w:lang w:val="en-US" w:eastAsia="zh-CN"/>
        </w:rPr>
        <w:t>09.4</w:t>
      </w:r>
      <w:r>
        <w:rPr>
          <w:rFonts w:hint="eastAsia" w:ascii="仿宋" w:hAnsi="仿宋" w:eastAsia="仿宋" w:cs="仿宋"/>
          <w:sz w:val="32"/>
          <w:szCs w:val="32"/>
        </w:rPr>
        <w:t>万元，完成年初预算的1</w:t>
      </w:r>
      <w:r>
        <w:rPr>
          <w:rFonts w:hint="eastAsia" w:ascii="仿宋" w:hAnsi="仿宋" w:eastAsia="仿宋" w:cs="仿宋"/>
          <w:sz w:val="32"/>
          <w:szCs w:val="32"/>
          <w:lang w:val="en-US" w:eastAsia="zh-CN"/>
        </w:rPr>
        <w:t>75.88</w:t>
      </w:r>
      <w:r>
        <w:rPr>
          <w:rFonts w:hint="eastAsia" w:ascii="仿宋" w:hAnsi="仿宋" w:eastAsia="仿宋" w:cs="仿宋"/>
          <w:sz w:val="32"/>
          <w:szCs w:val="32"/>
        </w:rPr>
        <w:t>%，决算数与年初预算数存在差异的主要原因是20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市</w:t>
      </w:r>
      <w:r>
        <w:rPr>
          <w:rFonts w:hint="eastAsia" w:ascii="仿宋" w:hAnsi="仿宋" w:eastAsia="仿宋" w:cs="仿宋"/>
          <w:sz w:val="32"/>
          <w:szCs w:val="32"/>
        </w:rPr>
        <w:t>级下达的</w:t>
      </w:r>
      <w:r>
        <w:rPr>
          <w:rFonts w:hint="eastAsia" w:ascii="仿宋" w:hAnsi="仿宋" w:eastAsia="仿宋" w:cs="仿宋"/>
          <w:sz w:val="32"/>
          <w:szCs w:val="32"/>
          <w:lang w:eastAsia="zh-CN"/>
        </w:rPr>
        <w:t>惠民殡葬补贴指标</w:t>
      </w:r>
      <w:r>
        <w:rPr>
          <w:rFonts w:hint="eastAsia" w:ascii="仿宋" w:hAnsi="仿宋" w:eastAsia="仿宋" w:cs="仿宋"/>
          <w:sz w:val="32"/>
          <w:szCs w:val="32"/>
        </w:rPr>
        <w:t>未在年初预算中</w:t>
      </w:r>
      <w:r>
        <w:rPr>
          <w:rFonts w:hint="eastAsia" w:ascii="仿宋" w:hAnsi="仿宋" w:eastAsia="仿宋" w:cs="仿宋"/>
          <w:sz w:val="32"/>
          <w:szCs w:val="32"/>
          <w:lang w:eastAsia="zh-CN"/>
        </w:rPr>
        <w:t>反应</w:t>
      </w:r>
      <w:r>
        <w:rPr>
          <w:rFonts w:hint="eastAsia" w:ascii="仿宋" w:hAnsi="仿宋" w:eastAsia="仿宋" w:cs="仿宋"/>
          <w:sz w:val="32"/>
          <w:szCs w:val="32"/>
        </w:rPr>
        <w:t>，造成</w:t>
      </w:r>
      <w:r>
        <w:rPr>
          <w:rFonts w:hint="eastAsia" w:ascii="仿宋" w:hAnsi="仿宋" w:eastAsia="仿宋" w:cs="仿宋"/>
          <w:sz w:val="32"/>
          <w:szCs w:val="32"/>
          <w:lang w:eastAsia="zh-CN"/>
        </w:rPr>
        <w:t>决算</w:t>
      </w:r>
      <w:r>
        <w:rPr>
          <w:rFonts w:hint="eastAsia" w:ascii="仿宋" w:hAnsi="仿宋" w:eastAsia="仿宋" w:cs="仿宋"/>
          <w:sz w:val="32"/>
          <w:szCs w:val="32"/>
        </w:rPr>
        <w:t>支出大幅度增加。</w:t>
      </w:r>
    </w:p>
    <w:p>
      <w:pPr>
        <w:widowControl/>
        <w:numPr>
          <w:ilvl w:val="0"/>
          <w:numId w:val="7"/>
        </w:numPr>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社会保障和就业(类）社会福利（款）其他社会福利（项）支出。</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万元，支出决算为7</w:t>
      </w:r>
      <w:r>
        <w:rPr>
          <w:rFonts w:hint="eastAsia" w:ascii="仿宋" w:hAnsi="仿宋" w:eastAsia="仿宋" w:cs="仿宋"/>
          <w:sz w:val="32"/>
          <w:szCs w:val="32"/>
          <w:lang w:val="en-US" w:eastAsia="zh-CN"/>
        </w:rPr>
        <w:t>85.44</w:t>
      </w:r>
      <w:r>
        <w:rPr>
          <w:rFonts w:hint="eastAsia" w:ascii="仿宋" w:hAnsi="仿宋" w:eastAsia="仿宋" w:cs="仿宋"/>
          <w:sz w:val="32"/>
          <w:szCs w:val="32"/>
        </w:rPr>
        <w:t>万元，决算数与年初预算数存在差异的主要原因是20</w:t>
      </w:r>
      <w:r>
        <w:rPr>
          <w:rFonts w:hint="eastAsia" w:ascii="仿宋" w:hAnsi="仿宋" w:eastAsia="仿宋" w:cs="仿宋"/>
          <w:sz w:val="32"/>
          <w:szCs w:val="32"/>
          <w:lang w:val="en-US" w:eastAsia="zh-CN"/>
        </w:rPr>
        <w:t>20</w:t>
      </w:r>
      <w:r>
        <w:rPr>
          <w:rFonts w:hint="eastAsia" w:ascii="仿宋" w:hAnsi="仿宋" w:eastAsia="仿宋" w:cs="仿宋"/>
          <w:sz w:val="32"/>
          <w:szCs w:val="32"/>
        </w:rPr>
        <w:t>年上级下达的福利彩票资金未在年初预算中</w:t>
      </w:r>
      <w:r>
        <w:rPr>
          <w:rFonts w:hint="eastAsia" w:ascii="仿宋" w:hAnsi="仿宋" w:eastAsia="仿宋" w:cs="仿宋"/>
          <w:sz w:val="32"/>
          <w:szCs w:val="32"/>
          <w:lang w:eastAsia="zh-CN"/>
        </w:rPr>
        <w:t>列支</w:t>
      </w:r>
      <w:r>
        <w:rPr>
          <w:rFonts w:hint="eastAsia" w:ascii="仿宋" w:hAnsi="仿宋" w:eastAsia="仿宋" w:cs="仿宋"/>
          <w:sz w:val="32"/>
          <w:szCs w:val="32"/>
        </w:rPr>
        <w:t>，造成20</w:t>
      </w:r>
      <w:r>
        <w:rPr>
          <w:rFonts w:hint="eastAsia" w:ascii="仿宋" w:hAnsi="仿宋" w:eastAsia="仿宋" w:cs="仿宋"/>
          <w:sz w:val="32"/>
          <w:szCs w:val="32"/>
          <w:lang w:val="en-US" w:eastAsia="zh-CN"/>
        </w:rPr>
        <w:t>20</w:t>
      </w:r>
      <w:r>
        <w:rPr>
          <w:rFonts w:hint="eastAsia" w:ascii="仿宋" w:hAnsi="仿宋" w:eastAsia="仿宋" w:cs="仿宋"/>
          <w:sz w:val="32"/>
          <w:szCs w:val="32"/>
        </w:rPr>
        <w:t>年度支出大幅度增加。</w:t>
      </w:r>
    </w:p>
    <w:p>
      <w:pPr>
        <w:widowControl/>
        <w:numPr>
          <w:ilvl w:val="0"/>
          <w:numId w:val="7"/>
        </w:numPr>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社会保障和就业(类）残疾人事业（款）残疾人生活和护理补贴（项）支出。</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382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598.6</w:t>
      </w:r>
      <w:r>
        <w:rPr>
          <w:rFonts w:hint="eastAsia" w:ascii="仿宋" w:hAnsi="仿宋" w:eastAsia="仿宋" w:cs="仿宋"/>
          <w:sz w:val="32"/>
          <w:szCs w:val="32"/>
        </w:rPr>
        <w:t>万元，完成年初预算的1</w:t>
      </w:r>
      <w:r>
        <w:rPr>
          <w:rFonts w:hint="eastAsia" w:ascii="仿宋" w:hAnsi="仿宋" w:eastAsia="仿宋" w:cs="仿宋"/>
          <w:sz w:val="32"/>
          <w:szCs w:val="32"/>
          <w:lang w:val="en-US" w:eastAsia="zh-CN"/>
        </w:rPr>
        <w:t>56.7</w:t>
      </w:r>
      <w:r>
        <w:rPr>
          <w:rFonts w:hint="eastAsia" w:ascii="仿宋" w:hAnsi="仿宋" w:eastAsia="仿宋" w:cs="仿宋"/>
          <w:sz w:val="32"/>
          <w:szCs w:val="32"/>
        </w:rPr>
        <w:t>%，决算数与年初预算数存在差异的主要原因是20</w:t>
      </w:r>
      <w:r>
        <w:rPr>
          <w:rFonts w:hint="eastAsia" w:ascii="仿宋" w:hAnsi="仿宋" w:eastAsia="仿宋" w:cs="仿宋"/>
          <w:sz w:val="32"/>
          <w:szCs w:val="32"/>
          <w:lang w:val="en-US" w:eastAsia="zh-CN"/>
        </w:rPr>
        <w:t>20</w:t>
      </w:r>
      <w:r>
        <w:rPr>
          <w:rFonts w:hint="eastAsia" w:ascii="仿宋" w:hAnsi="仿宋" w:eastAsia="仿宋" w:cs="仿宋"/>
          <w:sz w:val="32"/>
          <w:szCs w:val="32"/>
        </w:rPr>
        <w:t>年上级下达的</w:t>
      </w:r>
      <w:r>
        <w:rPr>
          <w:rFonts w:hint="eastAsia" w:ascii="仿宋" w:hAnsi="仿宋" w:eastAsia="仿宋" w:cs="仿宋"/>
          <w:sz w:val="32"/>
          <w:szCs w:val="32"/>
          <w:lang w:eastAsia="zh-CN"/>
        </w:rPr>
        <w:t>残疾人两补指标</w:t>
      </w:r>
      <w:r>
        <w:rPr>
          <w:rFonts w:hint="eastAsia" w:ascii="仿宋" w:hAnsi="仿宋" w:eastAsia="仿宋" w:cs="仿宋"/>
          <w:sz w:val="32"/>
          <w:szCs w:val="32"/>
        </w:rPr>
        <w:t>未在年初预算中</w:t>
      </w:r>
      <w:r>
        <w:rPr>
          <w:rFonts w:hint="eastAsia" w:ascii="仿宋" w:hAnsi="仿宋" w:eastAsia="仿宋" w:cs="仿宋"/>
          <w:sz w:val="32"/>
          <w:szCs w:val="32"/>
          <w:lang w:eastAsia="zh-CN"/>
        </w:rPr>
        <w:t>列支</w:t>
      </w:r>
      <w:r>
        <w:rPr>
          <w:rFonts w:hint="eastAsia" w:ascii="仿宋" w:hAnsi="仿宋" w:eastAsia="仿宋" w:cs="仿宋"/>
          <w:sz w:val="32"/>
          <w:szCs w:val="32"/>
        </w:rPr>
        <w:t>，造成20</w:t>
      </w:r>
      <w:r>
        <w:rPr>
          <w:rFonts w:hint="eastAsia" w:ascii="仿宋" w:hAnsi="仿宋" w:eastAsia="仿宋" w:cs="仿宋"/>
          <w:sz w:val="32"/>
          <w:szCs w:val="32"/>
          <w:lang w:val="en-US" w:eastAsia="zh-CN"/>
        </w:rPr>
        <w:t>20</w:t>
      </w:r>
      <w:r>
        <w:rPr>
          <w:rFonts w:hint="eastAsia" w:ascii="仿宋" w:hAnsi="仿宋" w:eastAsia="仿宋" w:cs="仿宋"/>
          <w:sz w:val="32"/>
          <w:szCs w:val="32"/>
        </w:rPr>
        <w:t>年度支出大幅度增加。</w:t>
      </w:r>
    </w:p>
    <w:p>
      <w:pPr>
        <w:widowControl/>
        <w:numPr>
          <w:ilvl w:val="0"/>
          <w:numId w:val="7"/>
        </w:numPr>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社会保障和就业(类）最低生活保障（款）城市最低生活保障金（项）支出。</w:t>
      </w:r>
      <w:r>
        <w:rPr>
          <w:rFonts w:hint="eastAsia" w:ascii="仿宋" w:hAnsi="仿宋" w:eastAsia="仿宋" w:cs="仿宋"/>
          <w:sz w:val="32"/>
          <w:szCs w:val="32"/>
        </w:rPr>
        <w:t>年初预算为4</w:t>
      </w:r>
      <w:r>
        <w:rPr>
          <w:rFonts w:hint="eastAsia" w:ascii="仿宋" w:hAnsi="仿宋" w:eastAsia="仿宋" w:cs="仿宋"/>
          <w:sz w:val="32"/>
          <w:szCs w:val="32"/>
          <w:lang w:val="en-US" w:eastAsia="zh-CN"/>
        </w:rPr>
        <w:t>724.7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4128.9</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87.4</w:t>
      </w:r>
      <w:r>
        <w:rPr>
          <w:rFonts w:hint="eastAsia" w:ascii="仿宋" w:hAnsi="仿宋" w:eastAsia="仿宋" w:cs="仿宋"/>
          <w:sz w:val="32"/>
          <w:szCs w:val="32"/>
        </w:rPr>
        <w:t>%，决算数与年初预算数存在差异的主要原因是20</w:t>
      </w:r>
      <w:r>
        <w:rPr>
          <w:rFonts w:hint="eastAsia" w:ascii="仿宋" w:hAnsi="仿宋" w:eastAsia="仿宋" w:cs="仿宋"/>
          <w:sz w:val="32"/>
          <w:szCs w:val="32"/>
          <w:lang w:val="en-US" w:eastAsia="zh-CN"/>
        </w:rPr>
        <w:t>20</w:t>
      </w:r>
      <w:r>
        <w:rPr>
          <w:rFonts w:hint="eastAsia" w:ascii="仿宋" w:hAnsi="仿宋" w:eastAsia="仿宋" w:cs="仿宋"/>
          <w:sz w:val="32"/>
          <w:szCs w:val="32"/>
        </w:rPr>
        <w:t>年加强低保核查，造成20</w:t>
      </w:r>
      <w:r>
        <w:rPr>
          <w:rFonts w:hint="eastAsia" w:ascii="仿宋" w:hAnsi="仿宋" w:eastAsia="仿宋" w:cs="仿宋"/>
          <w:sz w:val="32"/>
          <w:szCs w:val="32"/>
          <w:lang w:val="en-US" w:eastAsia="zh-CN"/>
        </w:rPr>
        <w:t>20</w:t>
      </w:r>
      <w:r>
        <w:rPr>
          <w:rFonts w:hint="eastAsia" w:ascii="仿宋" w:hAnsi="仿宋" w:eastAsia="仿宋" w:cs="仿宋"/>
          <w:sz w:val="32"/>
          <w:szCs w:val="32"/>
        </w:rPr>
        <w:t>年度支出减少。</w:t>
      </w:r>
    </w:p>
    <w:p>
      <w:pPr>
        <w:widowControl/>
        <w:numPr>
          <w:ilvl w:val="0"/>
          <w:numId w:val="7"/>
        </w:numPr>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社会保障和就业(类）最低生活保障（款）农村最低生活保障金（项）支出。</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2021.2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3078.5</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152.31</w:t>
      </w:r>
      <w:r>
        <w:rPr>
          <w:rFonts w:hint="eastAsia" w:ascii="仿宋" w:hAnsi="仿宋" w:eastAsia="仿宋" w:cs="仿宋"/>
          <w:sz w:val="32"/>
          <w:szCs w:val="32"/>
        </w:rPr>
        <w:t>%，决算数与年初预算数存在差异的主要原因是20</w:t>
      </w:r>
      <w:r>
        <w:rPr>
          <w:rFonts w:hint="eastAsia" w:ascii="仿宋" w:hAnsi="仿宋" w:eastAsia="仿宋" w:cs="仿宋"/>
          <w:sz w:val="32"/>
          <w:szCs w:val="32"/>
          <w:lang w:val="en-US" w:eastAsia="zh-CN"/>
        </w:rPr>
        <w:t>20</w:t>
      </w:r>
      <w:r>
        <w:rPr>
          <w:rFonts w:hint="eastAsia" w:ascii="仿宋" w:hAnsi="仿宋" w:eastAsia="仿宋" w:cs="仿宋"/>
          <w:sz w:val="32"/>
          <w:szCs w:val="32"/>
        </w:rPr>
        <w:t>年上级下达的</w:t>
      </w:r>
      <w:r>
        <w:rPr>
          <w:rFonts w:hint="eastAsia" w:ascii="仿宋" w:hAnsi="仿宋" w:eastAsia="仿宋" w:cs="仿宋"/>
          <w:sz w:val="32"/>
          <w:szCs w:val="32"/>
          <w:lang w:eastAsia="zh-CN"/>
        </w:rPr>
        <w:t>困难群众救助指标</w:t>
      </w:r>
      <w:r>
        <w:rPr>
          <w:rFonts w:hint="eastAsia" w:ascii="仿宋" w:hAnsi="仿宋" w:eastAsia="仿宋" w:cs="仿宋"/>
          <w:sz w:val="32"/>
          <w:szCs w:val="32"/>
        </w:rPr>
        <w:t>未在年初预算中</w:t>
      </w:r>
      <w:r>
        <w:rPr>
          <w:rFonts w:hint="eastAsia" w:ascii="仿宋" w:hAnsi="仿宋" w:eastAsia="仿宋" w:cs="仿宋"/>
          <w:sz w:val="32"/>
          <w:szCs w:val="32"/>
          <w:lang w:eastAsia="zh-CN"/>
        </w:rPr>
        <w:t>列支</w:t>
      </w:r>
      <w:r>
        <w:rPr>
          <w:rFonts w:hint="eastAsia" w:ascii="仿宋" w:hAnsi="仿宋" w:eastAsia="仿宋" w:cs="仿宋"/>
          <w:sz w:val="32"/>
          <w:szCs w:val="32"/>
        </w:rPr>
        <w:t>，造成</w:t>
      </w:r>
      <w:r>
        <w:rPr>
          <w:rFonts w:hint="eastAsia" w:ascii="仿宋" w:hAnsi="仿宋" w:eastAsia="仿宋" w:cs="仿宋"/>
          <w:sz w:val="32"/>
          <w:szCs w:val="32"/>
          <w:lang w:eastAsia="zh-CN"/>
        </w:rPr>
        <w:t>决算</w:t>
      </w:r>
      <w:r>
        <w:rPr>
          <w:rFonts w:hint="eastAsia" w:ascii="仿宋" w:hAnsi="仿宋" w:eastAsia="仿宋" w:cs="仿宋"/>
          <w:sz w:val="32"/>
          <w:szCs w:val="32"/>
        </w:rPr>
        <w:t>支出大幅度增加。</w:t>
      </w:r>
    </w:p>
    <w:p>
      <w:pPr>
        <w:widowControl/>
        <w:numPr>
          <w:ilvl w:val="0"/>
          <w:numId w:val="7"/>
        </w:numPr>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社会保障和就业(类）临时救助（款）临时救助（项）支出。</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35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457.73</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1307.8</w:t>
      </w:r>
      <w:r>
        <w:rPr>
          <w:rFonts w:hint="eastAsia" w:ascii="仿宋" w:hAnsi="仿宋" w:eastAsia="仿宋" w:cs="仿宋"/>
          <w:sz w:val="32"/>
          <w:szCs w:val="32"/>
        </w:rPr>
        <w:t>%，决算数与年初预算数存在差异的主要原因是20</w:t>
      </w:r>
      <w:r>
        <w:rPr>
          <w:rFonts w:hint="eastAsia" w:ascii="仿宋" w:hAnsi="仿宋" w:eastAsia="仿宋" w:cs="仿宋"/>
          <w:sz w:val="32"/>
          <w:szCs w:val="32"/>
          <w:lang w:val="en-US" w:eastAsia="zh-CN"/>
        </w:rPr>
        <w:t>20</w:t>
      </w:r>
      <w:r>
        <w:rPr>
          <w:rFonts w:hint="eastAsia" w:ascii="仿宋" w:hAnsi="仿宋" w:eastAsia="仿宋" w:cs="仿宋"/>
          <w:sz w:val="32"/>
          <w:szCs w:val="32"/>
        </w:rPr>
        <w:t>年上级下达的</w:t>
      </w:r>
      <w:r>
        <w:rPr>
          <w:rFonts w:hint="eastAsia" w:ascii="仿宋" w:hAnsi="仿宋" w:eastAsia="仿宋" w:cs="仿宋"/>
          <w:sz w:val="32"/>
          <w:szCs w:val="32"/>
          <w:lang w:eastAsia="zh-CN"/>
        </w:rPr>
        <w:t>困难群众救助指标</w:t>
      </w:r>
      <w:r>
        <w:rPr>
          <w:rFonts w:hint="eastAsia" w:ascii="仿宋" w:hAnsi="仿宋" w:eastAsia="仿宋" w:cs="仿宋"/>
          <w:sz w:val="32"/>
          <w:szCs w:val="32"/>
        </w:rPr>
        <w:t>未在年初预算中</w:t>
      </w:r>
      <w:r>
        <w:rPr>
          <w:rFonts w:hint="eastAsia" w:ascii="仿宋" w:hAnsi="仿宋" w:eastAsia="仿宋" w:cs="仿宋"/>
          <w:sz w:val="32"/>
          <w:szCs w:val="32"/>
          <w:lang w:eastAsia="zh-CN"/>
        </w:rPr>
        <w:t>列支，抗疫期间</w:t>
      </w:r>
      <w:r>
        <w:rPr>
          <w:rFonts w:hint="eastAsia" w:ascii="仿宋" w:hAnsi="仿宋" w:eastAsia="仿宋" w:cs="仿宋"/>
          <w:sz w:val="32"/>
          <w:szCs w:val="32"/>
        </w:rPr>
        <w:t>加大临时救助力度，造成20</w:t>
      </w:r>
      <w:r>
        <w:rPr>
          <w:rFonts w:hint="eastAsia" w:ascii="仿宋" w:hAnsi="仿宋" w:eastAsia="仿宋" w:cs="仿宋"/>
          <w:sz w:val="32"/>
          <w:szCs w:val="32"/>
          <w:lang w:val="en-US" w:eastAsia="zh-CN"/>
        </w:rPr>
        <w:t>20</w:t>
      </w:r>
      <w:r>
        <w:rPr>
          <w:rFonts w:hint="eastAsia" w:ascii="仿宋" w:hAnsi="仿宋" w:eastAsia="仿宋" w:cs="仿宋"/>
          <w:sz w:val="32"/>
          <w:szCs w:val="32"/>
        </w:rPr>
        <w:t>年度支出相对增加。</w:t>
      </w:r>
    </w:p>
    <w:p>
      <w:pPr>
        <w:widowControl/>
        <w:numPr>
          <w:ilvl w:val="0"/>
          <w:numId w:val="7"/>
        </w:numPr>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社会保障和就业(类）临时救助（款）流浪乞讨人员救助（项）支出。</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17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46.2</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271.76</w:t>
      </w:r>
      <w:r>
        <w:rPr>
          <w:rFonts w:hint="eastAsia" w:ascii="仿宋" w:hAnsi="仿宋" w:eastAsia="仿宋" w:cs="仿宋"/>
          <w:sz w:val="32"/>
          <w:szCs w:val="32"/>
        </w:rPr>
        <w:t>%，决算数与年初预算数存在差异的主要原因是20</w:t>
      </w:r>
      <w:r>
        <w:rPr>
          <w:rFonts w:hint="eastAsia" w:ascii="仿宋" w:hAnsi="仿宋" w:eastAsia="仿宋" w:cs="仿宋"/>
          <w:sz w:val="32"/>
          <w:szCs w:val="32"/>
          <w:lang w:val="en-US" w:eastAsia="zh-CN"/>
        </w:rPr>
        <w:t>20</w:t>
      </w:r>
      <w:r>
        <w:rPr>
          <w:rFonts w:hint="eastAsia" w:ascii="仿宋" w:hAnsi="仿宋" w:eastAsia="仿宋" w:cs="仿宋"/>
          <w:sz w:val="32"/>
          <w:szCs w:val="32"/>
        </w:rPr>
        <w:t>年上级下达的</w:t>
      </w:r>
      <w:r>
        <w:rPr>
          <w:rFonts w:hint="eastAsia" w:ascii="仿宋" w:hAnsi="仿宋" w:eastAsia="仿宋" w:cs="仿宋"/>
          <w:sz w:val="32"/>
          <w:szCs w:val="32"/>
          <w:lang w:eastAsia="zh-CN"/>
        </w:rPr>
        <w:t>流浪乞讨人员救助指标</w:t>
      </w:r>
      <w:r>
        <w:rPr>
          <w:rFonts w:hint="eastAsia" w:ascii="仿宋" w:hAnsi="仿宋" w:eastAsia="仿宋" w:cs="仿宋"/>
          <w:sz w:val="32"/>
          <w:szCs w:val="32"/>
        </w:rPr>
        <w:t>未在年初预算中</w:t>
      </w:r>
      <w:r>
        <w:rPr>
          <w:rFonts w:hint="eastAsia" w:ascii="仿宋" w:hAnsi="仿宋" w:eastAsia="仿宋" w:cs="仿宋"/>
          <w:sz w:val="32"/>
          <w:szCs w:val="32"/>
          <w:lang w:eastAsia="zh-CN"/>
        </w:rPr>
        <w:t>列支</w:t>
      </w:r>
      <w:r>
        <w:rPr>
          <w:rFonts w:hint="eastAsia" w:ascii="仿宋" w:hAnsi="仿宋" w:eastAsia="仿宋" w:cs="仿宋"/>
          <w:sz w:val="32"/>
          <w:szCs w:val="32"/>
        </w:rPr>
        <w:t>，造成20</w:t>
      </w:r>
      <w:r>
        <w:rPr>
          <w:rFonts w:hint="eastAsia" w:ascii="仿宋" w:hAnsi="仿宋" w:eastAsia="仿宋" w:cs="仿宋"/>
          <w:sz w:val="32"/>
          <w:szCs w:val="32"/>
          <w:lang w:val="en-US" w:eastAsia="zh-CN"/>
        </w:rPr>
        <w:t>20</w:t>
      </w:r>
      <w:r>
        <w:rPr>
          <w:rFonts w:hint="eastAsia" w:ascii="仿宋" w:hAnsi="仿宋" w:eastAsia="仿宋" w:cs="仿宋"/>
          <w:sz w:val="32"/>
          <w:szCs w:val="32"/>
        </w:rPr>
        <w:t>年度支出相对增加。</w:t>
      </w:r>
    </w:p>
    <w:p>
      <w:pPr>
        <w:widowControl/>
        <w:numPr>
          <w:ilvl w:val="0"/>
          <w:numId w:val="7"/>
        </w:numPr>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社会保障和就业(类）特困人员救助供养（款）农村特困人员救助供养（项）支出。</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2166.6</w:t>
      </w:r>
      <w:r>
        <w:rPr>
          <w:rFonts w:hint="eastAsia" w:ascii="仿宋" w:hAnsi="仿宋" w:eastAsia="仿宋" w:cs="仿宋"/>
          <w:sz w:val="32"/>
          <w:szCs w:val="32"/>
        </w:rPr>
        <w:t>万元，支出决算为2</w:t>
      </w:r>
      <w:r>
        <w:rPr>
          <w:rFonts w:hint="eastAsia" w:ascii="仿宋" w:hAnsi="仿宋" w:eastAsia="仿宋" w:cs="仿宋"/>
          <w:sz w:val="32"/>
          <w:szCs w:val="32"/>
          <w:lang w:val="en-US" w:eastAsia="zh-CN"/>
        </w:rPr>
        <w:t>395.9</w:t>
      </w:r>
      <w:r>
        <w:rPr>
          <w:rFonts w:hint="eastAsia" w:ascii="仿宋" w:hAnsi="仿宋" w:eastAsia="仿宋" w:cs="仿宋"/>
          <w:sz w:val="32"/>
          <w:szCs w:val="32"/>
        </w:rPr>
        <w:t>万元，完成年初预算的110.</w:t>
      </w:r>
      <w:r>
        <w:rPr>
          <w:rFonts w:hint="eastAsia" w:ascii="仿宋" w:hAnsi="仿宋" w:eastAsia="仿宋" w:cs="仿宋"/>
          <w:sz w:val="32"/>
          <w:szCs w:val="32"/>
          <w:lang w:val="en-US" w:eastAsia="zh-CN"/>
        </w:rPr>
        <w:t>58</w:t>
      </w:r>
      <w:r>
        <w:rPr>
          <w:rFonts w:hint="eastAsia" w:ascii="仿宋" w:hAnsi="仿宋" w:eastAsia="仿宋" w:cs="仿宋"/>
          <w:sz w:val="32"/>
          <w:szCs w:val="32"/>
        </w:rPr>
        <w:t>%，决算数与年初预算数存在差异的主要原因是20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发放</w:t>
      </w:r>
      <w:r>
        <w:rPr>
          <w:rFonts w:hint="eastAsia" w:ascii="仿宋" w:hAnsi="仿宋" w:eastAsia="仿宋" w:cs="仿宋"/>
          <w:sz w:val="32"/>
          <w:szCs w:val="32"/>
        </w:rPr>
        <w:t>特困供养</w:t>
      </w:r>
      <w:r>
        <w:rPr>
          <w:rFonts w:hint="eastAsia" w:ascii="仿宋" w:hAnsi="仿宋" w:eastAsia="仿宋" w:cs="仿宋"/>
          <w:sz w:val="32"/>
          <w:szCs w:val="32"/>
          <w:lang w:eastAsia="zh-CN"/>
        </w:rPr>
        <w:t>物价补贴</w:t>
      </w:r>
      <w:r>
        <w:rPr>
          <w:rFonts w:hint="eastAsia" w:ascii="仿宋" w:hAnsi="仿宋" w:eastAsia="仿宋" w:cs="仿宋"/>
          <w:sz w:val="32"/>
          <w:szCs w:val="32"/>
        </w:rPr>
        <w:t>，造成年度支出相对增加。</w:t>
      </w:r>
    </w:p>
    <w:p>
      <w:pPr>
        <w:widowControl/>
        <w:numPr>
          <w:ilvl w:val="0"/>
          <w:numId w:val="7"/>
        </w:numPr>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社会保障和就业(类）其他生活救助（款）其他城市生活救助（项）支出。</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116</w:t>
      </w:r>
      <w:r>
        <w:rPr>
          <w:rFonts w:hint="eastAsia" w:ascii="仿宋" w:hAnsi="仿宋" w:eastAsia="仿宋" w:cs="仿宋"/>
          <w:sz w:val="32"/>
          <w:szCs w:val="32"/>
        </w:rPr>
        <w:t>万元，决算数与年初预算数存在差异的主要原因是20</w:t>
      </w:r>
      <w:r>
        <w:rPr>
          <w:rFonts w:hint="eastAsia" w:ascii="仿宋" w:hAnsi="仿宋" w:eastAsia="仿宋" w:cs="仿宋"/>
          <w:sz w:val="32"/>
          <w:szCs w:val="32"/>
          <w:lang w:val="en-US" w:eastAsia="zh-CN"/>
        </w:rPr>
        <w:t>20</w:t>
      </w:r>
      <w:r>
        <w:rPr>
          <w:rFonts w:hint="eastAsia" w:ascii="仿宋" w:hAnsi="仿宋" w:eastAsia="仿宋" w:cs="仿宋"/>
          <w:sz w:val="32"/>
          <w:szCs w:val="32"/>
        </w:rPr>
        <w:t>年上级下达的</w:t>
      </w:r>
      <w:r>
        <w:rPr>
          <w:rFonts w:hint="eastAsia" w:ascii="仿宋" w:hAnsi="仿宋" w:eastAsia="仿宋" w:cs="仿宋"/>
          <w:sz w:val="32"/>
          <w:szCs w:val="32"/>
          <w:lang w:eastAsia="zh-CN"/>
        </w:rPr>
        <w:t>城市特困救助指标</w:t>
      </w:r>
      <w:r>
        <w:rPr>
          <w:rFonts w:hint="eastAsia" w:ascii="仿宋" w:hAnsi="仿宋" w:eastAsia="仿宋" w:cs="仿宋"/>
          <w:sz w:val="32"/>
          <w:szCs w:val="32"/>
        </w:rPr>
        <w:t>未在年初预算中</w:t>
      </w:r>
      <w:r>
        <w:rPr>
          <w:rFonts w:hint="eastAsia" w:ascii="仿宋" w:hAnsi="仿宋" w:eastAsia="仿宋" w:cs="仿宋"/>
          <w:sz w:val="32"/>
          <w:szCs w:val="32"/>
          <w:lang w:eastAsia="zh-CN"/>
        </w:rPr>
        <w:t>列支，</w:t>
      </w:r>
      <w:r>
        <w:rPr>
          <w:rFonts w:hint="eastAsia" w:ascii="仿宋" w:hAnsi="仿宋" w:eastAsia="仿宋" w:cs="仿宋"/>
          <w:sz w:val="32"/>
          <w:szCs w:val="32"/>
        </w:rPr>
        <w:t>造成20</w:t>
      </w:r>
      <w:r>
        <w:rPr>
          <w:rFonts w:hint="eastAsia" w:ascii="仿宋" w:hAnsi="仿宋" w:eastAsia="仿宋" w:cs="仿宋"/>
          <w:sz w:val="32"/>
          <w:szCs w:val="32"/>
          <w:lang w:val="en-US" w:eastAsia="zh-CN"/>
        </w:rPr>
        <w:t>20</w:t>
      </w:r>
      <w:r>
        <w:rPr>
          <w:rFonts w:hint="eastAsia" w:ascii="仿宋" w:hAnsi="仿宋" w:eastAsia="仿宋" w:cs="仿宋"/>
          <w:sz w:val="32"/>
          <w:szCs w:val="32"/>
        </w:rPr>
        <w:t>年度支出相对增加。</w:t>
      </w:r>
    </w:p>
    <w:p>
      <w:pPr>
        <w:widowControl/>
        <w:numPr>
          <w:ilvl w:val="0"/>
          <w:numId w:val="7"/>
        </w:numPr>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社会保障和就业(类）其他生活救助（款）其他农村生活救助（项）支出。</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10.8</w:t>
      </w:r>
      <w:r>
        <w:rPr>
          <w:rFonts w:hint="eastAsia" w:ascii="仿宋" w:hAnsi="仿宋" w:eastAsia="仿宋" w:cs="仿宋"/>
          <w:sz w:val="32"/>
          <w:szCs w:val="32"/>
        </w:rPr>
        <w:t>万元，支出决算为8</w:t>
      </w:r>
      <w:r>
        <w:rPr>
          <w:rFonts w:hint="eastAsia" w:ascii="仿宋" w:hAnsi="仿宋" w:eastAsia="仿宋" w:cs="仿宋"/>
          <w:sz w:val="32"/>
          <w:szCs w:val="32"/>
          <w:lang w:val="en-US" w:eastAsia="zh-CN"/>
        </w:rPr>
        <w:t>5.27</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789.54</w:t>
      </w:r>
      <w:r>
        <w:rPr>
          <w:rFonts w:hint="eastAsia" w:ascii="仿宋" w:hAnsi="仿宋" w:eastAsia="仿宋" w:cs="仿宋"/>
          <w:sz w:val="32"/>
          <w:szCs w:val="32"/>
        </w:rPr>
        <w:t>%，决算数与年初预算数存在差异的主要原因是20</w:t>
      </w:r>
      <w:r>
        <w:rPr>
          <w:rFonts w:hint="eastAsia" w:ascii="仿宋" w:hAnsi="仿宋" w:eastAsia="仿宋" w:cs="仿宋"/>
          <w:sz w:val="32"/>
          <w:szCs w:val="32"/>
          <w:lang w:val="en-US" w:eastAsia="zh-CN"/>
        </w:rPr>
        <w:t>20</w:t>
      </w:r>
      <w:r>
        <w:rPr>
          <w:rFonts w:hint="eastAsia" w:ascii="仿宋" w:hAnsi="仿宋" w:eastAsia="仿宋" w:cs="仿宋"/>
          <w:sz w:val="32"/>
          <w:szCs w:val="32"/>
        </w:rPr>
        <w:t>年上级下达的</w:t>
      </w:r>
      <w:r>
        <w:rPr>
          <w:rFonts w:hint="eastAsia" w:ascii="仿宋" w:hAnsi="仿宋" w:eastAsia="仿宋" w:cs="仿宋"/>
          <w:sz w:val="32"/>
          <w:szCs w:val="32"/>
          <w:lang w:eastAsia="zh-CN"/>
        </w:rPr>
        <w:t>艾滋病救助指标</w:t>
      </w:r>
      <w:r>
        <w:rPr>
          <w:rFonts w:hint="eastAsia" w:ascii="仿宋" w:hAnsi="仿宋" w:eastAsia="仿宋" w:cs="仿宋"/>
          <w:sz w:val="32"/>
          <w:szCs w:val="32"/>
        </w:rPr>
        <w:t>未在年初预算中</w:t>
      </w:r>
      <w:r>
        <w:rPr>
          <w:rFonts w:hint="eastAsia" w:ascii="仿宋" w:hAnsi="仿宋" w:eastAsia="仿宋" w:cs="仿宋"/>
          <w:sz w:val="32"/>
          <w:szCs w:val="32"/>
          <w:lang w:eastAsia="zh-CN"/>
        </w:rPr>
        <w:t>列支，</w:t>
      </w:r>
      <w:r>
        <w:rPr>
          <w:rFonts w:hint="eastAsia" w:ascii="仿宋" w:hAnsi="仿宋" w:eastAsia="仿宋" w:cs="仿宋"/>
          <w:sz w:val="32"/>
          <w:szCs w:val="32"/>
        </w:rPr>
        <w:t>造成20</w:t>
      </w:r>
      <w:r>
        <w:rPr>
          <w:rFonts w:hint="eastAsia" w:ascii="仿宋" w:hAnsi="仿宋" w:eastAsia="仿宋" w:cs="仿宋"/>
          <w:sz w:val="32"/>
          <w:szCs w:val="32"/>
          <w:lang w:val="en-US" w:eastAsia="zh-CN"/>
        </w:rPr>
        <w:t>20</w:t>
      </w:r>
      <w:r>
        <w:rPr>
          <w:rFonts w:hint="eastAsia" w:ascii="仿宋" w:hAnsi="仿宋" w:eastAsia="仿宋" w:cs="仿宋"/>
          <w:sz w:val="32"/>
          <w:szCs w:val="32"/>
        </w:rPr>
        <w:t>年度支出相对增加。</w:t>
      </w:r>
    </w:p>
    <w:p>
      <w:pPr>
        <w:widowControl/>
        <w:numPr>
          <w:ilvl w:val="0"/>
          <w:numId w:val="0"/>
        </w:numPr>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19.</w:t>
      </w:r>
      <w:r>
        <w:rPr>
          <w:rFonts w:hint="eastAsia" w:ascii="仿宋" w:hAnsi="仿宋" w:eastAsia="仿宋" w:cs="仿宋"/>
          <w:b/>
          <w:bCs/>
          <w:sz w:val="32"/>
          <w:szCs w:val="32"/>
        </w:rPr>
        <w:t>卫生健康（类）行政事业单位医疗（款）单位医疗（项）支出。</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21.6</w:t>
      </w:r>
      <w:r>
        <w:rPr>
          <w:rFonts w:hint="eastAsia" w:ascii="仿宋" w:hAnsi="仿宋" w:eastAsia="仿宋" w:cs="仿宋"/>
          <w:sz w:val="32"/>
          <w:szCs w:val="32"/>
        </w:rPr>
        <w:t>万元，支出决算为1</w:t>
      </w:r>
      <w:r>
        <w:rPr>
          <w:rFonts w:hint="eastAsia" w:ascii="仿宋" w:hAnsi="仿宋" w:eastAsia="仿宋" w:cs="仿宋"/>
          <w:sz w:val="32"/>
          <w:szCs w:val="32"/>
          <w:lang w:val="en-US" w:eastAsia="zh-CN"/>
        </w:rPr>
        <w:t>5.6</w:t>
      </w:r>
      <w:r>
        <w:rPr>
          <w:rFonts w:hint="eastAsia" w:ascii="仿宋" w:hAnsi="仿宋" w:eastAsia="仿宋" w:cs="仿宋"/>
          <w:sz w:val="32"/>
          <w:szCs w:val="32"/>
        </w:rPr>
        <w:t>5万元，完成年初预算的</w:t>
      </w:r>
      <w:r>
        <w:rPr>
          <w:rFonts w:hint="eastAsia" w:ascii="仿宋" w:hAnsi="仿宋" w:eastAsia="仿宋" w:cs="仿宋"/>
          <w:sz w:val="32"/>
          <w:szCs w:val="32"/>
          <w:lang w:val="en-US" w:eastAsia="zh-CN"/>
        </w:rPr>
        <w:t>72.45</w:t>
      </w:r>
      <w:r>
        <w:rPr>
          <w:rFonts w:hint="eastAsia" w:ascii="仿宋" w:hAnsi="仿宋" w:eastAsia="仿宋" w:cs="仿宋"/>
          <w:sz w:val="32"/>
          <w:szCs w:val="32"/>
        </w:rPr>
        <w:t>%。决算数与年初预算数存在差异的主要原因是20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8月</w:t>
      </w:r>
      <w:r>
        <w:rPr>
          <w:rFonts w:hint="eastAsia" w:ascii="仿宋" w:hAnsi="仿宋" w:eastAsia="仿宋" w:cs="仿宋"/>
          <w:sz w:val="32"/>
          <w:szCs w:val="32"/>
          <w:lang w:eastAsia="zh-CN"/>
        </w:rPr>
        <w:t>部分人员移交退役军人事务局</w:t>
      </w:r>
      <w:r>
        <w:rPr>
          <w:rFonts w:hint="eastAsia" w:ascii="仿宋" w:hAnsi="仿宋" w:eastAsia="仿宋" w:cs="仿宋"/>
          <w:sz w:val="32"/>
          <w:szCs w:val="32"/>
        </w:rPr>
        <w:t>，人员减少，造成</w:t>
      </w:r>
      <w:r>
        <w:rPr>
          <w:rFonts w:hint="eastAsia" w:ascii="仿宋" w:hAnsi="仿宋" w:eastAsia="仿宋" w:cs="仿宋"/>
          <w:sz w:val="32"/>
          <w:szCs w:val="32"/>
          <w:lang w:eastAsia="zh-CN"/>
        </w:rPr>
        <w:t>决算</w:t>
      </w:r>
      <w:r>
        <w:rPr>
          <w:rFonts w:hint="eastAsia" w:ascii="仿宋" w:hAnsi="仿宋" w:eastAsia="仿宋" w:cs="仿宋"/>
          <w:sz w:val="32"/>
          <w:szCs w:val="32"/>
        </w:rPr>
        <w:t>支出相对减少。</w:t>
      </w:r>
    </w:p>
    <w:p>
      <w:pPr>
        <w:widowControl/>
        <w:numPr>
          <w:ilvl w:val="0"/>
          <w:numId w:val="0"/>
        </w:numPr>
        <w:spacing w:line="59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20.</w:t>
      </w:r>
      <w:r>
        <w:rPr>
          <w:rFonts w:hint="eastAsia" w:ascii="仿宋" w:hAnsi="仿宋" w:eastAsia="仿宋" w:cs="仿宋"/>
          <w:b/>
          <w:bCs/>
          <w:sz w:val="32"/>
          <w:szCs w:val="32"/>
        </w:rPr>
        <w:t>住房保障（类）住房改革（款）住房公积金（项）支出。</w:t>
      </w:r>
      <w:r>
        <w:rPr>
          <w:rFonts w:hint="eastAsia" w:ascii="仿宋" w:hAnsi="仿宋" w:eastAsia="仿宋" w:cs="仿宋"/>
          <w:sz w:val="32"/>
          <w:szCs w:val="32"/>
        </w:rPr>
        <w:t>年初预算为2</w:t>
      </w:r>
      <w:r>
        <w:rPr>
          <w:rFonts w:hint="eastAsia" w:ascii="仿宋" w:hAnsi="仿宋" w:eastAsia="仿宋" w:cs="仿宋"/>
          <w:sz w:val="32"/>
          <w:szCs w:val="32"/>
          <w:lang w:val="en-US" w:eastAsia="zh-CN"/>
        </w:rPr>
        <w:t>8</w:t>
      </w:r>
      <w:r>
        <w:rPr>
          <w:rFonts w:hint="eastAsia" w:ascii="仿宋" w:hAnsi="仿宋" w:eastAsia="仿宋" w:cs="仿宋"/>
          <w:sz w:val="32"/>
          <w:szCs w:val="32"/>
        </w:rPr>
        <w:t>万元，支出决算为24.</w:t>
      </w:r>
      <w:r>
        <w:rPr>
          <w:rFonts w:hint="eastAsia" w:ascii="仿宋" w:hAnsi="仿宋" w:eastAsia="仿宋" w:cs="仿宋"/>
          <w:sz w:val="32"/>
          <w:szCs w:val="32"/>
          <w:lang w:val="en-US" w:eastAsia="zh-CN"/>
        </w:rPr>
        <w:t>16</w:t>
      </w:r>
      <w:r>
        <w:rPr>
          <w:rFonts w:hint="eastAsia" w:ascii="仿宋" w:hAnsi="仿宋" w:eastAsia="仿宋" w:cs="仿宋"/>
          <w:sz w:val="32"/>
          <w:szCs w:val="32"/>
        </w:rPr>
        <w:t>万元，完成年初预算的8</w:t>
      </w:r>
      <w:r>
        <w:rPr>
          <w:rFonts w:hint="eastAsia" w:ascii="仿宋" w:hAnsi="仿宋" w:eastAsia="仿宋" w:cs="仿宋"/>
          <w:sz w:val="32"/>
          <w:szCs w:val="32"/>
          <w:lang w:val="en-US" w:eastAsia="zh-CN"/>
        </w:rPr>
        <w:t>6.29</w:t>
      </w:r>
      <w:r>
        <w:rPr>
          <w:rFonts w:hint="eastAsia" w:ascii="仿宋" w:hAnsi="仿宋" w:eastAsia="仿宋" w:cs="仿宋"/>
          <w:sz w:val="32"/>
          <w:szCs w:val="32"/>
        </w:rPr>
        <w:t>%。决算数与年初预算数存在差异的主要原因是20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8月</w:t>
      </w:r>
      <w:r>
        <w:rPr>
          <w:rFonts w:hint="eastAsia" w:ascii="仿宋" w:hAnsi="仿宋" w:eastAsia="仿宋" w:cs="仿宋"/>
          <w:sz w:val="32"/>
          <w:szCs w:val="32"/>
          <w:lang w:eastAsia="zh-CN"/>
        </w:rPr>
        <w:t>部分人员移交退役军人事务局</w:t>
      </w:r>
      <w:r>
        <w:rPr>
          <w:rFonts w:hint="eastAsia" w:ascii="仿宋" w:hAnsi="仿宋" w:eastAsia="仿宋" w:cs="仿宋"/>
          <w:sz w:val="32"/>
          <w:szCs w:val="32"/>
        </w:rPr>
        <w:t>，人员减少，造成</w:t>
      </w:r>
      <w:r>
        <w:rPr>
          <w:rFonts w:hint="eastAsia" w:ascii="仿宋" w:hAnsi="仿宋" w:eastAsia="仿宋" w:cs="仿宋"/>
          <w:sz w:val="32"/>
          <w:szCs w:val="32"/>
          <w:lang w:eastAsia="zh-CN"/>
        </w:rPr>
        <w:t>决算</w:t>
      </w:r>
      <w:r>
        <w:rPr>
          <w:rFonts w:hint="eastAsia" w:ascii="仿宋" w:hAnsi="仿宋" w:eastAsia="仿宋" w:cs="仿宋"/>
          <w:sz w:val="32"/>
          <w:szCs w:val="32"/>
        </w:rPr>
        <w:t>支出相对减少。</w:t>
      </w:r>
    </w:p>
    <w:p>
      <w:pPr>
        <w:numPr>
          <w:ilvl w:val="0"/>
          <w:numId w:val="5"/>
        </w:numPr>
        <w:adjustRightInd w:val="0"/>
        <w:snapToGrid w:val="0"/>
        <w:spacing w:afterAutospacing="0" w:line="240" w:lineRule="auto"/>
        <w:ind w:left="0" w:leftChars="0" w:firstLine="0" w:firstLineChars="0"/>
        <w:outlineLvl w:val="1"/>
        <w:rPr>
          <w:rFonts w:ascii="黑体" w:hAnsi="黑体" w:eastAsia="黑体"/>
          <w:sz w:val="32"/>
          <w:szCs w:val="32"/>
        </w:rPr>
      </w:pPr>
      <w:r>
        <w:rPr>
          <w:rFonts w:hint="eastAsia" w:ascii="黑体" w:hAnsi="黑体" w:eastAsia="黑体"/>
          <w:sz w:val="32"/>
          <w:szCs w:val="32"/>
        </w:rPr>
        <w:t>一般公共预算财政拨款基本支出决算情况说明</w:t>
      </w:r>
    </w:p>
    <w:p>
      <w:pPr>
        <w:widowControl/>
        <w:spacing w:beforeAutospacing="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shd w:val="clear" w:fill="FFFFFF"/>
        </w:rPr>
        <w:t>2020 年度一般公共预算财政拨款基本支出13,486.13万元。其中：人员经费 13,315.13万元，主要包括：基本工资、津贴补贴、伙食补助费、绩效工资、机关事业单位基本养老保险 缴费、职业年金缴费、其他社会保障缴费、其他工资福利支出、离休费、退休费、抚恤金、生活补助、医疗费、奖励金、住房公积金、采暖补贴、物业服务补贴、其 他对个人和家庭的补助支出；公用经费171.00万元，主要包括：办公费、印刷费、咨询费、手续 费、水费、电费、邮电费、取暖费、物业管理费、差旅费、因公出国（境）费用、维修（护）费、租赁费、会议费、培训费、公务接待费、专用材料费、劳务费、委 托业务费、工会经费、福利费、公务用车运行维护费、其他交通费用、税金及附加费用、其他商品和服务支出、办公设备购置、专用设备购置、信息网络及软件购置 更新、其他资本性支出。</w:t>
      </w:r>
    </w:p>
    <w:p>
      <w:pPr>
        <w:numPr>
          <w:ilvl w:val="0"/>
          <w:numId w:val="5"/>
        </w:numPr>
        <w:adjustRightInd w:val="0"/>
        <w:snapToGrid w:val="0"/>
        <w:spacing w:line="360" w:lineRule="auto"/>
        <w:ind w:left="-10" w:leftChars="0" w:firstLine="640" w:firstLineChars="0"/>
        <w:outlineLvl w:val="1"/>
        <w:rPr>
          <w:rFonts w:ascii="黑体" w:hAnsi="黑体" w:eastAsia="黑体"/>
          <w:sz w:val="32"/>
          <w:szCs w:val="32"/>
        </w:rPr>
      </w:pPr>
      <w:r>
        <w:rPr>
          <w:rFonts w:hint="eastAsia" w:ascii="黑体" w:hAnsi="黑体" w:eastAsia="黑体"/>
          <w:sz w:val="32"/>
          <w:szCs w:val="32"/>
        </w:rPr>
        <w:t>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3" w:firstLineChars="200"/>
        <w:rPr>
          <w:rFonts w:ascii="楷体" w:hAnsi="楷体" w:eastAsia="楷体" w:cs="楷体"/>
          <w:b/>
          <w:bCs/>
          <w:sz w:val="32"/>
          <w:szCs w:val="32"/>
        </w:rPr>
      </w:pPr>
      <w:r>
        <w:rPr>
          <w:rFonts w:hint="eastAsia" w:ascii="楷体" w:hAnsi="楷体" w:eastAsia="楷体" w:cs="楷体"/>
          <w:b/>
          <w:bCs/>
          <w:sz w:val="32"/>
          <w:szCs w:val="32"/>
        </w:rPr>
        <w:t>“三公”经费财政拨款支出决算总体情况说明。</w:t>
      </w:r>
    </w:p>
    <w:p>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年度“三公”经费财政拨款支出预算为6万元，支出决算为</w:t>
      </w:r>
      <w:r>
        <w:rPr>
          <w:rFonts w:hint="eastAsia" w:ascii="仿宋" w:hAnsi="仿宋" w:eastAsia="仿宋" w:cs="仿宋"/>
          <w:sz w:val="32"/>
          <w:szCs w:val="32"/>
          <w:lang w:val="en-US" w:eastAsia="zh-CN"/>
        </w:rPr>
        <w:t>3</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50</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年度“三公”经费支出决算数与预算数存在差异的主要原因是本年度严格落实“八项规定”，严格落实三单一票一涵制度，杜绝同城公务接待，压缩公务接待开支。</w:t>
      </w:r>
    </w:p>
    <w:p>
      <w:pPr>
        <w:numPr>
          <w:ilvl w:val="0"/>
          <w:numId w:val="8"/>
        </w:numPr>
        <w:kinsoku w:val="0"/>
        <w:overflowPunct w:val="0"/>
        <w:autoSpaceDE w:val="0"/>
        <w:autoSpaceDN w:val="0"/>
        <w:adjustRightInd w:val="0"/>
        <w:snapToGrid w:val="0"/>
        <w:spacing w:line="360" w:lineRule="auto"/>
        <w:ind w:firstLine="643" w:firstLineChars="200"/>
        <w:rPr>
          <w:rFonts w:ascii="楷体" w:hAnsi="楷体" w:eastAsia="楷体" w:cs="楷体"/>
          <w:b/>
          <w:bCs/>
          <w:sz w:val="32"/>
          <w:szCs w:val="32"/>
        </w:rPr>
      </w:pPr>
      <w:r>
        <w:rPr>
          <w:rFonts w:hint="eastAsia" w:ascii="楷体" w:hAnsi="楷体" w:eastAsia="楷体" w:cs="楷体"/>
          <w:b/>
          <w:bCs/>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年度“三公”经费财政拨款支出决算中，因公出国（境）费支出决算0万元，完成预算的0%，占0%；公务用车购置及运行费支出决算0万元，完成预算的0%，占0%；公务接待费支出决算</w:t>
      </w:r>
      <w:r>
        <w:rPr>
          <w:rFonts w:hint="eastAsia" w:ascii="仿宋" w:hAnsi="仿宋" w:eastAsia="仿宋" w:cs="仿宋"/>
          <w:sz w:val="32"/>
          <w:szCs w:val="32"/>
          <w:lang w:val="en-US" w:eastAsia="zh-CN"/>
        </w:rPr>
        <w:t>3</w:t>
      </w:r>
      <w:r>
        <w:rPr>
          <w:rFonts w:hint="eastAsia" w:ascii="仿宋" w:hAnsi="仿宋" w:eastAsia="仿宋" w:cs="仿宋"/>
          <w:sz w:val="32"/>
          <w:szCs w:val="32"/>
        </w:rPr>
        <w:t>万元，完成预算数的</w:t>
      </w:r>
      <w:r>
        <w:rPr>
          <w:rFonts w:hint="eastAsia" w:ascii="仿宋" w:hAnsi="仿宋" w:eastAsia="仿宋" w:cs="仿宋"/>
          <w:sz w:val="32"/>
          <w:szCs w:val="32"/>
          <w:lang w:val="en-US" w:eastAsia="zh-CN"/>
        </w:rPr>
        <w:t>50</w:t>
      </w:r>
      <w:r>
        <w:rPr>
          <w:rFonts w:hint="eastAsia" w:ascii="仿宋" w:hAnsi="仿宋" w:eastAsia="仿宋" w:cs="仿宋"/>
          <w:sz w:val="32"/>
          <w:szCs w:val="32"/>
        </w:rPr>
        <w:t>%，占100%。具体情况如下：</w:t>
      </w:r>
    </w:p>
    <w:p>
      <w:pPr>
        <w:kinsoku w:val="0"/>
        <w:overflowPunct w:val="0"/>
        <w:autoSpaceDE w:val="0"/>
        <w:autoSpaceDN w:val="0"/>
        <w:adjustRightInd w:val="0"/>
        <w:snapToGrid w:val="0"/>
        <w:spacing w:line="360" w:lineRule="auto"/>
        <w:ind w:firstLine="627" w:firstLineChars="196"/>
        <w:rPr>
          <w:rFonts w:hint="eastAsia" w:ascii="仿宋" w:hAnsi="仿宋" w:eastAsia="仿宋" w:cs="仿宋"/>
          <w:color w:val="000000"/>
          <w:sz w:val="32"/>
          <w:szCs w:val="32"/>
        </w:rPr>
      </w:pPr>
      <w:r>
        <w:rPr>
          <w:rFonts w:hint="eastAsia" w:ascii="仿宋" w:hAnsi="仿宋" w:eastAsia="仿宋" w:cs="仿宋"/>
          <w:bCs/>
          <w:color w:val="000000"/>
          <w:sz w:val="32"/>
          <w:szCs w:val="32"/>
        </w:rPr>
        <w:t>1.</w:t>
      </w:r>
      <w:r>
        <w:rPr>
          <w:rFonts w:hint="eastAsia" w:ascii="仿宋" w:hAnsi="仿宋" w:eastAsia="仿宋" w:cs="仿宋"/>
          <w:b/>
          <w:bCs/>
          <w:color w:val="000000"/>
          <w:sz w:val="32"/>
          <w:szCs w:val="32"/>
        </w:rPr>
        <w:t>因公出国（境）费</w:t>
      </w:r>
      <w:r>
        <w:rPr>
          <w:rFonts w:hint="eastAsia" w:ascii="仿宋" w:hAnsi="仿宋" w:eastAsia="仿宋" w:cs="仿宋"/>
          <w:color w:val="000000"/>
          <w:sz w:val="32"/>
          <w:szCs w:val="32"/>
        </w:rPr>
        <w:t>预算为0万元，支出决算为0万元</w:t>
      </w:r>
      <w:r>
        <w:rPr>
          <w:rFonts w:hint="eastAsia" w:ascii="仿宋" w:hAnsi="仿宋" w:eastAsia="仿宋" w:cs="仿宋"/>
          <w:sz w:val="32"/>
          <w:szCs w:val="32"/>
        </w:rPr>
        <w:t>，完成预算的100%。决算数与预算数不存在差异。</w:t>
      </w:r>
      <w:r>
        <w:rPr>
          <w:rFonts w:hint="eastAsia" w:ascii="仿宋" w:hAnsi="仿宋" w:eastAsia="仿宋" w:cs="仿宋"/>
          <w:sz w:val="32"/>
          <w:szCs w:val="32"/>
          <w:shd w:val="clear" w:fill="FFFFFF"/>
        </w:rPr>
        <w:t>因公出国（境）团组数0个，因公出国（境）人次数0人</w:t>
      </w:r>
      <w:r>
        <w:rPr>
          <w:rFonts w:hint="eastAsia" w:ascii="仿宋" w:hAnsi="仿宋" w:eastAsia="仿宋" w:cs="仿宋"/>
          <w:sz w:val="32"/>
          <w:szCs w:val="32"/>
        </w:rPr>
        <w:t>。</w:t>
      </w:r>
    </w:p>
    <w:p>
      <w:pPr>
        <w:pStyle w:val="6"/>
        <w:autoSpaceDE w:val="0"/>
        <w:spacing w:before="0" w:beforeAutospacing="0" w:line="590" w:lineRule="exact"/>
        <w:ind w:firstLine="643" w:firstLineChars="200"/>
        <w:rPr>
          <w:rFonts w:hint="eastAsia" w:ascii="仿宋" w:hAnsi="仿宋" w:eastAsia="仿宋" w:cs="仿宋"/>
          <w:sz w:val="32"/>
          <w:szCs w:val="32"/>
        </w:rPr>
      </w:pPr>
      <w:r>
        <w:rPr>
          <w:rFonts w:hint="eastAsia" w:ascii="仿宋" w:hAnsi="仿宋" w:eastAsia="仿宋" w:cs="仿宋"/>
          <w:b/>
          <w:bCs w:val="0"/>
          <w:color w:val="000000"/>
          <w:sz w:val="32"/>
          <w:szCs w:val="32"/>
        </w:rPr>
        <w:t>2.</w:t>
      </w:r>
      <w:r>
        <w:rPr>
          <w:rFonts w:hint="eastAsia" w:ascii="仿宋" w:hAnsi="仿宋" w:eastAsia="仿宋" w:cs="仿宋"/>
          <w:b/>
          <w:bCs w:val="0"/>
          <w:sz w:val="32"/>
          <w:szCs w:val="32"/>
          <w:shd w:val="clear" w:fill="FFFFFF"/>
        </w:rPr>
        <w:t>公务用车购置及运行费</w:t>
      </w:r>
      <w:r>
        <w:rPr>
          <w:rFonts w:hint="eastAsia" w:ascii="仿宋" w:hAnsi="仿宋" w:eastAsia="仿宋" w:cs="仿宋"/>
          <w:sz w:val="32"/>
          <w:szCs w:val="32"/>
          <w:shd w:val="clear" w:fill="FFFFFF"/>
        </w:rPr>
        <w:t>年初预算为</w:t>
      </w:r>
      <w:r>
        <w:rPr>
          <w:rFonts w:hint="eastAsia" w:ascii="仿宋" w:hAnsi="仿宋" w:eastAsia="仿宋" w:cs="仿宋"/>
          <w:sz w:val="32"/>
          <w:szCs w:val="32"/>
          <w:shd w:val="clear" w:fill="FFFFFF"/>
          <w:lang w:val="en-US" w:eastAsia="zh-CN"/>
        </w:rPr>
        <w:t>0</w:t>
      </w:r>
      <w:r>
        <w:rPr>
          <w:rFonts w:hint="eastAsia" w:ascii="仿宋" w:hAnsi="仿宋" w:eastAsia="仿宋" w:cs="仿宋"/>
          <w:sz w:val="32"/>
          <w:szCs w:val="32"/>
          <w:shd w:val="clear" w:fill="FFFFFF"/>
        </w:rPr>
        <w:t>万元，支出决算为</w:t>
      </w:r>
      <w:r>
        <w:rPr>
          <w:rFonts w:hint="eastAsia" w:ascii="仿宋" w:hAnsi="仿宋" w:eastAsia="仿宋" w:cs="仿宋"/>
          <w:sz w:val="32"/>
          <w:szCs w:val="32"/>
          <w:shd w:val="clear" w:fill="FFFFFF"/>
          <w:lang w:val="en-US" w:eastAsia="zh-CN"/>
        </w:rPr>
        <w:t>0</w:t>
      </w:r>
      <w:r>
        <w:rPr>
          <w:rFonts w:hint="eastAsia" w:ascii="仿宋" w:hAnsi="仿宋" w:eastAsia="仿宋" w:cs="仿宋"/>
          <w:sz w:val="32"/>
          <w:szCs w:val="32"/>
          <w:shd w:val="clear" w:fill="FFFFFF"/>
        </w:rPr>
        <w:t>万元，完成年初预算的0.00%，</w:t>
      </w:r>
      <w:r>
        <w:rPr>
          <w:rFonts w:hint="eastAsia" w:ascii="仿宋" w:hAnsi="仿宋" w:eastAsia="仿宋" w:cs="仿宋"/>
          <w:sz w:val="32"/>
          <w:szCs w:val="32"/>
        </w:rPr>
        <w:t>决算数与预算数不存在差异</w:t>
      </w:r>
      <w:r>
        <w:rPr>
          <w:rFonts w:hint="eastAsia" w:ascii="仿宋" w:hAnsi="仿宋" w:eastAsia="仿宋" w:cs="仿宋"/>
          <w:sz w:val="32"/>
          <w:szCs w:val="32"/>
          <w:shd w:val="clear" w:fill="FFFFFF"/>
        </w:rPr>
        <w:t>。其中：</w:t>
      </w:r>
      <w:r>
        <w:rPr>
          <w:rFonts w:hint="eastAsia" w:ascii="仿宋" w:hAnsi="仿宋" w:eastAsia="仿宋" w:cs="仿宋"/>
          <w:sz w:val="32"/>
          <w:szCs w:val="32"/>
          <w:shd w:val="clear" w:fill="FFFFFF"/>
        </w:rPr>
        <w:br w:type="textWrapping"/>
      </w:r>
      <w:r>
        <w:rPr>
          <w:rFonts w:hint="eastAsia" w:ascii="仿宋" w:hAnsi="仿宋" w:eastAsia="仿宋" w:cs="仿宋"/>
          <w:sz w:val="32"/>
          <w:szCs w:val="32"/>
          <w:shd w:val="clear" w:fill="FFFFFF"/>
        </w:rPr>
        <w:t>公务用车购置支出</w:t>
      </w:r>
      <w:r>
        <w:rPr>
          <w:rFonts w:hint="eastAsia" w:ascii="仿宋" w:hAnsi="仿宋" w:eastAsia="仿宋" w:cs="仿宋"/>
          <w:sz w:val="32"/>
          <w:szCs w:val="32"/>
          <w:shd w:val="clear" w:fill="FFFFFF"/>
          <w:lang w:val="en-US" w:eastAsia="zh-CN"/>
        </w:rPr>
        <w:t>0</w:t>
      </w:r>
      <w:r>
        <w:rPr>
          <w:rFonts w:hint="eastAsia" w:ascii="仿宋" w:hAnsi="仿宋" w:eastAsia="仿宋" w:cs="仿宋"/>
          <w:sz w:val="32"/>
          <w:szCs w:val="32"/>
          <w:shd w:val="clear" w:fill="FFFFFF"/>
        </w:rPr>
        <w:t>万元，购置车辆</w:t>
      </w:r>
      <w:r>
        <w:rPr>
          <w:rFonts w:hint="eastAsia" w:ascii="仿宋" w:hAnsi="仿宋" w:eastAsia="仿宋" w:cs="仿宋"/>
          <w:sz w:val="32"/>
          <w:szCs w:val="32"/>
          <w:shd w:val="clear" w:fill="FFFFFF"/>
          <w:lang w:val="en-US" w:eastAsia="zh-CN"/>
        </w:rPr>
        <w:t>0</w:t>
      </w:r>
      <w:r>
        <w:rPr>
          <w:rFonts w:hint="eastAsia" w:ascii="仿宋" w:hAnsi="仿宋" w:eastAsia="仿宋" w:cs="仿宋"/>
          <w:sz w:val="32"/>
          <w:szCs w:val="32"/>
          <w:shd w:val="clear" w:fill="FFFFFF"/>
        </w:rPr>
        <w:t>台。</w:t>
      </w:r>
      <w:r>
        <w:rPr>
          <w:rFonts w:hint="eastAsia" w:ascii="仿宋" w:hAnsi="仿宋" w:eastAsia="仿宋" w:cs="仿宋"/>
          <w:sz w:val="32"/>
          <w:szCs w:val="32"/>
          <w:shd w:val="clear" w:fill="FFFFFF"/>
        </w:rPr>
        <w:br w:type="textWrapping"/>
      </w:r>
      <w:r>
        <w:rPr>
          <w:rFonts w:hint="eastAsia" w:ascii="仿宋" w:hAnsi="仿宋" w:eastAsia="仿宋" w:cs="仿宋"/>
          <w:sz w:val="32"/>
          <w:szCs w:val="32"/>
          <w:shd w:val="clear" w:fill="FFFFFF"/>
        </w:rPr>
        <w:t>公务用车运行支出</w:t>
      </w:r>
      <w:r>
        <w:rPr>
          <w:rFonts w:hint="eastAsia" w:ascii="仿宋" w:hAnsi="仿宋" w:eastAsia="仿宋" w:cs="仿宋"/>
          <w:sz w:val="32"/>
          <w:szCs w:val="32"/>
          <w:shd w:val="clear" w:fill="FFFFFF"/>
          <w:lang w:val="en-US" w:eastAsia="zh-CN"/>
        </w:rPr>
        <w:t>0</w:t>
      </w:r>
      <w:r>
        <w:rPr>
          <w:rFonts w:hint="eastAsia" w:ascii="仿宋" w:hAnsi="仿宋" w:eastAsia="仿宋" w:cs="仿宋"/>
          <w:sz w:val="32"/>
          <w:szCs w:val="32"/>
          <w:shd w:val="clear" w:fill="FFFFFF"/>
        </w:rPr>
        <w:t>万元。</w:t>
      </w:r>
      <w:r>
        <w:rPr>
          <w:rFonts w:hint="eastAsia" w:ascii="仿宋_GB2312" w:eastAsia="仿宋_GB2312"/>
          <w:kern w:val="2"/>
          <w:sz w:val="32"/>
          <w:szCs w:val="32"/>
        </w:rPr>
        <w:t>2020年期末，部门开支财政拨款的公务用车保有量为</w:t>
      </w:r>
      <w:r>
        <w:rPr>
          <w:rFonts w:hint="eastAsia" w:ascii="仿宋_GB2312" w:eastAsia="仿宋_GB2312"/>
          <w:kern w:val="2"/>
          <w:sz w:val="32"/>
          <w:szCs w:val="32"/>
          <w:lang w:val="en-US" w:eastAsia="zh-CN"/>
        </w:rPr>
        <w:t>0</w:t>
      </w:r>
      <w:r>
        <w:rPr>
          <w:rFonts w:hint="eastAsia" w:ascii="仿宋_GB2312" w:eastAsia="仿宋_GB2312"/>
          <w:kern w:val="2"/>
          <w:sz w:val="32"/>
          <w:szCs w:val="32"/>
        </w:rPr>
        <w:t>辆。</w:t>
      </w:r>
    </w:p>
    <w:p>
      <w:pPr>
        <w:kinsoku w:val="0"/>
        <w:overflowPunct w:val="0"/>
        <w:autoSpaceDE w:val="0"/>
        <w:autoSpaceDN w:val="0"/>
        <w:adjustRightInd w:val="0"/>
        <w:snapToGrid w:val="0"/>
        <w:spacing w:line="360" w:lineRule="auto"/>
        <w:ind w:firstLine="627" w:firstLineChars="196"/>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bCs/>
          <w:color w:val="000000"/>
          <w:sz w:val="32"/>
          <w:szCs w:val="32"/>
        </w:rPr>
        <w:t>公务接待费</w:t>
      </w:r>
      <w:r>
        <w:rPr>
          <w:rFonts w:hint="eastAsia" w:ascii="仿宋" w:hAnsi="仿宋" w:eastAsia="仿宋" w:cs="仿宋"/>
          <w:b w:val="0"/>
          <w:bCs w:val="0"/>
          <w:color w:val="000000"/>
          <w:sz w:val="32"/>
          <w:szCs w:val="32"/>
          <w:lang w:eastAsia="zh-CN"/>
        </w:rPr>
        <w:t>年初</w:t>
      </w:r>
      <w:r>
        <w:rPr>
          <w:rFonts w:hint="eastAsia" w:ascii="仿宋" w:hAnsi="仿宋" w:eastAsia="仿宋" w:cs="仿宋"/>
          <w:color w:val="000000"/>
          <w:sz w:val="32"/>
          <w:szCs w:val="32"/>
        </w:rPr>
        <w:t>预算为6万元，支出决算为</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万元，完成年初预算的</w:t>
      </w:r>
      <w:r>
        <w:rPr>
          <w:rFonts w:hint="eastAsia" w:ascii="仿宋" w:hAnsi="仿宋" w:eastAsia="仿宋" w:cs="仿宋"/>
          <w:color w:val="000000"/>
          <w:sz w:val="32"/>
          <w:szCs w:val="32"/>
          <w:lang w:val="en-US" w:eastAsia="zh-CN"/>
        </w:rPr>
        <w:t>50</w:t>
      </w:r>
      <w:r>
        <w:rPr>
          <w:rFonts w:hint="eastAsia" w:ascii="仿宋" w:hAnsi="仿宋" w:eastAsia="仿宋" w:cs="仿宋"/>
          <w:color w:val="000000"/>
          <w:sz w:val="32"/>
          <w:szCs w:val="32"/>
        </w:rPr>
        <w:t>%。决算数与预算数存在差异的</w:t>
      </w:r>
      <w:r>
        <w:rPr>
          <w:rFonts w:hint="eastAsia" w:ascii="仿宋" w:hAnsi="仿宋" w:eastAsia="仿宋" w:cs="仿宋"/>
          <w:sz w:val="32"/>
          <w:szCs w:val="32"/>
        </w:rPr>
        <w:t>主要原因是本年度严格落实“八项规定”，严格落实三单一票一涵制度，杜绝同城公务接待，压缩公务接待开支。其中：</w:t>
      </w:r>
    </w:p>
    <w:p>
      <w:pPr>
        <w:pStyle w:val="6"/>
        <w:autoSpaceDE w:val="0"/>
        <w:spacing w:before="0" w:beforeAutospacing="0" w:line="590" w:lineRule="exact"/>
        <w:ind w:firstLine="643" w:firstLineChars="200"/>
        <w:rPr>
          <w:rFonts w:hint="eastAsia" w:ascii="仿宋" w:hAnsi="仿宋" w:eastAsia="仿宋" w:cs="仿宋"/>
          <w:kern w:val="2"/>
          <w:sz w:val="32"/>
          <w:szCs w:val="32"/>
        </w:rPr>
      </w:pPr>
      <w:r>
        <w:rPr>
          <w:rFonts w:hint="eastAsia" w:ascii="仿宋" w:hAnsi="仿宋" w:eastAsia="仿宋" w:cs="仿宋"/>
          <w:b/>
          <w:bCs/>
          <w:color w:val="000000"/>
          <w:sz w:val="32"/>
          <w:szCs w:val="32"/>
        </w:rPr>
        <w:t>外宾接待支出</w:t>
      </w:r>
      <w:r>
        <w:rPr>
          <w:rFonts w:hint="eastAsia" w:ascii="仿宋" w:hAnsi="仿宋" w:eastAsia="仿宋" w:cs="仿宋"/>
          <w:b w:val="0"/>
          <w:bCs w:val="0"/>
          <w:color w:val="000000"/>
          <w:sz w:val="32"/>
          <w:szCs w:val="32"/>
        </w:rPr>
        <w:t>0万元</w:t>
      </w:r>
      <w:r>
        <w:rPr>
          <w:rFonts w:hint="eastAsia" w:ascii="仿宋" w:hAnsi="仿宋" w:eastAsia="仿宋" w:cs="仿宋"/>
          <w:color w:val="000000"/>
          <w:sz w:val="32"/>
          <w:szCs w:val="32"/>
        </w:rPr>
        <w:t>。</w:t>
      </w:r>
      <w:r>
        <w:rPr>
          <w:rFonts w:hint="eastAsia" w:ascii="仿宋" w:hAnsi="仿宋" w:eastAsia="仿宋" w:cs="仿宋"/>
          <w:kern w:val="2"/>
          <w:sz w:val="32"/>
          <w:szCs w:val="32"/>
        </w:rPr>
        <w:t>20</w:t>
      </w:r>
      <w:r>
        <w:rPr>
          <w:rFonts w:hint="eastAsia" w:ascii="仿宋" w:hAnsi="仿宋" w:eastAsia="仿宋" w:cs="仿宋"/>
          <w:kern w:val="2"/>
          <w:sz w:val="32"/>
          <w:szCs w:val="32"/>
          <w:lang w:val="en-US" w:eastAsia="zh-CN"/>
        </w:rPr>
        <w:t>20</w:t>
      </w:r>
      <w:r>
        <w:rPr>
          <w:rFonts w:hint="eastAsia" w:ascii="仿宋" w:hAnsi="仿宋" w:eastAsia="仿宋" w:cs="仿宋"/>
          <w:kern w:val="2"/>
          <w:sz w:val="32"/>
          <w:szCs w:val="32"/>
        </w:rPr>
        <w:t>年共接待国（境）外来访团组0个、来访外宾0人次（不包括陪同人员）。</w:t>
      </w:r>
    </w:p>
    <w:p>
      <w:pPr>
        <w:kinsoku w:val="0"/>
        <w:overflowPunct w:val="0"/>
        <w:autoSpaceDE w:val="0"/>
        <w:autoSpaceDN w:val="0"/>
        <w:adjustRightInd w:val="0"/>
        <w:snapToGrid w:val="0"/>
        <w:spacing w:line="360" w:lineRule="auto"/>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其他国内公务接待支出</w:t>
      </w:r>
      <w:r>
        <w:rPr>
          <w:rFonts w:hint="eastAsia" w:ascii="仿宋" w:hAnsi="仿宋" w:eastAsia="仿宋" w:cs="仿宋"/>
          <w:b/>
          <w:bCs/>
          <w:color w:val="000000"/>
          <w:sz w:val="32"/>
          <w:szCs w:val="32"/>
          <w:lang w:val="en-US" w:eastAsia="zh-CN"/>
        </w:rPr>
        <w:t>3</w:t>
      </w:r>
      <w:r>
        <w:rPr>
          <w:rFonts w:hint="eastAsia" w:ascii="仿宋" w:hAnsi="仿宋" w:eastAsia="仿宋" w:cs="仿宋"/>
          <w:color w:val="000000"/>
          <w:sz w:val="32"/>
          <w:szCs w:val="32"/>
        </w:rPr>
        <w:t>万元。主要用于接待省厅督查检查工作和兄弟市县业务交流学习。20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年度共接待国内来访团组</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个、接待来访</w:t>
      </w:r>
      <w:r>
        <w:rPr>
          <w:rFonts w:hint="eastAsia" w:ascii="仿宋" w:hAnsi="仿宋" w:eastAsia="仿宋" w:cs="仿宋"/>
          <w:color w:val="000000"/>
          <w:sz w:val="32"/>
          <w:szCs w:val="32"/>
          <w:lang w:val="en-US" w:eastAsia="zh-CN"/>
        </w:rPr>
        <w:t>54</w:t>
      </w:r>
      <w:r>
        <w:rPr>
          <w:rFonts w:hint="eastAsia" w:ascii="仿宋" w:hAnsi="仿宋" w:eastAsia="仿宋" w:cs="仿宋"/>
          <w:color w:val="000000"/>
          <w:sz w:val="32"/>
          <w:szCs w:val="32"/>
        </w:rPr>
        <w:t>5人次（不包括陪同人员）。</w:t>
      </w:r>
    </w:p>
    <w:p>
      <w:pPr>
        <w:numPr>
          <w:ilvl w:val="0"/>
          <w:numId w:val="5"/>
        </w:numPr>
        <w:adjustRightInd w:val="0"/>
        <w:snapToGrid w:val="0"/>
        <w:spacing w:line="360" w:lineRule="auto"/>
        <w:ind w:left="-10" w:leftChars="0" w:firstLine="640" w:firstLineChars="0"/>
        <w:outlineLvl w:val="1"/>
        <w:rPr>
          <w:rFonts w:ascii="黑体" w:hAnsi="黑体" w:eastAsia="黑体"/>
          <w:color w:val="000000"/>
          <w:sz w:val="32"/>
          <w:szCs w:val="32"/>
        </w:rPr>
      </w:pPr>
      <w:r>
        <w:rPr>
          <w:rFonts w:hint="eastAsia" w:ascii="黑体" w:hAnsi="黑体" w:eastAsia="黑体"/>
          <w:color w:val="000000"/>
          <w:sz w:val="32"/>
          <w:szCs w:val="32"/>
        </w:rPr>
        <w:t>关于预算绩效情况说明</w:t>
      </w:r>
    </w:p>
    <w:p>
      <w:pPr>
        <w:numPr>
          <w:ilvl w:val="0"/>
          <w:numId w:val="9"/>
        </w:numPr>
        <w:kinsoku w:val="0"/>
        <w:overflowPunct w:val="0"/>
        <w:autoSpaceDE w:val="0"/>
        <w:autoSpaceDN w:val="0"/>
        <w:adjustRightInd w:val="0"/>
        <w:snapToGrid w:val="0"/>
        <w:spacing w:line="360" w:lineRule="auto"/>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绩效管理工作开展情况。</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根据财政预算管理要求，浉河区民政局对20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年度一般公共预算项目支出全面开展绩效自评。其中，共涉及上级项目指标</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个，本级指标2个，共涉及指标资金1</w:t>
      </w:r>
      <w:r>
        <w:rPr>
          <w:rFonts w:hint="eastAsia" w:ascii="仿宋" w:hAnsi="仿宋" w:eastAsia="仿宋" w:cs="仿宋"/>
          <w:color w:val="000000"/>
          <w:sz w:val="32"/>
          <w:szCs w:val="32"/>
          <w:lang w:val="en-US" w:eastAsia="zh-CN"/>
        </w:rPr>
        <w:t>0806.41</w:t>
      </w:r>
      <w:r>
        <w:rPr>
          <w:rFonts w:hint="eastAsia" w:ascii="仿宋" w:hAnsi="仿宋" w:eastAsia="仿宋" w:cs="仿宋"/>
          <w:color w:val="000000"/>
          <w:sz w:val="32"/>
          <w:szCs w:val="32"/>
        </w:rPr>
        <w:t>万元，自评覆盖率达到</w:t>
      </w:r>
      <w:r>
        <w:rPr>
          <w:rFonts w:hint="eastAsia" w:ascii="仿宋" w:hAnsi="仿宋" w:eastAsia="仿宋" w:cs="仿宋"/>
          <w:color w:val="000000"/>
          <w:sz w:val="32"/>
          <w:szCs w:val="32"/>
          <w:lang w:val="en-US" w:eastAsia="zh-CN"/>
        </w:rPr>
        <w:t>70.63</w:t>
      </w:r>
      <w:r>
        <w:rPr>
          <w:rFonts w:hint="eastAsia" w:ascii="仿宋" w:hAnsi="仿宋" w:eastAsia="仿宋" w:cs="仿宋"/>
          <w:color w:val="000000"/>
          <w:sz w:val="32"/>
          <w:szCs w:val="32"/>
        </w:rPr>
        <w:t>%。</w:t>
      </w:r>
    </w:p>
    <w:p>
      <w:pPr>
        <w:numPr>
          <w:ilvl w:val="0"/>
          <w:numId w:val="9"/>
        </w:numPr>
        <w:kinsoku w:val="0"/>
        <w:overflowPunct w:val="0"/>
        <w:autoSpaceDE w:val="0"/>
        <w:autoSpaceDN w:val="0"/>
        <w:adjustRightInd w:val="0"/>
        <w:snapToGrid w:val="0"/>
        <w:spacing w:line="360" w:lineRule="auto"/>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项目绩效自评结果。</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根据20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年年初设定的绩效目标，我局绩效自评为较好。发现的主要问题：资金拨付时效性和资金使用效率需要提高。</w:t>
      </w:r>
    </w:p>
    <w:p>
      <w:pPr>
        <w:numPr>
          <w:ilvl w:val="0"/>
          <w:numId w:val="9"/>
        </w:numPr>
        <w:kinsoku w:val="0"/>
        <w:overflowPunct w:val="0"/>
        <w:autoSpaceDE w:val="0"/>
        <w:autoSpaceDN w:val="0"/>
        <w:adjustRightInd w:val="0"/>
        <w:snapToGrid w:val="0"/>
        <w:spacing w:line="360" w:lineRule="auto"/>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lang w:eastAsia="zh-CN"/>
        </w:rPr>
        <w:t>以单位为主体开展的</w:t>
      </w:r>
      <w:r>
        <w:rPr>
          <w:rFonts w:hint="eastAsia" w:ascii="楷体" w:hAnsi="楷体" w:eastAsia="楷体" w:cs="楷体"/>
          <w:b/>
          <w:bCs/>
          <w:color w:val="000000"/>
          <w:sz w:val="32"/>
          <w:szCs w:val="32"/>
        </w:rPr>
        <w:t>重点绩效评价结果。</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按照财政部门要求，20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年度我局重点对困难群众基本生活救助补助资金指标</w:t>
      </w:r>
      <w:r>
        <w:rPr>
          <w:rFonts w:hint="eastAsia" w:ascii="仿宋" w:hAnsi="仿宋" w:eastAsia="仿宋" w:cs="仿宋"/>
          <w:color w:val="000000"/>
          <w:sz w:val="32"/>
          <w:szCs w:val="32"/>
          <w:lang w:val="en-US" w:eastAsia="zh-CN"/>
        </w:rPr>
        <w:t>7781.13</w:t>
      </w:r>
      <w:r>
        <w:rPr>
          <w:rFonts w:hint="eastAsia" w:ascii="仿宋" w:hAnsi="仿宋" w:eastAsia="仿宋" w:cs="仿宋"/>
          <w:color w:val="000000"/>
          <w:sz w:val="32"/>
          <w:szCs w:val="32"/>
        </w:rPr>
        <w:t>万元、残疾人两补资金指标</w:t>
      </w:r>
      <w:r>
        <w:rPr>
          <w:rFonts w:hint="eastAsia" w:ascii="仿宋" w:hAnsi="仿宋" w:eastAsia="仿宋" w:cs="仿宋"/>
          <w:color w:val="000000"/>
          <w:sz w:val="32"/>
          <w:szCs w:val="32"/>
          <w:lang w:val="en-US" w:eastAsia="zh-CN"/>
        </w:rPr>
        <w:t>434.43</w:t>
      </w:r>
      <w:r>
        <w:rPr>
          <w:rFonts w:hint="eastAsia" w:ascii="仿宋" w:hAnsi="仿宋" w:eastAsia="仿宋" w:cs="仿宋"/>
          <w:color w:val="000000"/>
          <w:sz w:val="32"/>
          <w:szCs w:val="32"/>
        </w:rPr>
        <w:t>万元进行绩效评价。发现的主要问题：群众对政策的知晓率和工作满意度需要提高，资金拨付时效性和资金使用效率需要提高。</w:t>
      </w:r>
    </w:p>
    <w:p>
      <w:pPr>
        <w:numPr>
          <w:ilvl w:val="0"/>
          <w:numId w:val="5"/>
        </w:numPr>
        <w:adjustRightInd w:val="0"/>
        <w:snapToGrid w:val="0"/>
        <w:spacing w:line="360" w:lineRule="auto"/>
        <w:ind w:left="-10" w:leftChars="0" w:firstLine="640" w:firstLineChars="0"/>
        <w:outlineLvl w:val="1"/>
        <w:rPr>
          <w:rFonts w:ascii="黑体" w:hAnsi="黑体" w:eastAsia="黑体"/>
          <w:color w:val="000000"/>
          <w:sz w:val="32"/>
          <w:szCs w:val="32"/>
        </w:rPr>
      </w:pPr>
      <w:r>
        <w:rPr>
          <w:rFonts w:hint="eastAsia" w:ascii="黑体" w:hAnsi="黑体" w:eastAsia="黑体"/>
          <w:color w:val="000000"/>
          <w:sz w:val="32"/>
          <w:szCs w:val="32"/>
        </w:rPr>
        <w:t>政府性基金预算财政拨款支出决算情况说明</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shd w:val="clear" w:fill="FFFFFF"/>
        </w:rPr>
        <w:t>2020 年度政府性基金预算财政拨款支出年初预算为</w:t>
      </w:r>
      <w:r>
        <w:rPr>
          <w:rFonts w:hint="eastAsia" w:ascii="仿宋" w:hAnsi="仿宋" w:eastAsia="仿宋" w:cs="仿宋"/>
          <w:sz w:val="32"/>
          <w:szCs w:val="32"/>
          <w:shd w:val="clear" w:fill="FFFFFF"/>
          <w:lang w:val="en-US" w:eastAsia="zh-CN"/>
        </w:rPr>
        <w:t>0</w:t>
      </w:r>
      <w:r>
        <w:rPr>
          <w:rFonts w:hint="eastAsia" w:ascii="仿宋" w:hAnsi="仿宋" w:eastAsia="仿宋" w:cs="仿宋"/>
          <w:sz w:val="32"/>
          <w:szCs w:val="32"/>
          <w:shd w:val="clear" w:fill="FFFFFF"/>
        </w:rPr>
        <w:t>万元，支出决算为 0万元，完成年初预算的 0.00%。</w:t>
      </w:r>
      <w:r>
        <w:rPr>
          <w:rFonts w:hint="eastAsia" w:ascii="仿宋" w:hAnsi="仿宋" w:eastAsia="仿宋" w:cs="仿宋"/>
          <w:sz w:val="32"/>
          <w:szCs w:val="32"/>
        </w:rPr>
        <w:t>我部门20</w:t>
      </w:r>
      <w:r>
        <w:rPr>
          <w:rFonts w:hint="eastAsia" w:ascii="仿宋" w:hAnsi="仿宋" w:eastAsia="仿宋" w:cs="仿宋"/>
          <w:sz w:val="32"/>
          <w:szCs w:val="32"/>
          <w:lang w:val="en-US" w:eastAsia="zh-CN"/>
        </w:rPr>
        <w:t>20</w:t>
      </w:r>
      <w:r>
        <w:rPr>
          <w:rFonts w:hint="eastAsia" w:ascii="仿宋" w:hAnsi="仿宋" w:eastAsia="仿宋" w:cs="仿宋"/>
          <w:sz w:val="32"/>
          <w:szCs w:val="32"/>
        </w:rPr>
        <w:t>年度没有政府性基金收入，也没有使用政府性基金安排的支出。</w:t>
      </w:r>
    </w:p>
    <w:p>
      <w:pPr>
        <w:widowControl/>
        <w:ind w:firstLine="640" w:firstLineChars="200"/>
        <w:rPr>
          <w:rFonts w:hint="eastAsia" w:ascii="黑体" w:hAnsi="黑体" w:eastAsia="黑体" w:cs="黑体"/>
          <w:sz w:val="32"/>
          <w:szCs w:val="32"/>
        </w:rPr>
      </w:pPr>
      <w:r>
        <w:rPr>
          <w:rFonts w:hint="eastAsia" w:ascii="黑体" w:hAnsi="黑体" w:eastAsia="黑体" w:cs="黑体"/>
          <w:sz w:val="32"/>
          <w:szCs w:val="32"/>
        </w:rPr>
        <w:t>十、国有资本经营预算收支决算情况说明</w:t>
      </w:r>
    </w:p>
    <w:p>
      <w:pPr>
        <w:pStyle w:val="6"/>
        <w:autoSpaceDE w:val="0"/>
        <w:spacing w:before="0" w:beforeAutospacing="0"/>
        <w:ind w:firstLine="640" w:firstLineChars="200"/>
        <w:rPr>
          <w:rFonts w:hint="eastAsia"/>
        </w:rPr>
      </w:pPr>
      <w:r>
        <w:rPr>
          <w:rFonts w:hint="eastAsia" w:ascii="仿宋_GB2312" w:hAnsi="仿宋_GB2312" w:eastAsia="仿宋_GB2312" w:cs="仿宋_GB2312"/>
          <w:sz w:val="32"/>
          <w:szCs w:val="32"/>
        </w:rPr>
        <w:t>2020年度国有资本经营收入决算0万元，国有资本经营支出决算0万元。主要原因是目前我县国有企业基本无收益，因此没有安排国有资本经营收支预算。</w:t>
      </w:r>
    </w:p>
    <w:p>
      <w:pPr>
        <w:kinsoku w:val="0"/>
        <w:overflowPunct w:val="0"/>
        <w:autoSpaceDE w:val="0"/>
        <w:autoSpaceDN w:val="0"/>
        <w:adjustRightInd w:val="0"/>
        <w:snapToGrid w:val="0"/>
        <w:spacing w:line="360" w:lineRule="auto"/>
        <w:ind w:left="420" w:leftChars="200" w:firstLine="320" w:firstLineChars="100"/>
        <w:rPr>
          <w:rFonts w:ascii="黑体" w:hAnsi="黑体" w:eastAsia="黑体" w:cs="黑体"/>
          <w:bCs/>
          <w:color w:val="ED7D31"/>
          <w:kern w:val="0"/>
          <w:sz w:val="32"/>
          <w:szCs w:val="32"/>
        </w:rPr>
      </w:pPr>
      <w:r>
        <w:rPr>
          <w:rFonts w:hint="eastAsia" w:ascii="黑体" w:hAnsi="黑体" w:eastAsia="黑体" w:cs="黑体"/>
          <w:bCs/>
          <w:color w:val="000000"/>
          <w:kern w:val="0"/>
          <w:sz w:val="32"/>
          <w:szCs w:val="32"/>
          <w:lang w:eastAsia="zh-CN"/>
        </w:rPr>
        <w:t>十一、</w:t>
      </w:r>
      <w:r>
        <w:rPr>
          <w:rFonts w:hint="eastAsia" w:ascii="黑体" w:hAnsi="黑体" w:eastAsia="黑体" w:cs="黑体"/>
          <w:bCs/>
          <w:color w:val="000000"/>
          <w:kern w:val="0"/>
          <w:sz w:val="32"/>
          <w:szCs w:val="32"/>
        </w:rPr>
        <w:t>机关运行经费支出情况说明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color w:val="ED7D31"/>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年度机关运行经费年初预算为</w:t>
      </w:r>
      <w:r>
        <w:rPr>
          <w:rFonts w:hint="eastAsia" w:ascii="仿宋" w:hAnsi="仿宋" w:eastAsia="仿宋" w:cs="仿宋"/>
          <w:sz w:val="32"/>
          <w:szCs w:val="32"/>
          <w:lang w:val="en-US" w:eastAsia="zh-CN"/>
        </w:rPr>
        <w:t>177.8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171</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96.18</w:t>
      </w:r>
      <w:r>
        <w:rPr>
          <w:rFonts w:hint="eastAsia" w:ascii="仿宋" w:hAnsi="仿宋" w:eastAsia="仿宋" w:cs="仿宋"/>
          <w:sz w:val="32"/>
          <w:szCs w:val="32"/>
        </w:rPr>
        <w:t>%。决算数与年初预算数存在差异的主要原因是</w:t>
      </w:r>
      <w:r>
        <w:rPr>
          <w:rFonts w:hint="eastAsia" w:ascii="仿宋" w:hAnsi="仿宋" w:eastAsia="仿宋" w:cs="仿宋"/>
          <w:sz w:val="32"/>
          <w:szCs w:val="32"/>
          <w:lang w:eastAsia="zh-CN"/>
        </w:rPr>
        <w:t>提高机关运行效率，建设节约型机关，全年压缩三公经费等消耗性开支</w:t>
      </w:r>
      <w:r>
        <w:rPr>
          <w:rFonts w:hint="eastAsia" w:ascii="仿宋" w:hAnsi="仿宋" w:eastAsia="仿宋" w:cs="仿宋"/>
          <w:color w:val="000000" w:themeColor="text1"/>
          <w:sz w:val="32"/>
          <w:szCs w:val="32"/>
        </w:rPr>
        <w:t>。</w:t>
      </w:r>
    </w:p>
    <w:p>
      <w:pPr>
        <w:kinsoku w:val="0"/>
        <w:overflowPunct w:val="0"/>
        <w:autoSpaceDE w:val="0"/>
        <w:autoSpaceDN w:val="0"/>
        <w:adjustRightInd w:val="0"/>
        <w:snapToGrid w:val="0"/>
        <w:spacing w:line="360" w:lineRule="auto"/>
        <w:ind w:left="420" w:left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十</w:t>
      </w:r>
      <w:r>
        <w:rPr>
          <w:rFonts w:hint="eastAsia" w:ascii="黑体" w:hAnsi="黑体" w:eastAsia="黑体" w:cs="黑体"/>
          <w:bCs/>
          <w:color w:val="000000"/>
          <w:kern w:val="0"/>
          <w:sz w:val="32"/>
          <w:szCs w:val="32"/>
          <w:lang w:eastAsia="zh-CN"/>
        </w:rPr>
        <w:t>二</w:t>
      </w:r>
      <w:r>
        <w:rPr>
          <w:rFonts w:hint="eastAsia" w:ascii="黑体" w:hAnsi="黑体" w:eastAsia="黑体" w:cs="黑体"/>
          <w:bCs/>
          <w:color w:val="000000"/>
          <w:kern w:val="0"/>
          <w:sz w:val="32"/>
          <w:szCs w:val="32"/>
        </w:rPr>
        <w:t>、政府采购支出情况说明</w:t>
      </w:r>
    </w:p>
    <w:p>
      <w:pPr>
        <w:kinsoku w:val="0"/>
        <w:overflowPunct w:val="0"/>
        <w:autoSpaceDE w:val="0"/>
        <w:autoSpaceDN w:val="0"/>
        <w:adjustRightInd w:val="0"/>
        <w:snapToGrid w:val="0"/>
        <w:spacing w:line="360" w:lineRule="auto"/>
        <w:ind w:firstLine="640" w:firstLineChars="200"/>
        <w:rPr>
          <w:rFonts w:ascii="黑体" w:hAnsi="黑体" w:eastAsia="黑体" w:cs="黑体"/>
          <w:color w:val="000000"/>
          <w:sz w:val="32"/>
          <w:szCs w:val="32"/>
        </w:rPr>
      </w:pPr>
      <w:r>
        <w:rPr>
          <w:rFonts w:hint="eastAsia" w:ascii="仿宋" w:hAnsi="仿宋" w:eastAsia="仿宋" w:cs="仿宋"/>
          <w:sz w:val="32"/>
          <w:szCs w:val="32"/>
          <w:shd w:val="clear" w:fill="FFFFFF"/>
        </w:rPr>
        <w:t>2020 年度政府采购支出总额</w:t>
      </w:r>
      <w:r>
        <w:rPr>
          <w:rFonts w:hint="eastAsia" w:ascii="仿宋" w:hAnsi="仿宋" w:eastAsia="仿宋" w:cs="仿宋"/>
          <w:sz w:val="32"/>
          <w:szCs w:val="32"/>
          <w:shd w:val="clear" w:fill="FFFFFF"/>
          <w:lang w:val="en-US" w:eastAsia="zh-CN"/>
        </w:rPr>
        <w:t>13.45</w:t>
      </w:r>
      <w:r>
        <w:rPr>
          <w:rFonts w:hint="eastAsia" w:ascii="仿宋" w:hAnsi="仿宋" w:eastAsia="仿宋" w:cs="仿宋"/>
          <w:sz w:val="32"/>
          <w:szCs w:val="32"/>
          <w:shd w:val="clear" w:fill="FFFFFF"/>
        </w:rPr>
        <w:t>万元，其中：政府采购货物支出</w:t>
      </w:r>
      <w:r>
        <w:rPr>
          <w:rFonts w:hint="eastAsia" w:ascii="仿宋" w:hAnsi="仿宋" w:eastAsia="仿宋" w:cs="仿宋"/>
          <w:sz w:val="32"/>
          <w:szCs w:val="32"/>
          <w:shd w:val="clear" w:fill="FFFFFF"/>
          <w:lang w:val="en-US" w:eastAsia="zh-CN"/>
        </w:rPr>
        <w:t>13.45</w:t>
      </w:r>
      <w:r>
        <w:rPr>
          <w:rFonts w:hint="eastAsia" w:ascii="仿宋" w:hAnsi="仿宋" w:eastAsia="仿宋" w:cs="仿宋"/>
          <w:sz w:val="32"/>
          <w:szCs w:val="32"/>
          <w:shd w:val="clear" w:fill="FFFFFF"/>
        </w:rPr>
        <w:t>万元、政府采购工程支出</w:t>
      </w:r>
      <w:r>
        <w:rPr>
          <w:rFonts w:hint="eastAsia" w:ascii="仿宋" w:hAnsi="仿宋" w:eastAsia="仿宋" w:cs="仿宋"/>
          <w:sz w:val="32"/>
          <w:szCs w:val="32"/>
          <w:shd w:val="clear" w:fill="FFFFFF"/>
          <w:lang w:val="en-US" w:eastAsia="zh-CN"/>
        </w:rPr>
        <w:t>0</w:t>
      </w:r>
      <w:r>
        <w:rPr>
          <w:rFonts w:hint="eastAsia" w:ascii="仿宋" w:hAnsi="仿宋" w:eastAsia="仿宋" w:cs="仿宋"/>
          <w:sz w:val="32"/>
          <w:szCs w:val="32"/>
          <w:shd w:val="clear" w:fill="FFFFFF"/>
        </w:rPr>
        <w:t>万元、政府采购服务支出</w:t>
      </w:r>
      <w:r>
        <w:rPr>
          <w:rFonts w:hint="eastAsia" w:ascii="仿宋" w:hAnsi="仿宋" w:eastAsia="仿宋" w:cs="仿宋"/>
          <w:sz w:val="32"/>
          <w:szCs w:val="32"/>
          <w:shd w:val="clear" w:fill="FFFFFF"/>
          <w:lang w:val="en-US" w:eastAsia="zh-CN"/>
        </w:rPr>
        <w:t>0</w:t>
      </w:r>
      <w:r>
        <w:rPr>
          <w:rFonts w:hint="eastAsia" w:ascii="仿宋" w:hAnsi="仿宋" w:eastAsia="仿宋" w:cs="仿宋"/>
          <w:sz w:val="32"/>
          <w:szCs w:val="32"/>
          <w:shd w:val="clear" w:fill="FFFFFF"/>
        </w:rPr>
        <w:t>万元。授予中 小企业合同金额</w:t>
      </w:r>
      <w:r>
        <w:rPr>
          <w:rFonts w:hint="eastAsia" w:ascii="仿宋" w:hAnsi="仿宋" w:eastAsia="仿宋" w:cs="仿宋"/>
          <w:sz w:val="32"/>
          <w:szCs w:val="32"/>
          <w:shd w:val="clear" w:fill="FFFFFF"/>
          <w:lang w:val="en-US" w:eastAsia="zh-CN"/>
        </w:rPr>
        <w:t>13.45</w:t>
      </w:r>
      <w:r>
        <w:rPr>
          <w:rFonts w:hint="eastAsia" w:ascii="仿宋" w:hAnsi="仿宋" w:eastAsia="仿宋" w:cs="仿宋"/>
          <w:sz w:val="32"/>
          <w:szCs w:val="32"/>
          <w:shd w:val="clear" w:fill="FFFFFF"/>
        </w:rPr>
        <w:t>万元，占政府采购支出总额的</w:t>
      </w:r>
      <w:r>
        <w:rPr>
          <w:rFonts w:hint="eastAsia" w:ascii="仿宋" w:hAnsi="仿宋" w:eastAsia="仿宋" w:cs="仿宋"/>
          <w:sz w:val="32"/>
          <w:szCs w:val="32"/>
          <w:shd w:val="clear" w:fill="FFFFFF"/>
          <w:lang w:val="en-US" w:eastAsia="zh-CN"/>
        </w:rPr>
        <w:t>100</w:t>
      </w:r>
      <w:r>
        <w:rPr>
          <w:rFonts w:hint="eastAsia" w:ascii="仿宋" w:hAnsi="仿宋" w:eastAsia="仿宋" w:cs="仿宋"/>
          <w:sz w:val="32"/>
          <w:szCs w:val="32"/>
          <w:shd w:val="clear" w:fill="FFFFFF"/>
        </w:rPr>
        <w:t>%，其中：授予小微企业合同金额</w:t>
      </w:r>
      <w:r>
        <w:rPr>
          <w:rFonts w:hint="eastAsia" w:ascii="仿宋" w:hAnsi="仿宋" w:eastAsia="仿宋" w:cs="仿宋"/>
          <w:sz w:val="32"/>
          <w:szCs w:val="32"/>
          <w:shd w:val="clear" w:fill="FFFFFF"/>
          <w:lang w:val="en-US" w:eastAsia="zh-CN"/>
        </w:rPr>
        <w:t>13.45</w:t>
      </w:r>
      <w:r>
        <w:rPr>
          <w:rFonts w:hint="eastAsia" w:ascii="仿宋" w:hAnsi="仿宋" w:eastAsia="仿宋" w:cs="仿宋"/>
          <w:sz w:val="32"/>
          <w:szCs w:val="32"/>
          <w:shd w:val="clear" w:fill="FFFFFF"/>
        </w:rPr>
        <w:t>万元，占政府采购支出总额的</w:t>
      </w:r>
      <w:r>
        <w:rPr>
          <w:rFonts w:hint="eastAsia" w:ascii="仿宋" w:hAnsi="仿宋" w:eastAsia="仿宋" w:cs="仿宋"/>
          <w:sz w:val="32"/>
          <w:szCs w:val="32"/>
          <w:shd w:val="clear" w:fill="FFFFFF"/>
          <w:lang w:val="en-US" w:eastAsia="zh-CN"/>
        </w:rPr>
        <w:t>100</w:t>
      </w:r>
      <w:r>
        <w:rPr>
          <w:rFonts w:hint="eastAsia" w:ascii="仿宋" w:hAnsi="仿宋" w:eastAsia="仿宋" w:cs="仿宋"/>
          <w:sz w:val="32"/>
          <w:szCs w:val="32"/>
          <w:shd w:val="clear" w:fill="FFFFFF"/>
        </w:rPr>
        <w:t>%。</w:t>
      </w:r>
      <w:r>
        <w:rPr>
          <w:rFonts w:hint="eastAsia" w:ascii="仿宋" w:hAnsi="仿宋" w:eastAsia="仿宋" w:cs="仿宋"/>
          <w:sz w:val="32"/>
          <w:szCs w:val="32"/>
          <w:shd w:val="clear" w:fill="FFFFFF"/>
        </w:rPr>
        <w:br w:type="textWrapping"/>
      </w:r>
      <w:r>
        <w:rPr>
          <w:rFonts w:hint="eastAsia"/>
          <w:shd w:val="clear" w:fill="FFFFFF"/>
          <w:lang w:val="en-US" w:eastAsia="zh-CN"/>
        </w:rPr>
        <w:t xml:space="preserve">   </w:t>
      </w:r>
      <w:r>
        <w:rPr>
          <w:rFonts w:hint="eastAsia" w:ascii="黑体" w:hAnsi="黑体" w:eastAsia="黑体" w:cs="黑体"/>
          <w:bCs/>
          <w:color w:val="000000"/>
          <w:kern w:val="0"/>
          <w:sz w:val="32"/>
          <w:szCs w:val="32"/>
        </w:rPr>
        <w:t>十</w:t>
      </w:r>
      <w:r>
        <w:rPr>
          <w:rFonts w:hint="eastAsia" w:ascii="黑体" w:hAnsi="黑体" w:eastAsia="黑体" w:cs="黑体"/>
          <w:bCs/>
          <w:color w:val="000000"/>
          <w:kern w:val="0"/>
          <w:sz w:val="32"/>
          <w:szCs w:val="32"/>
          <w:lang w:eastAsia="zh-CN"/>
        </w:rPr>
        <w:t>三</w:t>
      </w:r>
      <w:r>
        <w:rPr>
          <w:rFonts w:hint="eastAsia" w:ascii="黑体" w:hAnsi="黑体" w:eastAsia="黑体" w:cs="黑体"/>
          <w:bCs/>
          <w:color w:val="000000"/>
          <w:kern w:val="0"/>
          <w:sz w:val="32"/>
          <w:szCs w:val="32"/>
        </w:rPr>
        <w:t>、国有资产占用情况说明</w:t>
      </w:r>
    </w:p>
    <w:p>
      <w:pPr>
        <w:ind w:firstLine="640" w:firstLineChars="200"/>
        <w:jc w:val="left"/>
        <w:rPr>
          <w:rFonts w:hint="eastAsia" w:ascii="仿宋" w:hAnsi="仿宋" w:eastAsia="仿宋" w:cs="仿宋"/>
          <w:color w:val="ED7D31"/>
          <w:sz w:val="32"/>
          <w:szCs w:val="32"/>
        </w:rPr>
      </w:pPr>
      <w:r>
        <w:rPr>
          <w:rFonts w:hint="eastAsia" w:ascii="仿宋" w:hAnsi="仿宋" w:eastAsia="仿宋" w:cs="仿宋"/>
          <w:sz w:val="32"/>
          <w:szCs w:val="32"/>
          <w:shd w:val="clear" w:fill="FFFFFF"/>
        </w:rPr>
        <w:t>2020 年期末，我单位共有车辆0辆，其中：省级领导干部用车0辆、主要领导干部用车 0辆、机要通信用车0辆、应急保障车0辆、执法执勤用车 0辆、特种专业技术用车0辆、离退休干部用车0辆、其他用 车0辆；单位价值50万元以上通用设备0台（套），单位价值100万元以上专用设备 0台（套）。</w:t>
      </w:r>
    </w:p>
    <w:p>
      <w:pPr>
        <w:jc w:val="left"/>
        <w:rPr>
          <w:rFonts w:ascii="黑体" w:hAnsi="黑体" w:eastAsia="黑体" w:cs="黑体"/>
          <w:color w:val="ED7D31"/>
          <w:sz w:val="32"/>
          <w:szCs w:val="32"/>
        </w:rPr>
      </w:pPr>
    </w:p>
    <w:p>
      <w:pPr>
        <w:jc w:val="left"/>
        <w:rPr>
          <w:rFonts w:ascii="黑体" w:hAnsi="黑体" w:eastAsia="黑体" w:cs="黑体"/>
          <w:color w:val="ED7D31"/>
          <w:sz w:val="32"/>
          <w:szCs w:val="32"/>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jc w:val="both"/>
        <w:outlineLvl w:val="0"/>
        <w:rPr>
          <w:rFonts w:ascii="黑体" w:hAnsi="黑体" w:eastAsia="黑体" w:cs="黑体"/>
          <w:color w:val="000000"/>
          <w:sz w:val="48"/>
          <w:szCs w:val="48"/>
        </w:rPr>
      </w:pPr>
    </w:p>
    <w:p>
      <w:pPr>
        <w:jc w:val="both"/>
        <w:outlineLvl w:val="0"/>
        <w:rPr>
          <w:rFonts w:ascii="黑体" w:hAnsi="黑体" w:eastAsia="黑体" w:cs="黑体"/>
          <w:color w:val="000000"/>
          <w:sz w:val="48"/>
          <w:szCs w:val="48"/>
        </w:rPr>
      </w:pPr>
    </w:p>
    <w:p>
      <w:pPr>
        <w:jc w:val="both"/>
        <w:outlineLvl w:val="0"/>
        <w:rPr>
          <w:rFonts w:ascii="黑体" w:hAnsi="黑体" w:eastAsia="黑体" w:cs="黑体"/>
          <w:color w:val="000000"/>
          <w:sz w:val="48"/>
          <w:szCs w:val="48"/>
        </w:rPr>
      </w:pPr>
    </w:p>
    <w:p>
      <w:pPr>
        <w:jc w:val="both"/>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r>
        <w:rPr>
          <w:rFonts w:hint="eastAsia" w:ascii="黑体" w:hAnsi="黑体" w:eastAsia="黑体" w:cs="黑体"/>
          <w:color w:val="000000"/>
          <w:sz w:val="48"/>
          <w:szCs w:val="48"/>
        </w:rPr>
        <w:t>第三部分　名词解释</w:t>
      </w:r>
    </w:p>
    <w:p>
      <w:pPr>
        <w:outlineLvl w:val="0"/>
        <w:rPr>
          <w:rFonts w:ascii="黑体" w:hAnsi="黑体" w:eastAsia="黑体" w:cs="黑体"/>
          <w:color w:val="000000"/>
          <w:sz w:val="48"/>
          <w:szCs w:val="48"/>
        </w:rPr>
      </w:pPr>
    </w:p>
    <w:p>
      <w:pPr>
        <w:outlineLvl w:val="0"/>
        <w:rPr>
          <w:rFonts w:ascii="黑体" w:hAnsi="黑体" w:eastAsia="黑体" w:cs="黑体"/>
          <w:color w:val="000000"/>
          <w:sz w:val="48"/>
          <w:szCs w:val="48"/>
        </w:rPr>
      </w:pPr>
    </w:p>
    <w:p>
      <w:pPr>
        <w:outlineLvl w:val="0"/>
        <w:rPr>
          <w:rFonts w:ascii="黑体" w:hAnsi="黑体" w:eastAsia="黑体" w:cs="黑体"/>
          <w:color w:val="000000"/>
          <w:sz w:val="48"/>
          <w:szCs w:val="48"/>
        </w:rPr>
      </w:pPr>
    </w:p>
    <w:p>
      <w:pPr>
        <w:outlineLvl w:val="0"/>
        <w:rPr>
          <w:rFonts w:ascii="黑体" w:hAnsi="黑体" w:eastAsia="黑体" w:cs="黑体"/>
          <w:color w:val="000000"/>
          <w:sz w:val="48"/>
          <w:szCs w:val="48"/>
        </w:rPr>
      </w:pPr>
    </w:p>
    <w:p>
      <w:pPr>
        <w:outlineLvl w:val="0"/>
        <w:rPr>
          <w:rFonts w:ascii="黑体" w:hAnsi="黑体" w:eastAsia="黑体" w:cs="黑体"/>
          <w:color w:val="000000"/>
          <w:sz w:val="48"/>
          <w:szCs w:val="48"/>
        </w:rPr>
      </w:pPr>
    </w:p>
    <w:p>
      <w:pPr>
        <w:outlineLvl w:val="0"/>
        <w:rPr>
          <w:rFonts w:ascii="黑体" w:hAnsi="黑体" w:eastAsia="黑体" w:cs="黑体"/>
          <w:color w:val="000000"/>
          <w:sz w:val="48"/>
          <w:szCs w:val="48"/>
        </w:rPr>
      </w:pPr>
    </w:p>
    <w:p>
      <w:pPr>
        <w:outlineLvl w:val="0"/>
        <w:rPr>
          <w:rFonts w:ascii="黑体" w:hAnsi="黑体" w:eastAsia="黑体" w:cs="黑体"/>
          <w:color w:val="000000"/>
          <w:sz w:val="48"/>
          <w:szCs w:val="48"/>
        </w:rPr>
      </w:pPr>
    </w:p>
    <w:p>
      <w:pPr>
        <w:outlineLvl w:val="0"/>
        <w:rPr>
          <w:rFonts w:ascii="黑体" w:hAnsi="黑体" w:eastAsia="黑体" w:cs="黑体"/>
          <w:color w:val="000000"/>
          <w:sz w:val="48"/>
          <w:szCs w:val="48"/>
        </w:rPr>
      </w:pPr>
    </w:p>
    <w:p>
      <w:pPr>
        <w:widowControl/>
        <w:spacing w:line="590" w:lineRule="exact"/>
        <w:jc w:val="left"/>
        <w:rPr>
          <w:rFonts w:ascii="??_GB2312" w:hAnsi="??_GB2312" w:cs="??_GB2312"/>
          <w:sz w:val="32"/>
          <w:szCs w:val="32"/>
        </w:rPr>
      </w:pPr>
    </w:p>
    <w:p>
      <w:pPr>
        <w:widowControl/>
        <w:spacing w:line="590" w:lineRule="exact"/>
        <w:ind w:firstLine="640" w:firstLineChars="200"/>
        <w:jc w:val="left"/>
        <w:rPr>
          <w:rFonts w:hint="eastAsia" w:ascii="宋体" w:hAnsi="宋体" w:cs="宋体"/>
          <w:sz w:val="32"/>
          <w:szCs w:val="32"/>
        </w:rPr>
      </w:pPr>
    </w:p>
    <w:p>
      <w:pPr>
        <w:widowControl/>
        <w:spacing w:line="590" w:lineRule="exact"/>
        <w:ind w:firstLine="640" w:firstLineChars="200"/>
        <w:jc w:val="left"/>
        <w:rPr>
          <w:rFonts w:hint="eastAsia" w:ascii="宋体" w:hAnsi="宋体" w:cs="宋体"/>
          <w:sz w:val="32"/>
          <w:szCs w:val="32"/>
        </w:rPr>
      </w:pPr>
    </w:p>
    <w:p>
      <w:pPr>
        <w:widowControl/>
        <w:spacing w:line="590" w:lineRule="exact"/>
        <w:ind w:firstLine="640" w:firstLineChars="200"/>
        <w:jc w:val="left"/>
        <w:rPr>
          <w:rFonts w:hint="eastAsia" w:ascii="宋体" w:hAnsi="宋体" w:cs="宋体"/>
          <w:sz w:val="32"/>
          <w:szCs w:val="32"/>
        </w:rPr>
      </w:pP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一、财政拨款收入：单位从同级政府财政部门取得的财政预算资金。</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二、事业收入：事业单位开展专业业务活动及其辅助活动取得的收入。</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三、上级补助收入：事业单位从主管部门和上级单位取得的非财政补助收入。</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十三、商品和服务支出：单位购买商品和服务的支出。</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十四、对个人和家庭的补助支出：单位用于对个人和家庭的补助支出。</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十六、年末结余：本年度或以前年度预算安排，已执行完毕或因客观条件发生变化无法按原预算安排实施，不需要再使用或无法按原预算安排继续使用的资金</w:t>
      </w: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rPr>
          <w:rFonts w:ascii="隶书" w:hAnsi="隶书" w:eastAsia="隶书" w:cs="隶书"/>
          <w:color w:val="ED7D31"/>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w:t>
      </w:r>
      <w:r>
        <w:rPr>
          <w:rFonts w:hint="eastAsia" w:ascii="黑体" w:hAnsi="黑体" w:eastAsia="黑体" w:cs="黑体"/>
          <w:color w:val="FF0000"/>
          <w:sz w:val="48"/>
          <w:szCs w:val="48"/>
        </w:rPr>
        <w:t>（</w:t>
      </w:r>
      <w:r>
        <w:rPr>
          <w:rFonts w:ascii="黑体" w:hAnsi="黑体" w:eastAsia="黑体" w:cs="黑体"/>
          <w:color w:val="FF0000"/>
          <w:sz w:val="48"/>
          <w:szCs w:val="48"/>
        </w:rPr>
        <w:t>Excel</w:t>
      </w:r>
      <w:r>
        <w:rPr>
          <w:rFonts w:hint="eastAsia" w:ascii="黑体" w:hAnsi="黑体" w:eastAsia="黑体" w:cs="黑体"/>
          <w:color w:val="FF0000"/>
          <w:sz w:val="48"/>
          <w:szCs w:val="48"/>
        </w:rPr>
        <w:t>表格）</w:t>
      </w:r>
    </w:p>
    <w:p>
      <w:pPr>
        <w:jc w:val="center"/>
        <w:rPr>
          <w:rFonts w:ascii="黑体" w:hAnsi="黑体" w:eastAsia="黑体" w:cs="黑体"/>
          <w:sz w:val="48"/>
          <w:szCs w:val="48"/>
        </w:rPr>
      </w:pPr>
      <w:r>
        <w:rPr>
          <w:rFonts w:hint="eastAsia" w:ascii="黑体" w:hAnsi="黑体" w:eastAsia="黑体" w:cs="黑体"/>
          <w:sz w:val="48"/>
          <w:szCs w:val="48"/>
        </w:rPr>
        <w:t>浉河区民政局</w:t>
      </w:r>
      <w:r>
        <w:rPr>
          <w:rFonts w:ascii="黑体" w:hAnsi="黑体" w:eastAsia="黑体" w:cs="黑体"/>
          <w:sz w:val="48"/>
          <w:szCs w:val="48"/>
        </w:rPr>
        <w:t>20</w:t>
      </w:r>
      <w:r>
        <w:rPr>
          <w:rFonts w:hint="eastAsia" w:ascii="黑体" w:hAnsi="黑体" w:eastAsia="黑体" w:cs="黑体"/>
          <w:sz w:val="48"/>
          <w:szCs w:val="48"/>
          <w:lang w:val="en-US" w:eastAsia="zh-CN"/>
        </w:rPr>
        <w:t>20</w:t>
      </w:r>
      <w:r>
        <w:rPr>
          <w:rFonts w:hint="eastAsia" w:ascii="黑体" w:hAnsi="黑体" w:eastAsia="黑体" w:cs="黑体"/>
          <w:sz w:val="48"/>
          <w:szCs w:val="48"/>
        </w:rPr>
        <w:t>年度部门决算公开表</w:t>
      </w:r>
    </w:p>
    <w:p>
      <w:pPr>
        <w:widowControl/>
        <w:jc w:val="left"/>
        <w:rPr>
          <w:rFonts w:ascii="黑体" w:hAnsi="宋体" w:eastAsia="黑体" w:cs="宋体"/>
          <w:color w:val="000000"/>
          <w:kern w:val="0"/>
          <w:sz w:val="28"/>
          <w:szCs w:val="28"/>
        </w:rPr>
      </w:pPr>
      <w:bookmarkStart w:id="0" w:name="_GoBack"/>
      <w:bookmarkEnd w:id="0"/>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_GB2312" w:hAnsi="??_GB2312" w:cs="??_GB2312"/>
          <w:sz w:val="32"/>
          <w:szCs w:val="32"/>
        </w:rPr>
      </w:pPr>
      <w:r>
        <w:rPr>
          <w:rFonts w:hint="eastAsia" w:ascii="黑体" w:hAnsi="宋体" w:eastAsia="黑体" w:cs="宋体"/>
          <w:color w:val="000000"/>
          <w:kern w:val="0"/>
          <w:sz w:val="28"/>
          <w:szCs w:val="28"/>
        </w:rPr>
        <w:t>说明：表中单元格数据为空时，表示该单元格数据为零；整张表数据为空时，表示部门该表中所有数据均为零，当年无表中相关收支</w:t>
      </w:r>
      <w:r>
        <w:rPr>
          <w:rFonts w:hint="eastAsia" w:ascii="宋体" w:hAnsi="宋体" w:cs="宋体"/>
          <w:sz w:val="32"/>
          <w:szCs w:val="32"/>
        </w:rPr>
        <w:t>。</w:t>
      </w:r>
    </w:p>
    <w:p>
      <w:pPr>
        <w:rPr>
          <w:rFonts w:ascii="隶书" w:hAnsi="隶书" w:eastAsia="隶书" w:cs="隶书"/>
          <w:color w:val="ED7D31"/>
          <w:sz w:val="48"/>
          <w:szCs w:val="4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- 18 -</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C8037"/>
    <w:multiLevelType w:val="singleLevel"/>
    <w:tmpl w:val="FDDC8037"/>
    <w:lvl w:ilvl="0" w:tentative="0">
      <w:start w:val="1"/>
      <w:numFmt w:val="chineseCounting"/>
      <w:suff w:val="nothing"/>
      <w:lvlText w:val="第%1部分　"/>
      <w:lvlJc w:val="left"/>
      <w:rPr>
        <w:rFonts w:hint="eastAsia" w:cs="Times New Roman"/>
      </w:rPr>
    </w:lvl>
  </w:abstractNum>
  <w:abstractNum w:abstractNumId="1">
    <w:nsid w:val="269254E4"/>
    <w:multiLevelType w:val="singleLevel"/>
    <w:tmpl w:val="269254E4"/>
    <w:lvl w:ilvl="0" w:tentative="0">
      <w:start w:val="1"/>
      <w:numFmt w:val="decimal"/>
      <w:suff w:val="nothing"/>
      <w:lvlText w:val="%1．"/>
      <w:lvlJc w:val="left"/>
      <w:rPr>
        <w:rFonts w:cs="Times New Roman"/>
      </w:r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abstractNum w:abstractNumId="3">
    <w:nsid w:val="5971BF59"/>
    <w:multiLevelType w:val="singleLevel"/>
    <w:tmpl w:val="5971BF59"/>
    <w:lvl w:ilvl="0" w:tentative="0">
      <w:start w:val="1"/>
      <w:numFmt w:val="chineseCounting"/>
      <w:suff w:val="nothing"/>
      <w:lvlText w:val="%1、"/>
      <w:lvlJc w:val="left"/>
      <w:pPr>
        <w:ind w:firstLine="420"/>
      </w:pPr>
      <w:rPr>
        <w:rFonts w:hint="eastAsia" w:cs="Times New Roman"/>
      </w:rPr>
    </w:lvl>
  </w:abstractNum>
  <w:abstractNum w:abstractNumId="4">
    <w:nsid w:val="5971C193"/>
    <w:multiLevelType w:val="singleLevel"/>
    <w:tmpl w:val="5971C193"/>
    <w:lvl w:ilvl="0" w:tentative="0">
      <w:start w:val="2"/>
      <w:numFmt w:val="chineseCounting"/>
      <w:suff w:val="nothing"/>
      <w:lvlText w:val="%1、"/>
      <w:lvlJc w:val="left"/>
      <w:rPr>
        <w:rFonts w:cs="Times New Roman"/>
      </w:rPr>
    </w:lvl>
  </w:abstractNum>
  <w:abstractNum w:abstractNumId="5">
    <w:nsid w:val="5971DAC2"/>
    <w:multiLevelType w:val="singleLevel"/>
    <w:tmpl w:val="5971DAC2"/>
    <w:lvl w:ilvl="0" w:tentative="0">
      <w:start w:val="1"/>
      <w:numFmt w:val="chineseCounting"/>
      <w:suff w:val="nothing"/>
      <w:lvlText w:val="%1、"/>
      <w:lvlJc w:val="left"/>
      <w:pPr>
        <w:ind w:left="-10" w:firstLine="420"/>
      </w:pPr>
      <w:rPr>
        <w:rFonts w:hint="eastAsia" w:cs="Times New Roman"/>
      </w:rPr>
    </w:lvl>
  </w:abstractNum>
  <w:abstractNum w:abstractNumId="6">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7">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8">
    <w:nsid w:val="5971E776"/>
    <w:multiLevelType w:val="singleLevel"/>
    <w:tmpl w:val="5971E776"/>
    <w:lvl w:ilvl="0" w:tentative="0">
      <w:start w:val="1"/>
      <w:numFmt w:val="chineseCounting"/>
      <w:suff w:val="nothing"/>
      <w:lvlText w:val="（%1）"/>
      <w:lvlJc w:val="left"/>
      <w:pPr>
        <w:ind w:firstLine="420"/>
      </w:pPr>
      <w:rPr>
        <w:rFonts w:hint="eastAsia" w:cs="Times New Roman"/>
      </w:rPr>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B3E9E"/>
    <w:rsid w:val="00131497"/>
    <w:rsid w:val="00172A27"/>
    <w:rsid w:val="00192015"/>
    <w:rsid w:val="001D694C"/>
    <w:rsid w:val="0020271F"/>
    <w:rsid w:val="002100EC"/>
    <w:rsid w:val="00227C52"/>
    <w:rsid w:val="002430AD"/>
    <w:rsid w:val="0024776C"/>
    <w:rsid w:val="00335A3F"/>
    <w:rsid w:val="003820D8"/>
    <w:rsid w:val="003B78D6"/>
    <w:rsid w:val="003C0942"/>
    <w:rsid w:val="00405B94"/>
    <w:rsid w:val="00440D0B"/>
    <w:rsid w:val="004F38C4"/>
    <w:rsid w:val="005D594A"/>
    <w:rsid w:val="005E1DFE"/>
    <w:rsid w:val="00606461"/>
    <w:rsid w:val="00630D31"/>
    <w:rsid w:val="00631871"/>
    <w:rsid w:val="006652B8"/>
    <w:rsid w:val="006C4403"/>
    <w:rsid w:val="006C57F9"/>
    <w:rsid w:val="006E4E7F"/>
    <w:rsid w:val="006F6B63"/>
    <w:rsid w:val="00792809"/>
    <w:rsid w:val="007F7D55"/>
    <w:rsid w:val="008327E6"/>
    <w:rsid w:val="00856771"/>
    <w:rsid w:val="00893C4E"/>
    <w:rsid w:val="00963555"/>
    <w:rsid w:val="00983E62"/>
    <w:rsid w:val="009E53FF"/>
    <w:rsid w:val="00A205EA"/>
    <w:rsid w:val="00A37C3B"/>
    <w:rsid w:val="00A4620D"/>
    <w:rsid w:val="00A538F4"/>
    <w:rsid w:val="00A703F0"/>
    <w:rsid w:val="00AF4470"/>
    <w:rsid w:val="00B01F64"/>
    <w:rsid w:val="00B4786B"/>
    <w:rsid w:val="00B54309"/>
    <w:rsid w:val="00B60C55"/>
    <w:rsid w:val="00B753CA"/>
    <w:rsid w:val="00B84FB0"/>
    <w:rsid w:val="00BB067C"/>
    <w:rsid w:val="00BF2A05"/>
    <w:rsid w:val="00BF7BC9"/>
    <w:rsid w:val="00C3060F"/>
    <w:rsid w:val="00C82C4A"/>
    <w:rsid w:val="00D00E1E"/>
    <w:rsid w:val="00D17E52"/>
    <w:rsid w:val="00D75856"/>
    <w:rsid w:val="00DA4AAC"/>
    <w:rsid w:val="00DD7DCF"/>
    <w:rsid w:val="00DF0D85"/>
    <w:rsid w:val="00E01652"/>
    <w:rsid w:val="00EB46CB"/>
    <w:rsid w:val="00EE0DA6"/>
    <w:rsid w:val="00EF0145"/>
    <w:rsid w:val="00F555F1"/>
    <w:rsid w:val="00F63126"/>
    <w:rsid w:val="00F7761E"/>
    <w:rsid w:val="00F93E4F"/>
    <w:rsid w:val="00F97F89"/>
    <w:rsid w:val="00FA1244"/>
    <w:rsid w:val="01064770"/>
    <w:rsid w:val="0303234C"/>
    <w:rsid w:val="04453648"/>
    <w:rsid w:val="054318A4"/>
    <w:rsid w:val="07751BF5"/>
    <w:rsid w:val="07FA2D05"/>
    <w:rsid w:val="08057585"/>
    <w:rsid w:val="0822314B"/>
    <w:rsid w:val="082E0A38"/>
    <w:rsid w:val="092012A9"/>
    <w:rsid w:val="09493A2B"/>
    <w:rsid w:val="09BB2134"/>
    <w:rsid w:val="0D512CAE"/>
    <w:rsid w:val="12C55BA5"/>
    <w:rsid w:val="13D50D22"/>
    <w:rsid w:val="13DA4090"/>
    <w:rsid w:val="15492582"/>
    <w:rsid w:val="15927F6F"/>
    <w:rsid w:val="15A50461"/>
    <w:rsid w:val="15E329CF"/>
    <w:rsid w:val="161D60C4"/>
    <w:rsid w:val="17367BBD"/>
    <w:rsid w:val="175043A6"/>
    <w:rsid w:val="18BC3384"/>
    <w:rsid w:val="1ACC00B9"/>
    <w:rsid w:val="1AE955B9"/>
    <w:rsid w:val="1B0A0B7B"/>
    <w:rsid w:val="1B8E5CBD"/>
    <w:rsid w:val="1BB26345"/>
    <w:rsid w:val="1BED361F"/>
    <w:rsid w:val="1C982C53"/>
    <w:rsid w:val="1CCF0EDD"/>
    <w:rsid w:val="1E2B3674"/>
    <w:rsid w:val="1E7D3B34"/>
    <w:rsid w:val="1EDB2DD9"/>
    <w:rsid w:val="1FA24820"/>
    <w:rsid w:val="209C4FF0"/>
    <w:rsid w:val="20FB68C0"/>
    <w:rsid w:val="2118280F"/>
    <w:rsid w:val="258F34D6"/>
    <w:rsid w:val="26823CB5"/>
    <w:rsid w:val="26AC6C6D"/>
    <w:rsid w:val="27051F84"/>
    <w:rsid w:val="275E7A77"/>
    <w:rsid w:val="27B02A92"/>
    <w:rsid w:val="28E118B0"/>
    <w:rsid w:val="2A3C3712"/>
    <w:rsid w:val="2BA4769A"/>
    <w:rsid w:val="2BD22CE3"/>
    <w:rsid w:val="2C954A05"/>
    <w:rsid w:val="2CD06EF4"/>
    <w:rsid w:val="2E2F304B"/>
    <w:rsid w:val="2EA67F62"/>
    <w:rsid w:val="2EC87334"/>
    <w:rsid w:val="2FD570E6"/>
    <w:rsid w:val="30413018"/>
    <w:rsid w:val="31CA620A"/>
    <w:rsid w:val="32EF40CE"/>
    <w:rsid w:val="33540EF7"/>
    <w:rsid w:val="3413659D"/>
    <w:rsid w:val="34971D59"/>
    <w:rsid w:val="34BA1DB5"/>
    <w:rsid w:val="351F03EE"/>
    <w:rsid w:val="35F42EBA"/>
    <w:rsid w:val="35F874B3"/>
    <w:rsid w:val="367967BF"/>
    <w:rsid w:val="36F35E86"/>
    <w:rsid w:val="372974AC"/>
    <w:rsid w:val="38974BD9"/>
    <w:rsid w:val="38F74ECD"/>
    <w:rsid w:val="3A570BE2"/>
    <w:rsid w:val="3A8D79F1"/>
    <w:rsid w:val="3AAA25C1"/>
    <w:rsid w:val="3BA17942"/>
    <w:rsid w:val="3CE47224"/>
    <w:rsid w:val="3E534FAC"/>
    <w:rsid w:val="3E6A49BC"/>
    <w:rsid w:val="3EF241E1"/>
    <w:rsid w:val="3FC11868"/>
    <w:rsid w:val="406B0BF3"/>
    <w:rsid w:val="41320287"/>
    <w:rsid w:val="41C91B48"/>
    <w:rsid w:val="41E602CE"/>
    <w:rsid w:val="42271DDB"/>
    <w:rsid w:val="42392BF1"/>
    <w:rsid w:val="44A6659F"/>
    <w:rsid w:val="44A777D4"/>
    <w:rsid w:val="455A6AE8"/>
    <w:rsid w:val="4756446F"/>
    <w:rsid w:val="4758777E"/>
    <w:rsid w:val="48036E61"/>
    <w:rsid w:val="48410728"/>
    <w:rsid w:val="48B52937"/>
    <w:rsid w:val="48EE3EF3"/>
    <w:rsid w:val="4B473E93"/>
    <w:rsid w:val="4B69294F"/>
    <w:rsid w:val="4B7222A2"/>
    <w:rsid w:val="4B7B0751"/>
    <w:rsid w:val="4C1E2F28"/>
    <w:rsid w:val="4C4D419D"/>
    <w:rsid w:val="4C6771ED"/>
    <w:rsid w:val="4C745106"/>
    <w:rsid w:val="4D9050DD"/>
    <w:rsid w:val="4F5062E9"/>
    <w:rsid w:val="4F5343F4"/>
    <w:rsid w:val="50066B69"/>
    <w:rsid w:val="50F11435"/>
    <w:rsid w:val="50FA222F"/>
    <w:rsid w:val="513C042B"/>
    <w:rsid w:val="515C6CAE"/>
    <w:rsid w:val="51AD42DE"/>
    <w:rsid w:val="53E9756D"/>
    <w:rsid w:val="54310A0E"/>
    <w:rsid w:val="54AF784A"/>
    <w:rsid w:val="5651051D"/>
    <w:rsid w:val="576D7750"/>
    <w:rsid w:val="57B25328"/>
    <w:rsid w:val="57BB5F84"/>
    <w:rsid w:val="57E961A8"/>
    <w:rsid w:val="581E77CF"/>
    <w:rsid w:val="58307EF7"/>
    <w:rsid w:val="58B06254"/>
    <w:rsid w:val="59E3092F"/>
    <w:rsid w:val="5AF25131"/>
    <w:rsid w:val="5B3D23B6"/>
    <w:rsid w:val="5BD36460"/>
    <w:rsid w:val="5C9847C7"/>
    <w:rsid w:val="5DDE6E6D"/>
    <w:rsid w:val="5F3A0145"/>
    <w:rsid w:val="600176AC"/>
    <w:rsid w:val="61727E89"/>
    <w:rsid w:val="627358F6"/>
    <w:rsid w:val="62B63D7C"/>
    <w:rsid w:val="6431638A"/>
    <w:rsid w:val="64901AA6"/>
    <w:rsid w:val="65C0268F"/>
    <w:rsid w:val="66230F7B"/>
    <w:rsid w:val="664A46E0"/>
    <w:rsid w:val="674E08EC"/>
    <w:rsid w:val="684C5FA1"/>
    <w:rsid w:val="6A2415C4"/>
    <w:rsid w:val="6B0C3B18"/>
    <w:rsid w:val="6C2F3976"/>
    <w:rsid w:val="6C522640"/>
    <w:rsid w:val="6C62285D"/>
    <w:rsid w:val="6D007227"/>
    <w:rsid w:val="6D0F641C"/>
    <w:rsid w:val="6D3702C7"/>
    <w:rsid w:val="705D2EE7"/>
    <w:rsid w:val="72B1272D"/>
    <w:rsid w:val="737A5BE5"/>
    <w:rsid w:val="73F1196C"/>
    <w:rsid w:val="740059FD"/>
    <w:rsid w:val="75531EF6"/>
    <w:rsid w:val="75A71BBA"/>
    <w:rsid w:val="75D0003D"/>
    <w:rsid w:val="771752DA"/>
    <w:rsid w:val="779E3F57"/>
    <w:rsid w:val="77C441EE"/>
    <w:rsid w:val="79960645"/>
    <w:rsid w:val="7CB13041"/>
    <w:rsid w:val="7D0D382E"/>
    <w:rsid w:val="7D47160D"/>
    <w:rsid w:val="7DBB501C"/>
    <w:rsid w:val="7E914FCA"/>
    <w:rsid w:val="7F3928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99"/>
    <w:pPr>
      <w:jc w:val="left"/>
    </w:p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link w:val="13"/>
    <w:qFormat/>
    <w:uiPriority w:val="99"/>
    <w:pPr>
      <w:snapToGrid w:val="0"/>
      <w:jc w:val="left"/>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footnote reference"/>
    <w:basedOn w:val="8"/>
    <w:qFormat/>
    <w:uiPriority w:val="99"/>
    <w:rPr>
      <w:rFonts w:cs="Times New Roman"/>
      <w:vertAlign w:val="superscript"/>
    </w:rPr>
  </w:style>
  <w:style w:type="character" w:customStyle="1" w:styleId="10">
    <w:name w:val="Comment Text Char"/>
    <w:basedOn w:val="8"/>
    <w:link w:val="2"/>
    <w:semiHidden/>
    <w:qFormat/>
    <w:locked/>
    <w:uiPriority w:val="99"/>
    <w:rPr>
      <w:rFonts w:ascii="Calibri" w:hAnsi="Calibri" w:cs="Times New Roman"/>
      <w:sz w:val="24"/>
      <w:szCs w:val="24"/>
    </w:rPr>
  </w:style>
  <w:style w:type="character" w:customStyle="1" w:styleId="11">
    <w:name w:val="Footer Char"/>
    <w:basedOn w:val="8"/>
    <w:link w:val="3"/>
    <w:semiHidden/>
    <w:qFormat/>
    <w:locked/>
    <w:uiPriority w:val="99"/>
    <w:rPr>
      <w:rFonts w:ascii="Calibri" w:hAnsi="Calibri" w:cs="Times New Roman"/>
      <w:sz w:val="18"/>
      <w:szCs w:val="18"/>
    </w:rPr>
  </w:style>
  <w:style w:type="character" w:customStyle="1" w:styleId="12">
    <w:name w:val="Header Char"/>
    <w:basedOn w:val="8"/>
    <w:link w:val="4"/>
    <w:semiHidden/>
    <w:qFormat/>
    <w:locked/>
    <w:uiPriority w:val="99"/>
    <w:rPr>
      <w:rFonts w:ascii="Calibri" w:hAnsi="Calibri" w:cs="Times New Roman"/>
      <w:sz w:val="18"/>
      <w:szCs w:val="18"/>
    </w:rPr>
  </w:style>
  <w:style w:type="character" w:customStyle="1" w:styleId="13">
    <w:name w:val="Footnote Text Char"/>
    <w:basedOn w:val="8"/>
    <w:link w:val="5"/>
    <w:semiHidden/>
    <w:qFormat/>
    <w:locked/>
    <w:uiPriority w:val="99"/>
    <w:rPr>
      <w:rFonts w:ascii="Calibri" w:hAnsi="Calibri" w:cs="Times New Roman"/>
      <w:sz w:val="18"/>
      <w:szCs w:val="18"/>
    </w:rPr>
  </w:style>
  <w:style w:type="character" w:customStyle="1" w:styleId="14">
    <w:name w:val="font31"/>
    <w:basedOn w:val="8"/>
    <w:qFormat/>
    <w:uiPriority w:val="99"/>
    <w:rPr>
      <w:rFonts w:ascii="Arial" w:hAnsi="Arial" w:cs="Arial"/>
      <w:color w:val="000000"/>
      <w:sz w:val="16"/>
      <w:szCs w:val="16"/>
      <w:u w:val="none"/>
    </w:rPr>
  </w:style>
  <w:style w:type="character" w:customStyle="1" w:styleId="15">
    <w:name w:val="font01"/>
    <w:basedOn w:val="8"/>
    <w:qFormat/>
    <w:uiPriority w:val="99"/>
    <w:rPr>
      <w:rFonts w:ascii="Arial" w:hAnsi="Arial" w:cs="Arial"/>
      <w:color w:val="000000"/>
      <w:sz w:val="16"/>
      <w:szCs w:val="16"/>
      <w:u w:val="none"/>
    </w:rPr>
  </w:style>
  <w:style w:type="character" w:customStyle="1" w:styleId="16">
    <w:name w:val="font41"/>
    <w:basedOn w:val="8"/>
    <w:qFormat/>
    <w:uiPriority w:val="99"/>
    <w:rPr>
      <w:rFonts w:ascii="宋体" w:hAnsi="宋体" w:eastAsia="宋体" w:cs="宋体"/>
      <w:color w:val="000000"/>
      <w:sz w:val="16"/>
      <w:szCs w:val="16"/>
      <w:u w:val="none"/>
    </w:rPr>
  </w:style>
  <w:style w:type="paragraph" w:customStyle="1" w:styleId="17">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21</Pages>
  <Words>1050</Words>
  <Characters>5987</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2020-10-16T03:44:00Z</dcterms:created>
  <dc:creator>wsj</dc:creator>
  <cp:lastModifiedBy>Administrator</cp:lastModifiedBy>
  <cp:lastPrinted>2017-07-25T02:47:00Z</cp:lastPrinted>
  <dcterms:modified xsi:type="dcterms:W3CDTF">2021-09-15T02:05:19Z</dcterms:modified>
  <dc:title>信阳市浉河区民政局</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43F8FF95909E461BBA5FF7EFA2292A2F</vt:lpwstr>
  </property>
</Properties>
</file>