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firstLine="1560" w:firstLineChars="300"/>
        <w:rPr>
          <w:rFonts w:ascii="微软雅黑" w:hAnsi="微软雅黑" w:eastAsia="微软雅黑" w:cs="微软雅黑"/>
          <w:sz w:val="52"/>
          <w:szCs w:val="52"/>
        </w:rPr>
      </w:pPr>
      <w:r>
        <w:rPr>
          <w:rFonts w:hint="eastAsia" w:ascii="微软雅黑" w:hAnsi="微软雅黑" w:eastAsia="微软雅黑" w:cs="微软雅黑"/>
          <w:sz w:val="52"/>
          <w:szCs w:val="52"/>
        </w:rPr>
        <w:t>信阳市浉河区人民法院</w:t>
      </w:r>
    </w:p>
    <w:p>
      <w:pPr>
        <w:ind w:firstLine="2080" w:firstLineChars="400"/>
        <w:rPr>
          <w:rFonts w:ascii="隶书" w:hAnsi="隶书" w:eastAsia="隶书" w:cs="隶书"/>
          <w:sz w:val="52"/>
          <w:szCs w:val="52"/>
        </w:rPr>
      </w:pPr>
      <w:r>
        <w:rPr>
          <w:rFonts w:hint="eastAsia" w:ascii="隶书" w:hAnsi="隶书" w:eastAsia="隶书" w:cs="隶书"/>
          <w:sz w:val="52"/>
          <w:szCs w:val="52"/>
        </w:rPr>
        <w:t>20</w:t>
      </w:r>
      <w:r>
        <w:rPr>
          <w:rFonts w:hint="eastAsia" w:ascii="隶书" w:hAnsi="隶书" w:eastAsia="隶书" w:cs="隶书"/>
          <w:sz w:val="52"/>
          <w:szCs w:val="52"/>
          <w:lang w:val="en-US" w:eastAsia="zh-CN"/>
        </w:rPr>
        <w:t>20</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ind w:firstLine="3200" w:firstLineChars="1000"/>
        <w:rPr>
          <w:rFonts w:hint="default" w:ascii="仿宋" w:hAnsi="仿宋" w:eastAsia="仿宋" w:cs="隶书"/>
          <w:sz w:val="32"/>
          <w:szCs w:val="32"/>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2021年9月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浉河区人民法院概况</w:t>
      </w:r>
    </w:p>
    <w:p>
      <w:pPr>
        <w:numPr>
          <w:ilvl w:val="0"/>
          <w:numId w:val="1"/>
        </w:numPr>
        <w:jc w:val="left"/>
        <w:rPr>
          <w:rFonts w:ascii="宋体" w:hAnsi="宋体" w:eastAsia="宋体" w:cs="宋体"/>
          <w:i w:val="0"/>
          <w:iCs w:val="0"/>
          <w:sz w:val="32"/>
          <w:szCs w:val="32"/>
        </w:rPr>
      </w:pPr>
      <w:r>
        <w:rPr>
          <w:rFonts w:hint="eastAsia" w:ascii="宋体" w:hAnsi="宋体" w:eastAsia="宋体" w:cs="宋体"/>
          <w:i w:val="0"/>
          <w:iCs w:val="0"/>
          <w:sz w:val="32"/>
          <w:szCs w:val="32"/>
        </w:rPr>
        <w:t>主要职能</w:t>
      </w:r>
    </w:p>
    <w:p>
      <w:pPr>
        <w:numPr>
          <w:ilvl w:val="0"/>
          <w:numId w:val="1"/>
        </w:numPr>
        <w:jc w:val="left"/>
        <w:rPr>
          <w:rFonts w:ascii="宋体" w:hAnsi="宋体" w:eastAsia="宋体" w:cs="宋体"/>
          <w:i w:val="0"/>
          <w:iCs w:val="0"/>
          <w:sz w:val="32"/>
          <w:szCs w:val="32"/>
        </w:rPr>
      </w:pPr>
      <w:r>
        <w:rPr>
          <w:rFonts w:hint="eastAsia" w:ascii="宋体" w:hAnsi="宋体" w:eastAsia="宋体" w:cs="宋体"/>
          <w:i w:val="0"/>
          <w:iCs w:val="0"/>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浉河区人民法院20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二、收入决算表情况说明</w:t>
      </w:r>
    </w:p>
    <w:p>
      <w:pPr>
        <w:jc w:val="left"/>
        <w:rPr>
          <w:rFonts w:ascii="宋体" w:hAnsi="宋体" w:eastAsia="宋体" w:cs="宋体"/>
          <w:sz w:val="32"/>
          <w:szCs w:val="32"/>
        </w:rPr>
      </w:pPr>
      <w:r>
        <w:rPr>
          <w:rFonts w:hint="eastAsia" w:ascii="宋体" w:hAnsi="宋体" w:eastAsia="宋体" w:cs="宋体"/>
          <w:sz w:val="32"/>
          <w:szCs w:val="32"/>
        </w:rPr>
        <w:t>三、支出决算表情况说明</w:t>
      </w:r>
    </w:p>
    <w:p>
      <w:pPr>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八、预算绩效情况说明</w:t>
      </w:r>
    </w:p>
    <w:p>
      <w:pPr>
        <w:jc w:val="left"/>
        <w:rPr>
          <w:rFonts w:hint="eastAsia" w:ascii="宋体" w:hAnsi="宋体" w:eastAsia="宋体" w:cs="宋体"/>
          <w:sz w:val="32"/>
          <w:szCs w:val="32"/>
        </w:rPr>
      </w:pPr>
      <w:r>
        <w:rPr>
          <w:rFonts w:hint="eastAsia" w:ascii="宋体" w:hAnsi="宋体" w:eastAsia="宋体" w:cs="宋体"/>
          <w:sz w:val="32"/>
          <w:szCs w:val="32"/>
        </w:rPr>
        <w:t>九、政府性基金预算财政拨款支出决算情况说明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十、国有资本经营预算收支决算情况说明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十</w:t>
      </w:r>
      <w:r>
        <w:rPr>
          <w:rFonts w:hint="eastAsia" w:ascii="宋体" w:hAnsi="宋体" w:eastAsia="宋体" w:cs="宋体"/>
          <w:sz w:val="32"/>
          <w:szCs w:val="32"/>
          <w:lang w:eastAsia="zh-CN"/>
        </w:rPr>
        <w:t>一</w:t>
      </w:r>
      <w:r>
        <w:rPr>
          <w:rFonts w:hint="eastAsia" w:ascii="宋体" w:hAnsi="宋体" w:eastAsia="宋体" w:cs="宋体"/>
          <w:sz w:val="32"/>
          <w:szCs w:val="32"/>
        </w:rPr>
        <w:t>、</w:t>
      </w:r>
      <w:r>
        <w:rPr>
          <w:rFonts w:hint="eastAsia" w:ascii="宋体" w:hAnsi="宋体" w:eastAsia="宋体" w:cs="宋体"/>
          <w:sz w:val="32"/>
          <w:szCs w:val="32"/>
          <w:lang w:eastAsia="zh-CN"/>
        </w:rPr>
        <w:t>机关运行经费支出情况说明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十二、政府采购支出情况说明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w:t>
      </w:r>
      <w:r>
        <w:rPr>
          <w:rFonts w:hint="eastAsia" w:ascii="黑体" w:hAnsi="黑体" w:eastAsia="黑体" w:cs="黑体"/>
          <w:b/>
          <w:bCs/>
          <w:sz w:val="32"/>
          <w:szCs w:val="32"/>
        </w:rPr>
        <w:t>名词解释</w:t>
      </w:r>
    </w:p>
    <w:p>
      <w:pPr>
        <w:jc w:val="left"/>
        <w:rPr>
          <w:rFonts w:hint="eastAsia" w:ascii="黑体" w:hAnsi="黑体" w:eastAsia="黑体" w:cs="黑体"/>
          <w:b/>
          <w:bCs/>
          <w:sz w:val="32"/>
          <w:szCs w:val="32"/>
          <w:lang w:val="en-US" w:eastAsia="zh-CN"/>
        </w:r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2020年度部门决算表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十、国有资本经营预算收支决算表</w:t>
      </w:r>
    </w:p>
    <w:p>
      <w:pPr>
        <w:jc w:val="left"/>
        <w:rPr>
          <w:rFonts w:ascii="黑体" w:hAnsi="黑体" w:eastAsia="黑体" w:cs="黑体"/>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52"/>
          <w:szCs w:val="52"/>
        </w:rPr>
        <w:t>浉河区人民法院</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依法审判本级法院管辖和本地域管辖的第一审刑事民事经济行政</w:t>
      </w:r>
    </w:p>
    <w:p>
      <w:pPr>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依法受理符合本级别法院和本地管辖及委托的执行案件。</w:t>
      </w:r>
    </w:p>
    <w:p>
      <w:pPr>
        <w:numPr>
          <w:ilvl w:val="0"/>
          <w:numId w:val="0"/>
        </w:numPr>
        <w:spacing w:line="360" w:lineRule="auto"/>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受理不服本院已发生法律效力的判决、裁定等各类申诉，并，依法对其中确有错误的已发生法律效力的判决、裁定和调解进行再审。</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1、浉河区法院部门决算单位构成是浉河区法院本级，</w:t>
      </w:r>
      <w:r>
        <w:rPr>
          <w:rFonts w:hint="eastAsia" w:ascii="仿宋" w:hAnsi="仿宋" w:eastAsia="仿宋" w:cs="仿宋"/>
          <w:sz w:val="32"/>
          <w:szCs w:val="32"/>
          <w:lang w:eastAsia="zh-CN"/>
        </w:rPr>
        <w:t>机关服务中心是所属全供事业单位</w:t>
      </w:r>
      <w:r>
        <w:rPr>
          <w:rFonts w:hint="eastAsia" w:ascii="仿宋" w:hAnsi="仿宋" w:eastAsia="仿宋" w:cs="仿宋"/>
          <w:sz w:val="32"/>
          <w:szCs w:val="32"/>
        </w:rPr>
        <w:t>。</w:t>
      </w:r>
      <w:r>
        <w:rPr>
          <w:rFonts w:hint="eastAsia" w:ascii="仿宋" w:hAnsi="仿宋" w:eastAsia="仿宋" w:cs="仿宋"/>
          <w:sz w:val="32"/>
          <w:szCs w:val="32"/>
          <w:lang w:eastAsia="zh-CN"/>
        </w:rPr>
        <w:t>本决算是本级与所属单位的汇总决算。</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2、浉河区人民法院机构设置</w:t>
      </w:r>
    </w:p>
    <w:p>
      <w:pPr>
        <w:spacing w:line="360" w:lineRule="auto"/>
        <w:ind w:firstLine="640" w:firstLineChars="200"/>
        <w:jc w:val="left"/>
        <w:rPr>
          <w:rFonts w:ascii="宋体" w:hAnsi="宋体" w:eastAsia="宋体" w:cs="宋体"/>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rPr>
        <w:t>浉河区人民法院现设有</w:t>
      </w:r>
      <w:r>
        <w:rPr>
          <w:rFonts w:hint="eastAsia" w:ascii="仿宋" w:hAnsi="仿宋" w:eastAsia="仿宋" w:cs="仿宋"/>
          <w:sz w:val="32"/>
          <w:szCs w:val="32"/>
          <w:lang w:eastAsia="zh-CN"/>
        </w:rPr>
        <w:t>政治</w:t>
      </w:r>
      <w:r>
        <w:rPr>
          <w:rFonts w:hint="eastAsia" w:ascii="仿宋" w:hAnsi="仿宋" w:eastAsia="仿宋" w:cs="仿宋"/>
          <w:sz w:val="32"/>
          <w:szCs w:val="32"/>
        </w:rPr>
        <w:t>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both"/>
        <w:rPr>
          <w:rFonts w:hint="default" w:ascii="黑体" w:hAnsi="黑体" w:eastAsia="黑体" w:cs="黑体"/>
          <w:sz w:val="56"/>
          <w:szCs w:val="56"/>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黑体" w:hAnsi="黑体" w:eastAsia="黑体" w:cs="黑体"/>
          <w:sz w:val="52"/>
          <w:szCs w:val="52"/>
        </w:rPr>
        <w:t>浉河区人民法院</w:t>
      </w:r>
    </w:p>
    <w:p>
      <w:pPr>
        <w:jc w:val="center"/>
        <w:rPr>
          <w:rFonts w:ascii="隶书" w:hAnsi="隶书" w:eastAsia="隶书" w:cs="隶书"/>
          <w:sz w:val="48"/>
          <w:szCs w:val="48"/>
        </w:rPr>
        <w:sectPr>
          <w:type w:val="continuous"/>
          <w:pgSz w:w="11906" w:h="16838"/>
          <w:pgMar w:top="1440" w:right="1080" w:bottom="1440" w:left="1080" w:header="851" w:footer="992" w:gutter="0"/>
          <w:pgNumType w:fmt="numberInDash"/>
          <w:cols w:space="425" w:num="1"/>
          <w:docGrid w:type="lines" w:linePitch="312" w:charSpace="0"/>
        </w:sectPr>
      </w:pPr>
      <w:r>
        <w:rPr>
          <w:rFonts w:hint="eastAsia" w:ascii="隶书" w:hAnsi="隶书" w:eastAsia="隶书" w:cs="隶书"/>
          <w:sz w:val="48"/>
          <w:szCs w:val="48"/>
        </w:rPr>
        <w:t>20</w:t>
      </w:r>
      <w:r>
        <w:rPr>
          <w:rFonts w:hint="eastAsia" w:ascii="隶书" w:hAnsi="隶书" w:eastAsia="隶书" w:cs="隶书"/>
          <w:sz w:val="48"/>
          <w:szCs w:val="48"/>
          <w:lang w:val="en-US" w:eastAsia="zh-CN"/>
        </w:rPr>
        <w:t>20</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年度收入</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均为</w:t>
      </w:r>
      <w:r>
        <w:rPr>
          <w:rFonts w:hint="eastAsia" w:ascii="仿宋_GB2312" w:hAnsi="宋体" w:eastAsia="仿宋_GB2312" w:cs="Courier New"/>
          <w:sz w:val="32"/>
          <w:szCs w:val="32"/>
          <w:lang w:val="en-US" w:eastAsia="zh-CN"/>
        </w:rPr>
        <w:t>4921.79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上年度</w:t>
      </w:r>
      <w:r>
        <w:rPr>
          <w:rFonts w:hint="eastAsia" w:ascii="仿宋_GB2312" w:hAnsi="宋体" w:eastAsia="仿宋_GB2312" w:cs="Courier New"/>
          <w:sz w:val="32"/>
          <w:szCs w:val="32"/>
        </w:rPr>
        <w:t>相比，收、支总计各增加</w:t>
      </w:r>
      <w:r>
        <w:rPr>
          <w:rFonts w:hint="eastAsia" w:ascii="仿宋_GB2312" w:hAnsi="宋体" w:eastAsia="仿宋_GB2312" w:cs="Courier New"/>
          <w:sz w:val="32"/>
          <w:szCs w:val="32"/>
          <w:lang w:val="en-US" w:eastAsia="zh-CN"/>
        </w:rPr>
        <w:t>959.92万</w:t>
      </w:r>
      <w:r>
        <w:rPr>
          <w:rFonts w:hint="eastAsia" w:ascii="仿宋_GB2312" w:hAnsi="宋体" w:eastAsia="仿宋_GB2312" w:cs="Courier New"/>
          <w:sz w:val="32"/>
          <w:szCs w:val="32"/>
        </w:rPr>
        <w:t>元，增长</w:t>
      </w:r>
      <w:r>
        <w:rPr>
          <w:rFonts w:hint="eastAsia" w:ascii="仿宋_GB2312" w:hAnsi="宋体" w:eastAsia="仿宋_GB2312" w:cs="Courier New"/>
          <w:sz w:val="32"/>
          <w:szCs w:val="32"/>
          <w:lang w:val="en-US" w:eastAsia="zh-CN"/>
        </w:rPr>
        <w:t>24.23%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10人，聘任制书记员增加15人，人员经费也相应增加。三是因财务上划省，诉讼费退费增加。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3733.47</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3707.47</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99.3</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上级补助收入</w:t>
      </w:r>
      <w:r>
        <w:rPr>
          <w:rFonts w:hint="eastAsia" w:ascii="仿宋_GB2312" w:hAnsi="Times New Roman" w:eastAsia="仿宋_GB2312"/>
          <w:sz w:val="32"/>
          <w:szCs w:val="32"/>
          <w:lang w:val="en-US" w:eastAsia="zh-CN"/>
        </w:rPr>
        <w:t>0万元，占0.00%；事业收入0万元，占0.00%；经营收入0万元，占0.00%；其他收入26万元，占0.7%。</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支出决算情况说明</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3706.66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1764.17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47.59</w:t>
      </w:r>
      <w:r>
        <w:rPr>
          <w:rFonts w:ascii="仿宋_GB2312" w:hAnsi="宋体" w:eastAsia="仿宋_GB2312" w:cs="Courier New"/>
          <w:sz w:val="32"/>
          <w:szCs w:val="32"/>
        </w:rPr>
        <w:t>%</w:t>
      </w:r>
      <w:r>
        <w:rPr>
          <w:rFonts w:hint="eastAsia" w:ascii="仿宋_GB2312" w:hAnsi="宋体" w:eastAsia="仿宋_GB2312" w:cs="Courier New"/>
          <w:sz w:val="32"/>
          <w:szCs w:val="32"/>
        </w:rPr>
        <w:t>；项目支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lang w:val="en-US" w:eastAsia="zh-CN"/>
        </w:rPr>
        <w:t>1942.49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52.41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上缴上级支出</w:t>
      </w:r>
      <w:r>
        <w:rPr>
          <w:rFonts w:hint="eastAsia" w:ascii="仿宋_GB2312" w:hAnsi="宋体" w:eastAsia="仿宋_GB2312" w:cs="Courier New"/>
          <w:sz w:val="32"/>
          <w:szCs w:val="32"/>
          <w:lang w:val="en-US" w:eastAsia="zh-CN"/>
        </w:rPr>
        <w:t>0万元，占0.00%；对附属补助支出0万元，占0.00%。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年财政拨款收</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支总</w:t>
      </w:r>
      <w:r>
        <w:rPr>
          <w:rFonts w:hint="eastAsia" w:ascii="仿宋_GB2312" w:hAnsi="宋体" w:eastAsia="仿宋_GB2312" w:cs="Courier New"/>
          <w:sz w:val="32"/>
          <w:szCs w:val="32"/>
          <w:lang w:eastAsia="zh-CN"/>
        </w:rPr>
        <w:t>计均为</w:t>
      </w:r>
      <w:r>
        <w:rPr>
          <w:rFonts w:hint="eastAsia" w:ascii="仿宋_GB2312" w:hAnsi="宋体" w:eastAsia="仿宋_GB2312" w:cs="Courier New"/>
          <w:sz w:val="32"/>
          <w:szCs w:val="32"/>
          <w:lang w:val="en-US" w:eastAsia="zh-CN"/>
        </w:rPr>
        <w:t>4855.19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相比，财政拨款收、支总计各增加</w:t>
      </w:r>
      <w:r>
        <w:rPr>
          <w:rFonts w:hint="eastAsia" w:ascii="仿宋_GB2312" w:hAnsi="宋体" w:eastAsia="仿宋_GB2312" w:cs="Courier New"/>
          <w:sz w:val="32"/>
          <w:szCs w:val="32"/>
          <w:lang w:val="en-US" w:eastAsia="zh-CN"/>
        </w:rPr>
        <w:t>933.92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19.24%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10人，聘任制书记员增加15人，人员经费也相应增加。三是因财务上划省，诉讼费退费增加。</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3680.66</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99.30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相比，一般公共预算财政拨款支出增加</w:t>
      </w:r>
      <w:r>
        <w:rPr>
          <w:rFonts w:hint="eastAsia" w:ascii="仿宋_GB2312" w:hAnsi="宋体" w:eastAsia="仿宋_GB2312" w:cs="Courier New"/>
          <w:sz w:val="32"/>
          <w:szCs w:val="32"/>
          <w:lang w:val="en-US" w:eastAsia="zh-CN"/>
        </w:rPr>
        <w:t>907.11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32.71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10人，聘任制书记员增加15人，人员经费也相应增加。三是因财务上划省，诉讼费退费增加。</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结构情况。</w:t>
      </w:r>
    </w:p>
    <w:p>
      <w:pPr>
        <w:keepNext w:val="0"/>
        <w:keepLines w:val="0"/>
        <w:pageBreakBefore w:val="0"/>
        <w:wordWrap/>
        <w:topLinePunct w:val="0"/>
        <w:bidi w:val="0"/>
        <w:spacing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年度一般公共预算财政拨款支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3680.66</w:t>
      </w:r>
      <w:r>
        <w:rPr>
          <w:rFonts w:hint="eastAsia" w:ascii="仿宋" w:hAnsi="仿宋" w:eastAsia="仿宋" w:cs="仿宋"/>
          <w:sz w:val="32"/>
          <w:szCs w:val="32"/>
        </w:rPr>
        <w:t>万元，主要用于以下方面：公共安全支出</w:t>
      </w:r>
      <w:r>
        <w:rPr>
          <w:rFonts w:hint="eastAsia" w:ascii="仿宋" w:hAnsi="仿宋" w:eastAsia="仿宋" w:cs="仿宋"/>
          <w:sz w:val="32"/>
          <w:szCs w:val="32"/>
          <w:lang w:val="en-US" w:eastAsia="zh-CN"/>
        </w:rPr>
        <w:t>3424.99</w:t>
      </w:r>
      <w:r>
        <w:rPr>
          <w:rFonts w:hint="eastAsia" w:ascii="仿宋" w:hAnsi="仿宋" w:eastAsia="仿宋" w:cs="仿宋"/>
          <w:sz w:val="32"/>
          <w:szCs w:val="32"/>
        </w:rPr>
        <w:t>万元，占</w:t>
      </w:r>
      <w:r>
        <w:rPr>
          <w:rFonts w:hint="eastAsia" w:ascii="仿宋" w:hAnsi="仿宋" w:eastAsia="仿宋" w:cs="仿宋"/>
          <w:sz w:val="32"/>
          <w:szCs w:val="32"/>
          <w:lang w:val="en-US" w:eastAsia="zh-CN"/>
        </w:rPr>
        <w:t>93</w:t>
      </w:r>
      <w:r>
        <w:rPr>
          <w:rFonts w:hint="eastAsia" w:ascii="仿宋" w:hAnsi="仿宋" w:eastAsia="仿宋" w:cs="仿宋"/>
          <w:sz w:val="32"/>
          <w:szCs w:val="32"/>
        </w:rPr>
        <w:t>%；社保</w:t>
      </w:r>
      <w:r>
        <w:rPr>
          <w:rFonts w:hint="eastAsia" w:ascii="仿宋" w:hAnsi="仿宋" w:eastAsia="仿宋" w:cs="仿宋"/>
          <w:sz w:val="32"/>
          <w:szCs w:val="32"/>
          <w:lang w:val="en-US" w:eastAsia="zh-CN"/>
        </w:rPr>
        <w:t>93.04</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eastAsia="zh-CN"/>
        </w:rPr>
        <w:t>医疗卫生支出</w:t>
      </w:r>
      <w:r>
        <w:rPr>
          <w:rFonts w:hint="eastAsia" w:ascii="仿宋" w:hAnsi="仿宋" w:eastAsia="仿宋" w:cs="仿宋"/>
          <w:sz w:val="32"/>
          <w:szCs w:val="32"/>
          <w:lang w:val="en-US" w:eastAsia="zh-CN"/>
        </w:rPr>
        <w:t>61.17万元，占1.7%；</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101.46</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2.8%</w:t>
      </w:r>
      <w:r>
        <w:rPr>
          <w:rFonts w:hint="eastAsia" w:ascii="仿宋" w:hAnsi="仿宋" w:eastAsia="仿宋" w:cs="仿宋"/>
          <w:sz w:val="32"/>
          <w:szCs w:val="32"/>
        </w:rPr>
        <w:t>。</w:t>
      </w:r>
    </w:p>
    <w:p>
      <w:pPr>
        <w:keepNext w:val="0"/>
        <w:keepLines w:val="0"/>
        <w:pageBreakBefore w:val="0"/>
        <w:numPr>
          <w:ilvl w:val="0"/>
          <w:numId w:val="5"/>
        </w:numPr>
        <w:wordWrap/>
        <w:topLinePunct w:val="0"/>
        <w:bidi w:val="0"/>
        <w:adjustRightInd w:val="0"/>
        <w:snapToGrid w:val="0"/>
        <w:spacing w:afterAutospacing="0" w:line="360" w:lineRule="auto"/>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具体情况。</w:t>
      </w:r>
    </w:p>
    <w:p>
      <w:pPr>
        <w:keepNext w:val="0"/>
        <w:keepLines w:val="0"/>
        <w:pageBreakBefore w:val="0"/>
        <w:wordWrap/>
        <w:topLinePunct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1809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3680.66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203.46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w:t>
      </w:r>
    </w:p>
    <w:p>
      <w:pPr>
        <w:keepNext w:val="0"/>
        <w:keepLines w:val="0"/>
        <w:pageBreakBefore w:val="0"/>
        <w:numPr>
          <w:ilvl w:val="0"/>
          <w:numId w:val="0"/>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lang w:val="en-US" w:eastAsia="zh-CN"/>
        </w:rPr>
        <w:t>1.一般公共安全支出（类）法院（款）行政运行(项)，年初预算为1440.7万元，支出决算为1508.5万元，完成预算的104.7%；一般公共服务支出（类）法院（款）一般行政管理事务(项)年初预算为0万元，支出决算为519.66万元；一般公共服务支出（类）法院（款）两庭建设（项）年初预算为0万元，支出决算为314.62万元；一般公共服务支出（类）法院（款）其他法院支出（项）1081.8万元。</w:t>
      </w:r>
    </w:p>
    <w:p>
      <w:pPr>
        <w:keepNext w:val="0"/>
        <w:keepLines w:val="0"/>
        <w:pageBreakBefore w:val="0"/>
        <w:numPr>
          <w:ilvl w:val="0"/>
          <w:numId w:val="0"/>
        </w:numPr>
        <w:wordWrap/>
        <w:topLinePunct w:val="0"/>
        <w:bidi w:val="0"/>
        <w:adjustRightInd w:val="0"/>
        <w:snapToGrid w:val="0"/>
        <w:spacing w:afterAutospacing="0" w:line="360" w:lineRule="auto"/>
        <w:ind w:firstLine="960" w:firstLineChars="3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是一般行政管理事务、两庭建设、其他法院支出（诉讼费退费）等支出在年初的预算中放在项目支出中，项目支出收入是区财政通过非税收入返还的财政拨款收入。</w:t>
      </w:r>
    </w:p>
    <w:p>
      <w:pPr>
        <w:keepNext w:val="0"/>
        <w:keepLines w:val="0"/>
        <w:pageBreakBefore w:val="0"/>
        <w:numPr>
          <w:ilvl w:val="0"/>
          <w:numId w:val="0"/>
        </w:numPr>
        <w:wordWrap/>
        <w:topLinePunct w:val="0"/>
        <w:bidi w:val="0"/>
        <w:adjustRightInd w:val="0"/>
        <w:snapToGrid w:val="0"/>
        <w:spacing w:afterAutospacing="0" w:line="360" w:lineRule="auto"/>
        <w:ind w:firstLine="960" w:firstLineChars="300"/>
        <w:jc w:val="both"/>
        <w:textAlignment w:val="auto"/>
        <w:rPr>
          <w:rFonts w:hint="default" w:ascii="仿宋_GB2312" w:hAnsi="宋体" w:eastAsia="仿宋_GB2312" w:cs="Courier New"/>
          <w:sz w:val="32"/>
          <w:szCs w:val="32"/>
          <w:lang w:val="en-US"/>
        </w:rPr>
      </w:pP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lang w:eastAsia="zh-CN"/>
        </w:rPr>
        <w:t>社会保障和就业支出（类）行政事业单位离退休（款）养老保险（项）</w:t>
      </w:r>
      <w:r>
        <w:rPr>
          <w:rFonts w:hint="eastAsia" w:ascii="仿宋_GB2312" w:hAnsi="宋体" w:eastAsia="仿宋_GB2312" w:cs="Courier New"/>
          <w:sz w:val="32"/>
          <w:szCs w:val="32"/>
          <w:lang w:val="en-US" w:eastAsia="zh-CN"/>
        </w:rPr>
        <w:t>150万元，决算93.04万元，完成预算的62%、卫生健康支出行政（类）事业单位医疗一般公共服务支出（类）法院（款）医疗保险（项）年初预算为84万元，支出决算为61.17万元，完成预算的73%；住房保障支出（类)住房改革支出（款）住房公积金（项）年初预算为132万元，决算为101.46万元，完成预算的77%。</w:t>
      </w:r>
    </w:p>
    <w:p>
      <w:pPr>
        <w:pStyle w:val="4"/>
        <w:keepNext w:val="0"/>
        <w:keepLines w:val="0"/>
        <w:pageBreakBefore w:val="0"/>
        <w:widowControl/>
        <w:numPr>
          <w:ilvl w:val="0"/>
          <w:numId w:val="4"/>
        </w:numPr>
        <w:suppressLineNumbers w:val="0"/>
        <w:wordWrap/>
        <w:topLinePunct w:val="0"/>
        <w:bidi w:val="0"/>
        <w:spacing w:before="0" w:beforeAutospacing="0" w:afterAutospacing="0" w:line="360" w:lineRule="auto"/>
        <w:ind w:left="0" w:lef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关于一般公共预算财政拨款基本支出决算情况说明</w:t>
      </w:r>
      <w:r>
        <w:rPr>
          <w:rFonts w:hint="eastAsia" w:ascii="黑体" w:hAnsi="黑体" w:eastAsia="黑体"/>
          <w:sz w:val="32"/>
          <w:szCs w:val="32"/>
          <w:lang w:val="en-US" w:eastAsia="zh-CN"/>
        </w:rPr>
        <w:t xml:space="preserve"> </w:t>
      </w:r>
    </w:p>
    <w:p>
      <w:pPr>
        <w:pStyle w:val="4"/>
        <w:keepNext w:val="0"/>
        <w:keepLines w:val="0"/>
        <w:pageBreakBefore w:val="0"/>
        <w:widowControl/>
        <w:numPr>
          <w:ilvl w:val="0"/>
          <w:numId w:val="0"/>
        </w:numPr>
        <w:suppressLineNumbers w:val="0"/>
        <w:wordWrap/>
        <w:topLinePunct w:val="0"/>
        <w:bidi w:val="0"/>
        <w:spacing w:before="0" w:beforeAutospacing="0" w:afterAutospacing="0" w:line="360" w:lineRule="auto"/>
        <w:ind w:leftChars="200" w:right="0" w:rightChars="0"/>
        <w:jc w:val="both"/>
        <w:textAlignment w:val="auto"/>
        <w:rPr>
          <w:rFonts w:hint="eastAsia" w:ascii="黑体" w:hAnsi="黑体" w:eastAsia="黑体"/>
          <w:sz w:val="32"/>
          <w:szCs w:val="32"/>
        </w:rPr>
      </w:pPr>
    </w:p>
    <w:p>
      <w:pPr>
        <w:pStyle w:val="4"/>
        <w:keepNext w:val="0"/>
        <w:keepLines w:val="0"/>
        <w:pageBreakBefore w:val="0"/>
        <w:widowControl/>
        <w:numPr>
          <w:ilvl w:val="0"/>
          <w:numId w:val="0"/>
        </w:numPr>
        <w:suppressLineNumbers w:val="0"/>
        <w:wordWrap/>
        <w:topLinePunct w:val="0"/>
        <w:bidi w:val="0"/>
        <w:spacing w:before="0" w:beforeAutospacing="0" w:afterAutospacing="0" w:line="360" w:lineRule="auto"/>
        <w:ind w:right="0" w:rightChars="0" w:firstLine="640" w:firstLineChars="200"/>
        <w:jc w:val="both"/>
        <w:textAlignment w:val="auto"/>
        <w:rPr>
          <w:rFonts w:ascii="仿宋_GB2312" w:hAnsi="宋体" w:eastAsia="仿宋_GB2312" w:cs="Courier New"/>
          <w:sz w:val="32"/>
          <w:szCs w:val="32"/>
        </w:rPr>
      </w:pPr>
      <w:r>
        <w:rPr>
          <w:rFonts w:hint="eastAsia" w:ascii="仿宋" w:hAnsi="仿宋" w:eastAsia="仿宋" w:cs="仿宋"/>
          <w:sz w:val="32"/>
          <w:szCs w:val="32"/>
          <w:shd w:val="clear" w:fill="FFFFFF"/>
        </w:rPr>
        <w:t>20</w:t>
      </w:r>
      <w:r>
        <w:rPr>
          <w:rFonts w:hint="eastAsia" w:ascii="仿宋" w:hAnsi="仿宋" w:eastAsia="仿宋" w:cs="仿宋"/>
          <w:sz w:val="32"/>
          <w:szCs w:val="32"/>
          <w:shd w:val="clear" w:fill="FFFFFF"/>
          <w:lang w:val="en-US" w:eastAsia="zh-CN"/>
        </w:rPr>
        <w:t>20</w:t>
      </w:r>
      <w:r>
        <w:rPr>
          <w:rFonts w:hint="eastAsia" w:ascii="仿宋" w:hAnsi="仿宋" w:eastAsia="仿宋" w:cs="仿宋"/>
          <w:sz w:val="32"/>
          <w:szCs w:val="32"/>
          <w:shd w:val="clear" w:fill="FFFFFF"/>
        </w:rPr>
        <w:t>年度一般公共预算财政拨款基本支出</w:t>
      </w:r>
      <w:r>
        <w:rPr>
          <w:rFonts w:hint="eastAsia" w:ascii="仿宋" w:hAnsi="仿宋" w:eastAsia="仿宋" w:cs="仿宋"/>
          <w:sz w:val="32"/>
          <w:szCs w:val="32"/>
          <w:shd w:val="clear" w:fill="FFFFFF"/>
          <w:lang w:val="en-US" w:eastAsia="zh-CN"/>
        </w:rPr>
        <w:t>1764.17</w:t>
      </w:r>
      <w:r>
        <w:rPr>
          <w:rFonts w:hint="eastAsia" w:ascii="仿宋" w:hAnsi="仿宋" w:eastAsia="仿宋" w:cs="仿宋"/>
          <w:sz w:val="32"/>
          <w:szCs w:val="32"/>
          <w:shd w:val="clear" w:fill="FFFFFF"/>
        </w:rPr>
        <w:t>万元。其中：人员经费1</w:t>
      </w:r>
      <w:r>
        <w:rPr>
          <w:rFonts w:hint="eastAsia" w:ascii="仿宋" w:hAnsi="仿宋" w:eastAsia="仿宋" w:cs="仿宋"/>
          <w:sz w:val="32"/>
          <w:szCs w:val="32"/>
          <w:shd w:val="clear" w:fill="FFFFFF"/>
          <w:lang w:val="en-US" w:eastAsia="zh-CN"/>
        </w:rPr>
        <w:t>366.25</w:t>
      </w:r>
      <w:r>
        <w:rPr>
          <w:rFonts w:hint="eastAsia" w:ascii="仿宋" w:hAnsi="仿宋" w:eastAsia="仿宋" w:cs="仿宋"/>
          <w:sz w:val="32"/>
          <w:szCs w:val="32"/>
          <w:shd w:val="clear" w:fill="FFFFFF"/>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w:t>
      </w:r>
      <w:r>
        <w:rPr>
          <w:rFonts w:hint="eastAsia" w:ascii="仿宋" w:hAnsi="仿宋" w:eastAsia="仿宋" w:cs="仿宋"/>
          <w:sz w:val="32"/>
          <w:szCs w:val="32"/>
          <w:shd w:val="clear" w:fill="FFFFFF"/>
          <w:lang w:eastAsia="zh-CN"/>
        </w:rPr>
        <w:t>出</w:t>
      </w:r>
      <w:r>
        <w:rPr>
          <w:rFonts w:hint="eastAsia" w:ascii="仿宋" w:hAnsi="仿宋" w:eastAsia="仿宋" w:cs="仿宋"/>
          <w:sz w:val="32"/>
          <w:szCs w:val="32"/>
          <w:shd w:val="clear" w:fill="FFFFFF"/>
        </w:rPr>
        <w:t>；公用经费771.07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numPr>
          <w:ilvl w:val="0"/>
          <w:numId w:val="4"/>
        </w:numPr>
        <w:wordWrap/>
        <w:topLinePunct w:val="0"/>
        <w:bidi w:val="0"/>
        <w:adjustRightInd w:val="0"/>
        <w:snapToGrid w:val="0"/>
        <w:spacing w:afterAutospacing="0" w:line="360" w:lineRule="auto"/>
        <w:ind w:firstLine="640" w:firstLineChars="200"/>
        <w:jc w:val="both"/>
        <w:textAlignment w:val="auto"/>
        <w:outlineLvl w:val="1"/>
        <w:rPr>
          <w:rFonts w:hint="eastAsia" w:ascii="黑体" w:hAnsi="黑体" w:eastAsia="黑体" w:cs="黑体"/>
          <w:sz w:val="32"/>
          <w:szCs w:val="32"/>
        </w:rPr>
      </w:pPr>
      <w:r>
        <w:rPr>
          <w:rFonts w:hint="eastAsia" w:ascii="黑体" w:hAnsi="黑体" w:eastAsia="黑体" w:cs="黑体"/>
          <w:sz w:val="32"/>
          <w:szCs w:val="32"/>
        </w:rPr>
        <w:t>关于一般公共预算财政拨款“三公”经费支出决算情况说明</w:t>
      </w:r>
    </w:p>
    <w:p>
      <w:pPr>
        <w:keepNext w:val="0"/>
        <w:keepLines w:val="0"/>
        <w:pageBreakBefore w:val="0"/>
        <w:numPr>
          <w:ilvl w:val="0"/>
          <w:numId w:val="0"/>
        </w:numPr>
        <w:wordWrap/>
        <w:topLinePunct w:val="0"/>
        <w:bidi w:val="0"/>
        <w:adjustRightInd w:val="0"/>
        <w:snapToGrid w:val="0"/>
        <w:spacing w:afterAutospacing="0" w:line="360" w:lineRule="auto"/>
        <w:ind w:leftChars="200"/>
        <w:jc w:val="both"/>
        <w:textAlignment w:val="auto"/>
        <w:outlineLvl w:val="1"/>
        <w:rPr>
          <w:rFonts w:ascii="楷体_GB2312" w:hAnsi="楷体_GB2312" w:eastAsia="楷体_GB2312" w:cs="楷体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_GB2312" w:hAnsi="楷体_GB2312" w:eastAsia="楷体_GB2312" w:cs="楷体_GB2312"/>
          <w:sz w:val="32"/>
          <w:szCs w:val="32"/>
        </w:rPr>
        <w:t>三公”经费财政拨款支出决算总体情况说明。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年度“三公”经费财政拨款支出预算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188.98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140.76</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74.48</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年度“三公”经费支出决算数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的主要原因是严格控制非生产性开支。</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“三公”经费财政拨款支出决算具体情况说明。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年度“三公”经费财政拨款支出决</w:t>
      </w:r>
      <w:r>
        <w:rPr>
          <w:rFonts w:hint="eastAsia" w:ascii="仿宋_GB2312" w:hAnsi="宋体" w:eastAsia="仿宋_GB2312" w:cs="Courier New"/>
          <w:sz w:val="32"/>
          <w:szCs w:val="32"/>
          <w:lang w:eastAsia="zh-CN"/>
        </w:rPr>
        <w:t>算</w:t>
      </w:r>
      <w:r>
        <w:rPr>
          <w:rFonts w:hint="eastAsia" w:ascii="仿宋_GB2312" w:hAnsi="宋体" w:eastAsia="仿宋_GB2312" w:cs="Courier New"/>
          <w:sz w:val="32"/>
          <w:szCs w:val="32"/>
        </w:rPr>
        <w:t>中</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因公出国（境）费支出决算为0万元，完成预算的0%</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140.11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82.91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99.54%</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0.65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3.24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0.46%</w:t>
      </w:r>
      <w:r>
        <w:rPr>
          <w:rFonts w:hint="eastAsia" w:ascii="仿宋_GB2312" w:hAnsi="宋体" w:eastAsia="仿宋_GB2312" w:cs="Courier New"/>
          <w:sz w:val="32"/>
          <w:szCs w:val="32"/>
        </w:rPr>
        <w:t>。具体情况如下：</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b/>
          <w:bCs/>
          <w:sz w:val="32"/>
          <w:szCs w:val="32"/>
          <w:lang w:eastAsia="zh-CN"/>
        </w:rPr>
        <w:t>预算为</w:t>
      </w:r>
      <w:r>
        <w:rPr>
          <w:rFonts w:hint="eastAsia" w:ascii="仿宋_GB2312" w:hAnsi="宋体" w:eastAsia="仿宋_GB2312" w:cs="Courier New"/>
          <w:sz w:val="32"/>
          <w:szCs w:val="32"/>
        </w:rPr>
        <w:t>0万元</w:t>
      </w:r>
      <w:r>
        <w:rPr>
          <w:rFonts w:hint="eastAsia" w:ascii="仿宋_GB2312" w:hAnsi="宋体" w:eastAsia="仿宋_GB2312" w:cs="Courier New"/>
          <w:sz w:val="32"/>
          <w:szCs w:val="32"/>
          <w:lang w:eastAsia="zh-CN"/>
        </w:rPr>
        <w:t>，支出决算为</w:t>
      </w:r>
      <w:r>
        <w:rPr>
          <w:rFonts w:hint="eastAsia" w:ascii="仿宋_GB2312" w:hAnsi="宋体" w:eastAsia="仿宋_GB2312" w:cs="Courier New"/>
          <w:sz w:val="32"/>
          <w:szCs w:val="32"/>
          <w:lang w:val="en-US" w:eastAsia="zh-CN"/>
        </w:rPr>
        <w:t>0.00万元，完成预算的0.00%。因公出国团组数0个，因公出国人次数0人。</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b/>
          <w:bCs/>
          <w:sz w:val="32"/>
          <w:szCs w:val="32"/>
          <w:lang w:eastAsia="zh-CN"/>
        </w:rPr>
        <w:t>预算为</w:t>
      </w:r>
      <w:r>
        <w:rPr>
          <w:rFonts w:hint="eastAsia" w:ascii="仿宋_GB2312" w:hAnsi="宋体" w:eastAsia="仿宋_GB2312" w:cs="Courier New"/>
          <w:b/>
          <w:bCs/>
          <w:sz w:val="32"/>
          <w:szCs w:val="32"/>
          <w:lang w:val="en-US" w:eastAsia="zh-CN"/>
        </w:rPr>
        <w:t>168.98万元，</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140.11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82.91%</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因车辆编制和购置标准限制减少了车辆采购。</w:t>
      </w:r>
      <w:r>
        <w:rPr>
          <w:rFonts w:hint="eastAsia" w:ascii="仿宋_GB2312" w:hAnsi="宋体" w:eastAsia="仿宋_GB2312" w:cs="Courier New"/>
          <w:sz w:val="32"/>
          <w:szCs w:val="32"/>
        </w:rPr>
        <w:t>其中：</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128.98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，购置</w:t>
      </w:r>
      <w:r>
        <w:rPr>
          <w:rFonts w:hint="eastAsia" w:ascii="仿宋_GB2312" w:hAnsi="宋体" w:eastAsia="仿宋_GB2312" w:cs="Courier New"/>
          <w:sz w:val="32"/>
          <w:szCs w:val="32"/>
          <w:lang w:val="en-US" w:eastAsia="zh-CN"/>
        </w:rPr>
        <w:t>5辆，其中囚车2辆，办案车辆3辆</w:t>
      </w:r>
      <w:r>
        <w:rPr>
          <w:rFonts w:hint="eastAsia" w:ascii="仿宋_GB2312" w:hAnsi="宋体" w:eastAsia="仿宋_GB2312" w:cs="Courier New"/>
          <w:sz w:val="32"/>
          <w:szCs w:val="32"/>
        </w:rPr>
        <w:t>。</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11.13</w:t>
      </w:r>
      <w:r>
        <w:rPr>
          <w:rFonts w:hint="eastAsia" w:ascii="仿宋_GB2312" w:hAnsi="宋体" w:eastAsia="仿宋_GB2312" w:cs="Courier New"/>
          <w:sz w:val="32"/>
          <w:szCs w:val="32"/>
        </w:rPr>
        <w:t>万元。主要用于车辆维修、燃油费等。</w:t>
      </w:r>
      <w:r>
        <w:rPr>
          <w:rFonts w:hint="eastAsia" w:ascii="仿宋_GB2312" w:hAnsi="宋体" w:eastAsia="仿宋_GB2312" w:cs="Courier New"/>
          <w:sz w:val="32"/>
          <w:szCs w:val="32"/>
          <w:lang w:val="en-US" w:eastAsia="zh-CN"/>
        </w:rPr>
        <w:t>2020年期末，部门开支财政拨款的公务用车保有量为13辆。</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0" w:firstLine="643" w:firstLineChars="200"/>
        <w:jc w:val="both"/>
        <w:textAlignment w:val="auto"/>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b/>
          <w:bCs/>
          <w:sz w:val="32"/>
          <w:szCs w:val="32"/>
          <w:lang w:eastAsia="zh-CN"/>
        </w:rPr>
        <w:t>预算为</w:t>
      </w:r>
      <w:r>
        <w:rPr>
          <w:rFonts w:hint="eastAsia" w:ascii="仿宋_GB2312" w:hAnsi="宋体" w:eastAsia="仿宋_GB2312" w:cs="Courier New"/>
          <w:b/>
          <w:bCs/>
          <w:sz w:val="32"/>
          <w:szCs w:val="32"/>
          <w:lang w:val="en-US" w:eastAsia="zh-CN"/>
        </w:rPr>
        <w:t>20万元，</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0.65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，完成预算的</w:t>
      </w:r>
      <w:r>
        <w:rPr>
          <w:rFonts w:hint="eastAsia" w:ascii="仿宋_GB2312" w:hAnsi="宋体" w:eastAsia="仿宋_GB2312" w:cs="Courier New"/>
          <w:sz w:val="32"/>
          <w:szCs w:val="32"/>
          <w:lang w:val="en-US" w:eastAsia="zh-CN"/>
        </w:rPr>
        <w:t>3.24%</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，一是严格控制在外定点饭店接待，接待量大为减少；二是确有接待任务时正常安排在食堂吃工作餐。</w:t>
      </w:r>
      <w:r>
        <w:rPr>
          <w:rFonts w:hint="eastAsia" w:ascii="仿宋_GB2312" w:hAnsi="宋体" w:eastAsia="仿宋_GB2312" w:cs="Courier New"/>
          <w:sz w:val="32"/>
          <w:szCs w:val="32"/>
        </w:rPr>
        <w:t>其中：</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0"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外宾接待支出为</w:t>
      </w:r>
      <w:r>
        <w:rPr>
          <w:rFonts w:hint="eastAsia" w:ascii="仿宋_GB2312" w:hAnsi="宋体" w:eastAsia="仿宋_GB2312" w:cs="Courier New"/>
          <w:sz w:val="32"/>
          <w:szCs w:val="32"/>
          <w:lang w:val="en-US" w:eastAsia="zh-CN"/>
        </w:rPr>
        <w:t>0万元。</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b w:val="0"/>
          <w:bCs w:val="0"/>
          <w:sz w:val="32"/>
          <w:szCs w:val="32"/>
        </w:rPr>
        <w:t>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0.65</w:t>
      </w:r>
      <w:r>
        <w:rPr>
          <w:rFonts w:hint="eastAsia" w:ascii="仿宋_GB2312" w:hAnsi="宋体" w:eastAsia="仿宋_GB2312" w:cs="Courier New"/>
          <w:sz w:val="32"/>
          <w:szCs w:val="32"/>
        </w:rPr>
        <w:t>万元，共计</w:t>
      </w:r>
      <w:r>
        <w:rPr>
          <w:rFonts w:hint="eastAsia" w:ascii="仿宋_GB2312" w:hAnsi="宋体" w:eastAsia="仿宋_GB2312" w:cs="Courier New"/>
          <w:sz w:val="32"/>
          <w:szCs w:val="32"/>
          <w:lang w:val="en-US" w:eastAsia="zh-CN"/>
        </w:rPr>
        <w:t>13</w:t>
      </w:r>
      <w:r>
        <w:rPr>
          <w:rFonts w:hint="eastAsia" w:ascii="仿宋_GB2312" w:hAnsi="宋体" w:eastAsia="仿宋_GB2312" w:cs="Courier New"/>
          <w:sz w:val="32"/>
          <w:szCs w:val="32"/>
        </w:rPr>
        <w:t>批次</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人次。主要用于办公办案业务性招待。</w:t>
      </w:r>
    </w:p>
    <w:p>
      <w:pPr>
        <w:keepNext w:val="0"/>
        <w:keepLines w:val="0"/>
        <w:pageBreakBefore w:val="0"/>
        <w:numPr>
          <w:ilvl w:val="0"/>
          <w:numId w:val="4"/>
        </w:numPr>
        <w:wordWrap/>
        <w:topLinePunct w:val="0"/>
        <w:bidi w:val="0"/>
        <w:adjustRightInd w:val="0"/>
        <w:snapToGrid w:val="0"/>
        <w:spacing w:afterAutospacing="0" w:line="360" w:lineRule="auto"/>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预算绩效情况说明</w:t>
      </w:r>
    </w:p>
    <w:p>
      <w:pPr>
        <w:keepNext w:val="0"/>
        <w:keepLines w:val="0"/>
        <w:pageBreakBefore w:val="0"/>
        <w:numPr>
          <w:ilvl w:val="0"/>
          <w:numId w:val="6"/>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根据财政预算管理要求，浉河区法院对20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年度一般公共预算项目支出全面开展绩效自评。</w:t>
      </w:r>
    </w:p>
    <w:p>
      <w:pPr>
        <w:keepNext w:val="0"/>
        <w:keepLines w:val="0"/>
        <w:pageBreakBefore w:val="0"/>
        <w:numPr>
          <w:ilvl w:val="0"/>
          <w:numId w:val="6"/>
        </w:numPr>
        <w:kinsoku w:val="0"/>
        <w:wordWrap/>
        <w:overflowPunct w:val="0"/>
        <w:topLinePunct w:val="0"/>
        <w:autoSpaceDE w:val="0"/>
        <w:autoSpaceDN w:val="0"/>
        <w:bidi w:val="0"/>
        <w:adjustRightInd w:val="0"/>
        <w:snapToGrid w:val="0"/>
        <w:spacing w:afterAutospacing="0" w:line="360" w:lineRule="auto"/>
        <w:ind w:left="0" w:leftChars="0" w:firstLine="640" w:firstLineChars="200"/>
        <w:jc w:val="both"/>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项目绩效自评结果</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自评结果群众满意度是</w:t>
      </w:r>
      <w:r>
        <w:rPr>
          <w:rFonts w:hint="eastAsia" w:ascii="仿宋_GB2312" w:hAnsi="宋体" w:eastAsia="仿宋_GB2312" w:cs="Courier New"/>
          <w:sz w:val="32"/>
          <w:szCs w:val="32"/>
          <w:lang w:val="en-US" w:eastAsia="zh-CN"/>
        </w:rPr>
        <w:t>90%以上。</w:t>
      </w:r>
    </w:p>
    <w:p>
      <w:pPr>
        <w:pStyle w:val="4"/>
        <w:autoSpaceDE w:val="0"/>
        <w:spacing w:before="0"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2020年预算单位绩效管理尚未开展。下一步将按照上级要求，</w:t>
      </w:r>
      <w:bookmarkStart w:id="0" w:name="_GoBack"/>
      <w:bookmarkEnd w:id="0"/>
      <w:r>
        <w:rPr>
          <w:rFonts w:hint="eastAsia" w:ascii="仿宋_GB2312" w:hAnsi="仿宋_GB2312" w:eastAsia="仿宋_GB2312" w:cs="仿宋_GB2312"/>
          <w:sz w:val="32"/>
          <w:szCs w:val="32"/>
        </w:rPr>
        <w:t>结合实际情况，建立绩效管理项目库，全面启动项目绩效管理工作。</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val="en-US" w:eastAsia="zh-CN"/>
        </w:rPr>
      </w:pPr>
    </w:p>
    <w:p>
      <w:pPr>
        <w:keepNext w:val="0"/>
        <w:keepLines w:val="0"/>
        <w:pageBreakBefore w:val="0"/>
        <w:numPr>
          <w:ilvl w:val="0"/>
          <w:numId w:val="4"/>
        </w:numPr>
        <w:wordWrap/>
        <w:topLinePunct w:val="0"/>
        <w:bidi w:val="0"/>
        <w:adjustRightInd w:val="0"/>
        <w:snapToGrid w:val="0"/>
        <w:spacing w:afterAutospacing="0" w:line="360" w:lineRule="auto"/>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政府性基金预算财政拨款支出决算情况说明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我部门没有政府性基金收入，也没有使用政府性基金安排的支出，故本表无数据。</w:t>
      </w: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年度政府性基金预算财政拨款支出年初预算为0万元，支出决算为0万元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0.00%。</w:t>
      </w:r>
    </w:p>
    <w:p>
      <w:pPr>
        <w:keepNext w:val="0"/>
        <w:keepLines w:val="0"/>
        <w:pageBreakBefore w:val="0"/>
        <w:numPr>
          <w:ilvl w:val="0"/>
          <w:numId w:val="4"/>
        </w:numPr>
        <w:kinsoku w:val="0"/>
        <w:wordWrap/>
        <w:overflowPunct w:val="0"/>
        <w:topLinePunct w:val="0"/>
        <w:autoSpaceDE w:val="0"/>
        <w:autoSpaceDN w:val="0"/>
        <w:bidi w:val="0"/>
        <w:adjustRightInd w:val="0"/>
        <w:snapToGrid w:val="0"/>
        <w:spacing w:afterAutospacing="0" w:line="360" w:lineRule="auto"/>
        <w:ind w:left="0" w:leftChars="0" w:firstLine="643" w:firstLineChars="2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国有资本经营预算收支决算情况说明</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200" w:firstLine="320" w:firstLineChars="1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2020年度国有资本经营收入决算0万元，国有资本经营支出决算0万元。主要原因是目前我区国有企业基本无收益，因此没有安排国有资本经营收支预算。</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十一、</w:t>
      </w:r>
      <w:r>
        <w:rPr>
          <w:rFonts w:hint="eastAsia" w:ascii="黑体" w:hAnsi="黑体" w:eastAsia="黑体" w:cs="黑体"/>
          <w:b w:val="0"/>
          <w:bCs/>
          <w:kern w:val="0"/>
          <w:sz w:val="32"/>
          <w:szCs w:val="32"/>
        </w:rPr>
        <w:t>机关运行经费支出情况</w:t>
      </w:r>
      <w:r>
        <w:rPr>
          <w:rFonts w:hint="eastAsia" w:ascii="黑体" w:hAnsi="黑体" w:eastAsia="黑体" w:cs="黑体"/>
          <w:b w:val="0"/>
          <w:bCs/>
          <w:kern w:val="0"/>
          <w:sz w:val="32"/>
          <w:szCs w:val="32"/>
          <w:lang w:eastAsia="zh-CN"/>
        </w:rPr>
        <w:t>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年度机关运行经费</w:t>
      </w:r>
      <w:r>
        <w:rPr>
          <w:rFonts w:hint="eastAsia" w:ascii="仿宋_GB2312" w:hAnsi="宋体" w:eastAsia="仿宋_GB2312" w:cs="Courier New"/>
          <w:sz w:val="32"/>
          <w:szCs w:val="32"/>
          <w:lang w:eastAsia="zh-CN"/>
        </w:rPr>
        <w:t>年初预算为</w:t>
      </w:r>
      <w:r>
        <w:rPr>
          <w:rFonts w:hint="eastAsia" w:ascii="仿宋_GB2312" w:hAnsi="宋体" w:eastAsia="仿宋_GB2312" w:cs="Courier New"/>
          <w:sz w:val="32"/>
          <w:szCs w:val="32"/>
          <w:lang w:val="en-US" w:eastAsia="zh-CN"/>
        </w:rPr>
        <w:t>195.2万元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397.92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203.8%</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是统计口径有所不同，年初预算</w:t>
      </w:r>
      <w:r>
        <w:rPr>
          <w:rFonts w:hint="eastAsia" w:ascii="仿宋_GB2312" w:hAnsi="宋体" w:eastAsia="仿宋_GB2312" w:cs="Courier New"/>
          <w:sz w:val="32"/>
          <w:szCs w:val="32"/>
          <w:lang w:val="en-US" w:eastAsia="zh-CN"/>
        </w:rPr>
        <w:t>195.2万元，只是在编在岗人员的人均经费总数，决算时还包括拨入的三公经费、非税收入返还的聘任制书记员工资等费用</w:t>
      </w:r>
      <w:r>
        <w:rPr>
          <w:rFonts w:hint="eastAsia" w:ascii="仿宋_GB2312" w:hAnsi="宋体" w:eastAsia="仿宋_GB2312" w:cs="Courier New"/>
          <w:sz w:val="32"/>
          <w:szCs w:val="32"/>
        </w:rPr>
        <w:t>。</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十二、</w:t>
      </w:r>
      <w:r>
        <w:rPr>
          <w:rFonts w:hint="eastAsia" w:ascii="黑体" w:hAnsi="黑体" w:eastAsia="黑体" w:cs="黑体"/>
          <w:b w:val="0"/>
          <w:bCs/>
          <w:kern w:val="0"/>
          <w:sz w:val="32"/>
          <w:szCs w:val="32"/>
        </w:rPr>
        <w:t>政府采购支出情况</w:t>
      </w:r>
      <w:r>
        <w:rPr>
          <w:rFonts w:hint="eastAsia" w:ascii="黑体" w:hAnsi="黑体" w:eastAsia="黑体" w:cs="黑体"/>
          <w:b w:val="0"/>
          <w:bCs/>
          <w:kern w:val="0"/>
          <w:sz w:val="32"/>
          <w:szCs w:val="32"/>
          <w:lang w:eastAsia="zh-CN"/>
        </w:rPr>
        <w:t>说明</w:t>
      </w:r>
    </w:p>
    <w:p>
      <w:pPr>
        <w:pStyle w:val="4"/>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ascii="仿宋_GB2312" w:hAnsi="宋体" w:eastAsia="仿宋_GB2312" w:cs="Courier New"/>
          <w:sz w:val="32"/>
          <w:szCs w:val="32"/>
        </w:rPr>
      </w:pPr>
      <w:r>
        <w:rPr>
          <w:rFonts w:hint="eastAsia" w:ascii="仿宋" w:hAnsi="仿宋" w:eastAsia="仿宋" w:cs="仿宋"/>
          <w:sz w:val="32"/>
          <w:szCs w:val="32"/>
          <w:shd w:val="clear" w:fill="FFFFFF"/>
        </w:rPr>
        <w:t>20</w:t>
      </w:r>
      <w:r>
        <w:rPr>
          <w:rFonts w:hint="eastAsia" w:ascii="仿宋" w:hAnsi="仿宋" w:eastAsia="仿宋" w:cs="仿宋"/>
          <w:sz w:val="32"/>
          <w:szCs w:val="32"/>
          <w:shd w:val="clear" w:fill="FFFFFF"/>
          <w:lang w:val="en-US" w:eastAsia="zh-CN"/>
        </w:rPr>
        <w:t>20</w:t>
      </w:r>
      <w:r>
        <w:rPr>
          <w:rFonts w:hint="eastAsia" w:ascii="仿宋" w:hAnsi="仿宋" w:eastAsia="仿宋" w:cs="仿宋"/>
          <w:sz w:val="32"/>
          <w:szCs w:val="32"/>
          <w:shd w:val="clear" w:fill="FFFFFF"/>
        </w:rPr>
        <w:t>年度政府采购支出总额</w:t>
      </w:r>
      <w:r>
        <w:rPr>
          <w:rFonts w:hint="eastAsia" w:ascii="仿宋" w:hAnsi="仿宋" w:eastAsia="仿宋" w:cs="仿宋"/>
          <w:sz w:val="32"/>
          <w:szCs w:val="32"/>
          <w:shd w:val="clear" w:fill="FFFFFF"/>
          <w:lang w:val="en-US" w:eastAsia="zh-CN"/>
        </w:rPr>
        <w:t>350.24</w:t>
      </w:r>
      <w:r>
        <w:rPr>
          <w:rFonts w:hint="eastAsia" w:ascii="仿宋" w:hAnsi="仿宋" w:eastAsia="仿宋" w:cs="仿宋"/>
          <w:sz w:val="32"/>
          <w:szCs w:val="32"/>
          <w:shd w:val="clear" w:fill="FFFFFF"/>
        </w:rPr>
        <w:t>万元，其中：政府采购货物</w:t>
      </w:r>
      <w:r>
        <w:rPr>
          <w:rFonts w:hint="eastAsia" w:ascii="仿宋" w:hAnsi="仿宋" w:eastAsia="仿宋" w:cs="仿宋"/>
          <w:sz w:val="32"/>
          <w:szCs w:val="32"/>
          <w:shd w:val="clear" w:fill="FFFFFF"/>
          <w:lang w:val="en-US" w:eastAsia="zh-CN"/>
        </w:rPr>
        <w:t>350.24</w:t>
      </w:r>
      <w:r>
        <w:rPr>
          <w:rFonts w:hint="eastAsia" w:ascii="仿宋" w:hAnsi="仿宋" w:eastAsia="仿宋" w:cs="仿宋"/>
          <w:sz w:val="32"/>
          <w:szCs w:val="32"/>
          <w:shd w:val="clear" w:fill="FFFFFF"/>
        </w:rPr>
        <w:t>万元、政府采购工程支出</w:t>
      </w:r>
      <w:r>
        <w:rPr>
          <w:rFonts w:hint="eastAsia" w:ascii="仿宋" w:hAnsi="仿宋" w:eastAsia="仿宋" w:cs="仿宋"/>
          <w:sz w:val="32"/>
          <w:szCs w:val="32"/>
          <w:shd w:val="clear" w:fill="FFFFFF"/>
          <w:lang w:val="en-US" w:eastAsia="zh-CN"/>
        </w:rPr>
        <w:t>0</w:t>
      </w:r>
      <w:r>
        <w:rPr>
          <w:rFonts w:hint="eastAsia" w:ascii="仿宋" w:hAnsi="仿宋" w:eastAsia="仿宋" w:cs="仿宋"/>
          <w:sz w:val="32"/>
          <w:szCs w:val="32"/>
          <w:shd w:val="clear" w:fill="FFFFFF"/>
        </w:rPr>
        <w:t>万元</w:t>
      </w:r>
      <w:r>
        <w:rPr>
          <w:rFonts w:hint="eastAsia" w:ascii="仿宋" w:hAnsi="仿宋" w:eastAsia="仿宋" w:cs="仿宋"/>
          <w:sz w:val="32"/>
          <w:szCs w:val="32"/>
          <w:shd w:val="clear" w:fill="FFFFFF"/>
          <w:lang w:eastAsia="zh-CN"/>
        </w:rPr>
        <w:t>。</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200" w:firstLine="320" w:firstLineChars="100"/>
        <w:jc w:val="both"/>
        <w:textAlignment w:val="auto"/>
        <w:rPr>
          <w:rFonts w:hint="eastAsia" w:ascii="黑体" w:hAnsi="黑体" w:eastAsia="黑体" w:cs="黑体"/>
          <w:b w:val="0"/>
          <w:bCs/>
          <w:sz w:val="32"/>
          <w:szCs w:val="32"/>
        </w:rPr>
      </w:pPr>
      <w:r>
        <w:rPr>
          <w:rFonts w:hint="eastAsia" w:ascii="黑体" w:hAnsi="黑体" w:eastAsia="黑体" w:cs="黑体"/>
          <w:b w:val="0"/>
          <w:bCs/>
          <w:kern w:val="0"/>
          <w:sz w:val="32"/>
          <w:szCs w:val="32"/>
          <w:lang w:eastAsia="zh-CN"/>
        </w:rPr>
        <w:t>十三、</w:t>
      </w:r>
      <w:r>
        <w:rPr>
          <w:rFonts w:hint="eastAsia" w:ascii="黑体" w:hAnsi="黑体" w:eastAsia="黑体" w:cs="黑体"/>
          <w:b w:val="0"/>
          <w:bCs/>
          <w:kern w:val="0"/>
          <w:sz w:val="32"/>
          <w:szCs w:val="32"/>
        </w:rPr>
        <w:t>国有资产占用情况</w:t>
      </w:r>
      <w:r>
        <w:rPr>
          <w:rFonts w:hint="eastAsia" w:ascii="黑体" w:hAnsi="黑体" w:eastAsia="黑体" w:cs="黑体"/>
          <w:b w:val="0"/>
          <w:bCs/>
          <w:kern w:val="0"/>
          <w:sz w:val="32"/>
          <w:szCs w:val="32"/>
          <w:lang w:eastAsia="zh-CN"/>
        </w:rPr>
        <w:t>说明</w:t>
      </w:r>
    </w:p>
    <w:p>
      <w:pPr>
        <w:pStyle w:val="4"/>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2019年期末，我部门共有车辆13辆，其中：省级领导干部用车0辆、主要领导干部用车0辆、机要通信用车0辆、应急保障车0辆、执法执勤用车11辆、特种专业技术用车0辆、离退休干部用车0辆、其他用车2辆；单位价值50万元以上通用设备0台（套），单位价值100万元以上专用设备0台（套）。</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800" w:firstLineChars="200"/>
        <w:jc w:val="both"/>
        <w:textAlignment w:val="auto"/>
        <w:rPr>
          <w:rFonts w:hint="eastAsia" w:ascii="仿宋" w:hAnsi="仿宋" w:eastAsia="仿宋" w:cs="仿宋"/>
          <w:sz w:val="40"/>
          <w:szCs w:val="40"/>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firstLine="480" w:firstLineChars="100"/>
        <w:jc w:val="left"/>
        <w:rPr>
          <w:rFonts w:hint="eastAsia" w:ascii="黑体" w:hAnsi="黑体" w:eastAsia="黑体" w:cs="黑体"/>
          <w:b w:val="0"/>
          <w:bCs w:val="0"/>
          <w:sz w:val="48"/>
          <w:szCs w:val="48"/>
          <w:lang w:eastAsia="zh-CN"/>
        </w:rPr>
      </w:pPr>
    </w:p>
    <w:p>
      <w:pPr>
        <w:ind w:left="3359" w:leftChars="228" w:hanging="2880" w:hangingChars="600"/>
        <w:jc w:val="left"/>
        <w:rPr>
          <w:rFonts w:hint="default" w:ascii="黑体" w:hAnsi="黑体" w:eastAsia="黑体" w:cs="黑体"/>
          <w:b w:val="0"/>
          <w:bCs w:val="0"/>
          <w:sz w:val="48"/>
          <w:szCs w:val="48"/>
          <w:lang w:val="en-US" w:eastAsia="zh-CN"/>
        </w:rPr>
      </w:pPr>
      <w:r>
        <w:rPr>
          <w:rFonts w:hint="eastAsia" w:ascii="黑体" w:hAnsi="黑体" w:eastAsia="黑体" w:cs="黑体"/>
          <w:b w:val="0"/>
          <w:bCs w:val="0"/>
          <w:sz w:val="48"/>
          <w:szCs w:val="48"/>
          <w:lang w:eastAsia="zh-CN"/>
        </w:rPr>
        <w:t>第四部分</w:t>
      </w:r>
      <w:r>
        <w:rPr>
          <w:rFonts w:hint="eastAsia" w:ascii="黑体" w:hAnsi="黑体" w:eastAsia="黑体" w:cs="黑体"/>
          <w:b w:val="0"/>
          <w:bCs w:val="0"/>
          <w:sz w:val="48"/>
          <w:szCs w:val="48"/>
          <w:lang w:val="en-US" w:eastAsia="zh-CN"/>
        </w:rPr>
        <w:t xml:space="preserve">    2020年度部门决算表(excel形式)</w:t>
      </w:r>
    </w:p>
    <w:p/>
    <w:p/>
    <w:p/>
    <w:p>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776"/>
    <w:multiLevelType w:val="singleLevel"/>
    <w:tmpl w:val="5971E77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677DC"/>
    <w:rsid w:val="32D8514A"/>
    <w:rsid w:val="51357BCE"/>
    <w:rsid w:val="63FD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ChangW</dc:creator>
  <cp:lastModifiedBy>工力木</cp:lastModifiedBy>
  <dcterms:modified xsi:type="dcterms:W3CDTF">2021-10-11T08:11:40Z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34D20A24CAC04CADADAF89B179EDCEFA</vt:lpwstr>
  </property>
</Properties>
</file>